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04674">
      <w:pPr>
        <w:spacing w:after="320"/>
      </w:pPr>
      <w:r>
        <w:rPr>
          <w:rFonts w:ascii="Calibri" w:hAnsi="Calibri" w:eastAsia="微软雅黑"/>
          <w:b/>
          <w:color w:val="0E4F4F"/>
          <w:sz w:val="24"/>
        </w:rPr>
        <w:t>专家评审使用说明</w:t>
      </w:r>
    </w:p>
    <w:p w14:paraId="03D6BC94">
      <w:pPr>
        <w:spacing w:after="80"/>
      </w:pPr>
      <w:r>
        <w:rPr>
          <w:rFonts w:ascii="Calibri" w:hAnsi="Calibri" w:eastAsia="微软雅黑"/>
          <w:b/>
          <w:color w:val="111827"/>
          <w:sz w:val="48"/>
        </w:rPr>
        <w:t>5G网络优化教材（高级）数字教材预览版</w:t>
      </w:r>
    </w:p>
    <w:p w14:paraId="374639EF">
      <w:r>
        <w:rPr>
          <w:rFonts w:ascii="Calibri" w:hAnsi="Calibri" w:eastAsia="微软雅黑"/>
          <w:b w:val="0"/>
          <w:color w:val="566575"/>
          <w:sz w:val="26"/>
        </w:rPr>
        <w:t>面向专家评审的图文操作指南与改进建议收集说明</w:t>
      </w:r>
    </w:p>
    <w:p w14:paraId="2F795CD2">
      <w:r>
        <w:rPr>
          <w:rFonts w:ascii="Calibri" w:hAnsi="Calibri" w:eastAsia="微软雅黑"/>
          <w:b w:val="0"/>
          <w:color w:val="566575"/>
          <w:sz w:val="20"/>
        </w:rPr>
        <w:t>版本：V0.1    日期：2026-06-27</w:t>
      </w:r>
    </w:p>
    <w:tbl>
      <w:tblPr>
        <w:tblStyle w:val="3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"/>
        <w:gridCol w:w="9196"/>
      </w:tblGrid>
      <w:tr w14:paraId="456D3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3F8F8"/>
            <w:vAlign w:val="center"/>
          </w:tcPr>
          <w:p w14:paraId="20AA7DD8">
            <w:pPr>
              <w:spacing w:after="80"/>
            </w:pPr>
            <w:r>
              <w:rPr>
                <w:rFonts w:ascii="Calibri" w:hAnsi="Calibri" w:eastAsia="微软雅黑"/>
                <w:b/>
                <w:color w:val="0E4F4F"/>
                <w:sz w:val="22"/>
              </w:rPr>
              <w:t>阅读定位</w:t>
            </w:r>
          </w:p>
          <w:p w14:paraId="6AC9D4EE">
            <w:pPr>
              <w:spacing w:after="40"/>
            </w:pPr>
            <w:r>
              <w:rPr>
                <w:rFonts w:ascii="Calibri" w:hAnsi="Calibri" w:eastAsia="微软雅黑"/>
                <w:color w:val="333333"/>
                <w:sz w:val="21"/>
              </w:rPr>
              <w:t>本说明用于帮助专家快速理解当前数字教材预览版的整体结构、课程能力图谱作用、任务级深样章呈现方式、教师/学生使用路径和资源交付逻辑。它不是教材定稿说明，也不替代专业复核、媒体审查或真实教学试用。</w:t>
            </w:r>
          </w:p>
        </w:tc>
      </w:tr>
      <w:tr w14:paraId="6BC5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  <w:vAlign w:val="center"/>
          </w:tcPr>
          <w:p w14:paraId="782A7C6A">
            <w:r>
              <w:rPr>
                <w:rFonts w:ascii="Calibri" w:hAnsi="Calibri" w:eastAsia="微软雅黑"/>
                <w:b/>
                <w:color w:val="0E4F4F"/>
                <w:sz w:val="21"/>
              </w:rPr>
              <w:t>适用对象</w:t>
            </w:r>
          </w:p>
        </w:tc>
        <w:tc>
          <w:tcPr>
            <w:tcW w:w="7260" w:type="dxa"/>
            <w:vAlign w:val="center"/>
          </w:tcPr>
          <w:p w14:paraId="1D8C1AAC">
            <w:r>
              <w:rPr>
                <w:rFonts w:ascii="Calibri" w:hAnsi="Calibri" w:eastAsia="微软雅黑"/>
                <w:color w:val="333333"/>
                <w:sz w:val="21"/>
              </w:rPr>
              <w:t>评审专家、职业院校教师、出版社与平台建设人员。</w:t>
            </w:r>
          </w:p>
        </w:tc>
      </w:tr>
      <w:tr w14:paraId="0C350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</w:tcPr>
          <w:p w14:paraId="2344484C">
            <w:r>
              <w:rPr>
                <w:rFonts w:ascii="Calibri" w:hAnsi="Calibri" w:eastAsia="微软雅黑"/>
                <w:b/>
                <w:color w:val="0E4F4F"/>
                <w:sz w:val="21"/>
              </w:rPr>
              <w:t>整书预览入口</w:t>
            </w:r>
          </w:p>
        </w:tc>
        <w:tc>
          <w:tcPr>
            <w:tcW w:w="7260" w:type="dxa"/>
          </w:tcPr>
          <w:p w14:paraId="0388D463">
            <w:r>
              <w:rPr>
                <w:rFonts w:ascii="Calibri" w:hAnsi="Calibri" w:eastAsia="微软雅黑"/>
                <w:color w:val="333333"/>
                <w:sz w:val="21"/>
              </w:rPr>
              <w:t>/Users/ny/Downloads/5G网络优化教材端到端生产演练_2026-06-22/samples/digital_textbook_overall_prototype_overall_0_5_clean_preview/index.html</w:t>
            </w:r>
          </w:p>
        </w:tc>
      </w:tr>
      <w:tr w14:paraId="2B14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</w:tcPr>
          <w:p w14:paraId="0400D6F1">
            <w:r>
              <w:rPr>
                <w:rFonts w:ascii="Calibri" w:hAnsi="Calibri" w:eastAsia="微软雅黑"/>
                <w:b/>
                <w:color w:val="0E4F4F"/>
                <w:sz w:val="21"/>
              </w:rPr>
              <w:t>任务级深样章入口</w:t>
            </w:r>
          </w:p>
        </w:tc>
        <w:tc>
          <w:tcPr>
            <w:tcW w:w="7260" w:type="dxa"/>
          </w:tcPr>
          <w:p w14:paraId="70782587">
            <w:r>
              <w:rPr>
                <w:rFonts w:ascii="Calibri" w:hAnsi="Calibri" w:eastAsia="微软雅黑"/>
                <w:color w:val="333333"/>
                <w:sz w:val="21"/>
              </w:rPr>
              <w:t>/Users/ny/Downloads/5G网络优化教材端到端生产演练_2026-06-22/samples/digital_textbook_overall_prototype_overall_0_5_clean_preview/task_workbench_3_5a1_two_period_sample/index.html</w:t>
            </w:r>
          </w:p>
        </w:tc>
      </w:tr>
      <w:tr w14:paraId="03733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</w:tcPr>
          <w:p w14:paraId="6565B4C6">
            <w:r>
              <w:rPr>
                <w:rFonts w:ascii="Calibri" w:hAnsi="Calibri" w:eastAsia="微软雅黑"/>
                <w:b/>
                <w:color w:val="0E4F4F"/>
                <w:sz w:val="21"/>
              </w:rPr>
              <w:t>建议评审时间</w:t>
            </w:r>
          </w:p>
        </w:tc>
        <w:tc>
          <w:tcPr>
            <w:tcW w:w="7260" w:type="dxa"/>
          </w:tcPr>
          <w:p w14:paraId="3788AE7D">
            <w:r>
              <w:rPr>
                <w:rFonts w:ascii="Calibri" w:hAnsi="Calibri" w:eastAsia="微软雅黑"/>
                <w:color w:val="333333"/>
                <w:sz w:val="21"/>
              </w:rPr>
              <w:t>先用15分钟按本说明走完整体路径，再用30-60分钟重点评审P4-T2任务样章与课程能力图谱。</w:t>
            </w:r>
          </w:p>
        </w:tc>
      </w:tr>
      <w:tr w14:paraId="19A7E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</w:tcPr>
          <w:p w14:paraId="24B94BDC">
            <w:r>
              <w:rPr>
                <w:rFonts w:ascii="Calibri" w:hAnsi="Calibri" w:eastAsia="微软雅黑"/>
                <w:b/>
                <w:color w:val="0E4F4F"/>
                <w:sz w:val="21"/>
              </w:rPr>
              <w:t>反馈建议</w:t>
            </w:r>
          </w:p>
        </w:tc>
        <w:tc>
          <w:tcPr>
            <w:tcW w:w="7260" w:type="dxa"/>
          </w:tcPr>
          <w:p w14:paraId="7E0ACFCF">
            <w:r>
              <w:rPr>
                <w:rFonts w:ascii="Calibri" w:hAnsi="Calibri" w:eastAsia="微软雅黑"/>
                <w:color w:val="333333"/>
                <w:sz w:val="21"/>
              </w:rPr>
              <w:t>优先指出影响专家理解、教师教学、学生自学、专业正确性和平台交付的具体问题。</w:t>
            </w:r>
          </w:p>
        </w:tc>
      </w:tr>
    </w:tbl>
    <w:p w14:paraId="78D6800E">
      <w:r>
        <w:br w:type="page"/>
      </w:r>
    </w:p>
    <w:p w14:paraId="58BE0456">
      <w:pPr>
        <w:pStyle w:val="3"/>
      </w:pPr>
      <w:r>
        <w:rPr>
          <w:rFonts w:ascii="Calibri" w:hAnsi="Calibri" w:eastAsia="微软雅黑"/>
          <w:b/>
          <w:color w:val="166A6A"/>
          <w:sz w:val="32"/>
        </w:rPr>
        <w:t>一、专家应先了解的整体结论</w:t>
      </w:r>
    </w:p>
    <w:p w14:paraId="488EED9C">
      <w:r>
        <w:rPr>
          <w:rFonts w:ascii="Calibri" w:hAnsi="Calibri" w:eastAsia="微软雅黑"/>
          <w:b w:val="0"/>
        </w:rPr>
        <w:t>当前版本是一套“正式呈现观察版”的静态HTML预览，目的是让专家看到未来数字教材的大体阅读方式、学习路径、图谱组织方式和资源挂接逻辑。</w:t>
      </w:r>
    </w:p>
    <w:p w14:paraId="0DC0DF52">
      <w:pPr>
        <w:pStyle w:val="16"/>
      </w:pPr>
      <w:r>
        <w:rPr>
          <w:rFonts w:ascii="Calibri" w:hAnsi="Calibri" w:eastAsia="微软雅黑"/>
          <w:sz w:val="21"/>
        </w:rPr>
        <w:t>它已经把整书项目链、项目二网络测试路径、项目四端到端优化路径、P4-T2任务级深样章、教师带教页、资源页和交付页放入同一个入口。</w:t>
      </w:r>
    </w:p>
    <w:p w14:paraId="2CDA22C5">
      <w:pPr>
        <w:pStyle w:val="16"/>
      </w:pPr>
      <w:r>
        <w:rPr>
          <w:rFonts w:ascii="Calibri" w:hAnsi="Calibri" w:eastAsia="微软雅黑"/>
          <w:sz w:val="21"/>
        </w:rPr>
        <w:t>它重点展示的是“数字教材如何组织学习”，不是展示已经完成全书所有内容生产。</w:t>
      </w:r>
    </w:p>
    <w:p w14:paraId="1D45B894">
      <w:pPr>
        <w:pStyle w:val="16"/>
      </w:pPr>
      <w:r>
        <w:rPr>
          <w:rFonts w:ascii="Calibri" w:hAnsi="Calibri" w:eastAsia="微软雅黑"/>
          <w:sz w:val="21"/>
        </w:rPr>
        <w:t>它保留了一个完整任务样章：P4-T2“5G网络优化结果验证”。专家可以通过这个任务观察学生学习闭环、教师课堂组织和资源转化方式。</w:t>
      </w:r>
    </w:p>
    <w:p w14:paraId="5FDBB48F">
      <w:pPr>
        <w:pStyle w:val="16"/>
      </w:pPr>
      <w:r>
        <w:rPr>
          <w:rFonts w:ascii="Calibri" w:hAnsi="Calibri" w:eastAsia="微软雅黑"/>
          <w:sz w:val="21"/>
        </w:rPr>
        <w:t>课程能力图谱当前作为暗线呈现，用于解释课程主链、项目路径、能力节点、资源卡片和评价产出之间的关系。</w:t>
      </w:r>
    </w:p>
    <w:tbl>
      <w:tblPr>
        <w:tblStyle w:val="3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A1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5E6"/>
            <w:vAlign w:val="center"/>
          </w:tcPr>
          <w:p w14:paraId="242C5F47">
            <w:pPr>
              <w:spacing w:after="80"/>
            </w:pPr>
            <w:r>
              <w:rPr>
                <w:rFonts w:ascii="Calibri" w:hAnsi="Calibri" w:eastAsia="微软雅黑"/>
                <w:b/>
                <w:color w:val="0E4F4F"/>
                <w:sz w:val="22"/>
              </w:rPr>
              <w:t>当前边界</w:t>
            </w:r>
          </w:p>
          <w:p w14:paraId="49C0F048">
            <w:pPr>
              <w:spacing w:after="40"/>
            </w:pPr>
            <w:r>
              <w:rPr>
                <w:rFonts w:ascii="Calibri" w:hAnsi="Calibri" w:eastAsia="微软雅黑"/>
                <w:color w:val="333333"/>
                <w:sz w:val="21"/>
              </w:rPr>
              <w:t>请专家不要把本预览误认为正式出版稿。专业阈值、案例数据、媒体截图重绘、真实学生数据、出版社平台接口和质量检测仍需要后续专项复核。专家评审的重点是判断方向是否成立、结构是否清楚、教学是否可用、哪些地方必须修订。</w:t>
            </w:r>
          </w:p>
        </w:tc>
      </w:tr>
    </w:tbl>
    <w:p w14:paraId="15537738">
      <w:pPr>
        <w:pStyle w:val="3"/>
      </w:pPr>
      <w:r>
        <w:rPr>
          <w:rFonts w:ascii="Calibri" w:hAnsi="Calibri" w:eastAsia="微软雅黑"/>
          <w:b/>
          <w:color w:val="166A6A"/>
          <w:sz w:val="32"/>
        </w:rPr>
        <w:t>二、平台总体架构</w:t>
      </w:r>
    </w:p>
    <w:p w14:paraId="34B9FBDD">
      <w:r>
        <w:rPr>
          <w:rFonts w:ascii="Calibri" w:hAnsi="Calibri" w:eastAsia="微软雅黑"/>
          <w:b w:val="0"/>
        </w:rPr>
        <w:t>平台当前采用“整书预览层 + 课程能力图谱 + 任务级深样章”的组合方式。专家阅读时可以把整书预览看作总入口，把图谱看作资源和任务组织的暗线，把P4-T2任务样章看作教材正文与学习活动的深度样本。</w:t>
      </w:r>
    </w:p>
    <w:p w14:paraId="4E9785A5">
      <w:pPr>
        <w:jc w:val="center"/>
      </w:pPr>
      <w:r>
        <w:drawing>
          <wp:inline distT="0" distB="0" distL="114300" distR="114300">
            <wp:extent cx="5806440" cy="3225800"/>
            <wp:effectExtent l="0" t="0" r="1016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C6B3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图1 平台总体架构：输入材料经课程能力图谱组织后进入整书预览、任务样章和专家反馈迭代。</w:t>
      </w:r>
    </w:p>
    <w:p w14:paraId="61AB92EA">
      <w:pPr>
        <w:pStyle w:val="3"/>
      </w:pPr>
      <w:r>
        <w:rPr>
          <w:rFonts w:ascii="Calibri" w:hAnsi="Calibri" w:eastAsia="微软雅黑"/>
          <w:b/>
          <w:color w:val="166A6A"/>
          <w:sz w:val="32"/>
        </w:rPr>
        <w:t>三、推荐评审路径</w:t>
      </w:r>
    </w:p>
    <w:p w14:paraId="16C97EAC">
      <w:r>
        <w:rPr>
          <w:rFonts w:ascii="Calibri" w:hAnsi="Calibri" w:eastAsia="微软雅黑"/>
          <w:b w:val="0"/>
        </w:rPr>
        <w:t>建议专家按“先整体、再图谱、再任务、再教师和资源、最后看交付”的顺序阅读。这样可以避免一开始就陷入某个页面细节，而忽略数字教材整体结构是否成立。</w:t>
      </w:r>
    </w:p>
    <w:p w14:paraId="6A8DB7A0">
      <w:pPr>
        <w:jc w:val="center"/>
      </w:pPr>
      <w:r>
        <w:drawing>
          <wp:inline distT="0" distB="0" distL="114300" distR="114300">
            <wp:extent cx="5806440" cy="3064510"/>
            <wp:effectExtent l="0" t="0" r="1016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4E69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图2 专家评审推荐路径：从整书入口逐步下钻到任务样章，再回看资源和交付。</w:t>
      </w:r>
    </w:p>
    <w:p w14:paraId="71694238">
      <w:pPr>
        <w:pStyle w:val="14"/>
      </w:pPr>
      <w:r>
        <w:rPr>
          <w:rFonts w:ascii="Calibri" w:hAnsi="Calibri" w:eastAsia="微软雅黑"/>
          <w:sz w:val="21"/>
        </w:rPr>
        <w:t>打开整书预览入口，先确认课程项目链和重点学习路径。</w:t>
      </w:r>
    </w:p>
    <w:p w14:paraId="464BBCE0">
      <w:pPr>
        <w:pStyle w:val="14"/>
      </w:pPr>
      <w:r>
        <w:rPr>
          <w:rFonts w:ascii="Calibri" w:hAnsi="Calibri" w:eastAsia="微软雅黑"/>
          <w:sz w:val="21"/>
        </w:rPr>
        <w:t>进入项目页，观察项目二与项目四之间的关系。</w:t>
      </w:r>
    </w:p>
    <w:p w14:paraId="3D60F93A">
      <w:pPr>
        <w:pStyle w:val="14"/>
      </w:pPr>
      <w:r>
        <w:rPr>
          <w:rFonts w:ascii="Calibri" w:hAnsi="Calibri" w:eastAsia="微软雅黑"/>
          <w:sz w:val="21"/>
        </w:rPr>
        <w:t>进入图谱页，判断课程能力图谱是否能解释学习承接和资源挂接。</w:t>
      </w:r>
    </w:p>
    <w:p w14:paraId="1BBCC72B">
      <w:pPr>
        <w:pStyle w:val="14"/>
      </w:pPr>
      <w:r>
        <w:rPr>
          <w:rFonts w:ascii="Calibri" w:hAnsi="Calibri" w:eastAsia="微软雅黑"/>
          <w:sz w:val="21"/>
        </w:rPr>
        <w:t>进入P4-T2任务样章，模拟学生完成一次结果验证任务。</w:t>
      </w:r>
    </w:p>
    <w:p w14:paraId="1BDC7D0D">
      <w:pPr>
        <w:pStyle w:val="14"/>
      </w:pPr>
      <w:r>
        <w:rPr>
          <w:rFonts w:ascii="Calibri" w:hAnsi="Calibri" w:eastAsia="微软雅黑"/>
          <w:sz w:val="21"/>
        </w:rPr>
        <w:t>查看教师带教页，判断教师能否据此组织两课时课堂。</w:t>
      </w:r>
    </w:p>
    <w:p w14:paraId="0D36E1FF">
      <w:pPr>
        <w:pStyle w:val="14"/>
      </w:pPr>
      <w:r>
        <w:rPr>
          <w:rFonts w:ascii="Calibri" w:hAnsi="Calibri" w:eastAsia="微软雅黑"/>
          <w:sz w:val="21"/>
        </w:rPr>
        <w:t>查看资源页与交付页，提出资源治理、媒体审查、平台接口和质量检测建议。</w:t>
      </w:r>
    </w:p>
    <w:p w14:paraId="558C875A">
      <w:pPr>
        <w:pStyle w:val="3"/>
      </w:pPr>
      <w:r>
        <w:rPr>
          <w:rFonts w:ascii="Calibri" w:hAnsi="Calibri" w:eastAsia="微软雅黑"/>
          <w:b/>
          <w:color w:val="166A6A"/>
          <w:sz w:val="32"/>
        </w:rPr>
        <w:t>四、按步骤查看整书预览版</w:t>
      </w:r>
    </w:p>
    <w:p w14:paraId="170D4C29">
      <w:pPr>
        <w:pStyle w:val="4"/>
      </w:pPr>
      <w:r>
        <w:rPr>
          <w:rFonts w:ascii="Calibri" w:hAnsi="Calibri" w:eastAsia="微软雅黑"/>
          <w:b/>
          <w:color w:val="166A6A"/>
          <w:sz w:val="26"/>
        </w:rPr>
        <w:t>步骤1：从课程首页理解整书入口</w:t>
      </w:r>
    </w:p>
    <w:p w14:paraId="195BC294">
      <w:r>
        <w:rPr>
          <w:rFonts w:ascii="Calibri" w:hAnsi="Calibri" w:eastAsia="微软雅黑"/>
          <w:b w:val="0"/>
        </w:rPr>
        <w:t>课程首页用于快速说明本书覆盖哪些项目、哪些路径已经重点展开、哪里可以进入完整任务学习。专家重点看首屏是否能让一线教师和学生知道从哪里开始。</w:t>
      </w:r>
    </w:p>
    <w:p w14:paraId="57D17ECD">
      <w:pPr>
        <w:jc w:val="center"/>
      </w:pPr>
      <w:r>
        <w:drawing>
          <wp:inline distT="0" distB="0" distL="114300" distR="114300">
            <wp:extent cx="5806440" cy="3981450"/>
            <wp:effectExtent l="0" t="0" r="1016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D54E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图3 课程首页：展示整书项目链、重点路径和P4-T2任务入口。</w:t>
      </w:r>
    </w:p>
    <w:p w14:paraId="306C8282">
      <w:pPr>
        <w:pStyle w:val="16"/>
      </w:pPr>
      <w:r>
        <w:rPr>
          <w:rFonts w:ascii="Calibri" w:hAnsi="Calibri" w:eastAsia="微软雅黑"/>
          <w:sz w:val="21"/>
        </w:rPr>
        <w:t>顶部为一级场景导航：课程、项目、图谱、教师、资源、交付。</w:t>
      </w:r>
    </w:p>
    <w:p w14:paraId="53CB312D">
      <w:pPr>
        <w:pStyle w:val="16"/>
      </w:pPr>
      <w:r>
        <w:rPr>
          <w:rFonts w:ascii="Calibri" w:hAnsi="Calibri" w:eastAsia="微软雅黑"/>
          <w:sz w:val="21"/>
        </w:rPr>
        <w:t>课程页不显示左侧项目目录，避免把全平台导航误解成项目分支。</w:t>
      </w:r>
    </w:p>
    <w:p w14:paraId="0AD15C48">
      <w:pPr>
        <w:pStyle w:val="16"/>
      </w:pPr>
      <w:r>
        <w:rPr>
          <w:rFonts w:ascii="Calibri" w:hAnsi="Calibri" w:eastAsia="微软雅黑"/>
          <w:sz w:val="21"/>
        </w:rPr>
        <w:t>首页主按钮可进入P4-T2“5G网络优化结果验证”完整任务。</w:t>
      </w:r>
    </w:p>
    <w:p w14:paraId="4E6BC878">
      <w:pPr>
        <w:pStyle w:val="4"/>
      </w:pPr>
      <w:r>
        <w:rPr>
          <w:rFonts w:ascii="Calibri" w:hAnsi="Calibri" w:eastAsia="微软雅黑"/>
          <w:b/>
          <w:color w:val="166A6A"/>
          <w:sz w:val="26"/>
        </w:rPr>
        <w:t>步骤2：查看项目页和项目四路径</w:t>
      </w:r>
    </w:p>
    <w:p w14:paraId="01EE4B6B">
      <w:r>
        <w:rPr>
          <w:rFonts w:ascii="Calibri" w:hAnsi="Calibri" w:eastAsia="微软雅黑"/>
          <w:b w:val="0"/>
        </w:rPr>
        <w:t>项目页用于理解整本教材如何从项目进入任务。当前重点观察项目二“5G网络测试”和项目四“5G端到端网络优化”。</w:t>
      </w:r>
    </w:p>
    <w:p w14:paraId="0CBE099C">
      <w:pPr>
        <w:jc w:val="center"/>
      </w:pPr>
      <w:r>
        <w:drawing>
          <wp:inline distT="0" distB="0" distL="114300" distR="114300">
            <wp:extent cx="5806440" cy="3981450"/>
            <wp:effectExtent l="0" t="0" r="1016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58DA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图4 项目页：左侧切换项目，主体展示项目链和重点学习路径。</w:t>
      </w:r>
    </w:p>
    <w:p w14:paraId="717B7B4C">
      <w:pPr>
        <w:jc w:val="center"/>
      </w:pPr>
      <w:r>
        <w:drawing>
          <wp:inline distT="0" distB="0" distL="114300" distR="114300">
            <wp:extent cx="5806440" cy="3981450"/>
            <wp:effectExtent l="0" t="0" r="1016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7419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图5 项目四路径：从优化实施、结果验证到报告输出形成项目级闭环。</w:t>
      </w:r>
    </w:p>
    <w:p w14:paraId="5886A8CA">
      <w:pPr>
        <w:pStyle w:val="16"/>
      </w:pPr>
      <w:r>
        <w:rPr>
          <w:rFonts w:ascii="Calibri" w:hAnsi="Calibri" w:eastAsia="微软雅黑"/>
          <w:sz w:val="21"/>
        </w:rPr>
        <w:t>项目二承担测试数据和证据形成，项目四承担优化实施、结果验证和报告输出。</w:t>
      </w:r>
    </w:p>
    <w:p w14:paraId="5CCDDF7D">
      <w:pPr>
        <w:pStyle w:val="16"/>
      </w:pPr>
      <w:r>
        <w:rPr>
          <w:rFonts w:ascii="Calibri" w:hAnsi="Calibri" w:eastAsia="微软雅黑"/>
          <w:sz w:val="21"/>
        </w:rPr>
        <w:t>P4-T2是当前完整深样章，其他任务主要用于呈现项目闭环和前后承接。</w:t>
      </w:r>
    </w:p>
    <w:p w14:paraId="75CA8F77">
      <w:pPr>
        <w:pStyle w:val="16"/>
      </w:pPr>
      <w:r>
        <w:rPr>
          <w:rFonts w:ascii="Calibri" w:hAnsi="Calibri" w:eastAsia="微软雅黑"/>
          <w:sz w:val="21"/>
        </w:rPr>
        <w:t>专家可重点判断项目链是否符合5G网优真实工作过程。</w:t>
      </w:r>
    </w:p>
    <w:p w14:paraId="09CE13B2">
      <w:pPr>
        <w:pStyle w:val="4"/>
      </w:pPr>
      <w:r>
        <w:rPr>
          <w:rFonts w:ascii="Calibri" w:hAnsi="Calibri" w:eastAsia="微软雅黑"/>
          <w:b/>
          <w:color w:val="166A6A"/>
          <w:sz w:val="26"/>
        </w:rPr>
        <w:t>步骤3：查看课程能力图谱</w:t>
      </w:r>
    </w:p>
    <w:p w14:paraId="744B78D5">
      <w:r>
        <w:rPr>
          <w:rFonts w:ascii="Calibri" w:hAnsi="Calibri" w:eastAsia="微软雅黑"/>
          <w:b w:val="0"/>
        </w:rPr>
        <w:t>图谱页用于说明课程主链、项目路径、能力节点、资源卡片和评价产出之间的承接关系。当前图谱页已取消右侧上下文栏，优先保证图谱主体的可读面积。</w:t>
      </w:r>
    </w:p>
    <w:p w14:paraId="4BA334C5">
      <w:pPr>
        <w:jc w:val="center"/>
      </w:pPr>
      <w:r>
        <w:drawing>
          <wp:inline distT="0" distB="0" distL="114300" distR="114300">
            <wp:extent cx="5806440" cy="3064510"/>
            <wp:effectExtent l="0" t="0" r="1016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687D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图6 课程能力图谱关系模型：图谱不是目录，而是资源、活动和评价的组织暗线。</w:t>
      </w:r>
    </w:p>
    <w:p w14:paraId="39217C47">
      <w:pPr>
        <w:jc w:val="center"/>
      </w:pPr>
      <w:r>
        <w:drawing>
          <wp:inline distT="0" distB="0" distL="114300" distR="114300">
            <wp:extent cx="5806440" cy="4933315"/>
            <wp:effectExtent l="0" t="0" r="10160" b="196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3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C459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图7 图谱页上半部分：课程主链和重点项目路径。</w:t>
      </w:r>
    </w:p>
    <w:p w14:paraId="3A2F6E2F">
      <w:pPr>
        <w:jc w:val="center"/>
      </w:pPr>
      <w:r>
        <w:drawing>
          <wp:inline distT="0" distB="0" distL="114300" distR="114300">
            <wp:extent cx="5806440" cy="5052695"/>
            <wp:effectExtent l="0" t="0" r="1016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5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0912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图8 图谱页资源挂接部分：能力节点与资源卡片、评价产出形成映射。</w:t>
      </w:r>
    </w:p>
    <w:p w14:paraId="6A17FB6C">
      <w:pPr>
        <w:pStyle w:val="16"/>
      </w:pPr>
      <w:r>
        <w:rPr>
          <w:rFonts w:ascii="Calibri" w:hAnsi="Calibri" w:eastAsia="微软雅黑"/>
          <w:sz w:val="21"/>
        </w:rPr>
        <w:t>第一层是课程主链，说明学习方向和职业工作过程。</w:t>
      </w:r>
    </w:p>
    <w:p w14:paraId="6861FF8B">
      <w:pPr>
        <w:pStyle w:val="16"/>
      </w:pPr>
      <w:r>
        <w:rPr>
          <w:rFonts w:ascii="Calibri" w:hAnsi="Calibri" w:eastAsia="微软雅黑"/>
          <w:sz w:val="21"/>
        </w:rPr>
        <w:t>第二层是重点项目路径，说明项目之间如何承接。</w:t>
      </w:r>
    </w:p>
    <w:p w14:paraId="6F887F05">
      <w:pPr>
        <w:pStyle w:val="16"/>
      </w:pPr>
      <w:r>
        <w:rPr>
          <w:rFonts w:ascii="Calibri" w:hAnsi="Calibri" w:eastAsia="微软雅黑"/>
          <w:sz w:val="21"/>
        </w:rPr>
        <w:t>第三层是能力节点，说明学生要训练的具体动作。</w:t>
      </w:r>
    </w:p>
    <w:p w14:paraId="5DB1A95B">
      <w:pPr>
        <w:pStyle w:val="16"/>
      </w:pPr>
      <w:r>
        <w:rPr>
          <w:rFonts w:ascii="Calibri" w:hAnsi="Calibri" w:eastAsia="微软雅黑"/>
          <w:sz w:val="21"/>
        </w:rPr>
        <w:t>第四层是资源卡片与评价产出，说明资源为什么出现、服务哪个节点、形成什么产出。</w:t>
      </w:r>
    </w:p>
    <w:p w14:paraId="3F2744BB">
      <w:pPr>
        <w:pStyle w:val="4"/>
      </w:pPr>
      <w:r>
        <w:rPr>
          <w:rFonts w:ascii="Calibri" w:hAnsi="Calibri" w:eastAsia="微软雅黑"/>
          <w:b/>
          <w:color w:val="166A6A"/>
          <w:sz w:val="26"/>
        </w:rPr>
        <w:t>步骤4：查看教师页</w:t>
      </w:r>
    </w:p>
    <w:p w14:paraId="2C9B003A">
      <w:r>
        <w:rPr>
          <w:rFonts w:ascii="Calibri" w:hAnsi="Calibri" w:eastAsia="微软雅黑"/>
          <w:b w:val="0"/>
        </w:rPr>
        <w:t>教师页面向授课组织，不是学生学习正文。专家可判断教师是否能据此备课、组织课堂、讲评学生产出，以及布置自学和验收。</w:t>
      </w:r>
      <w:r>
        <w:commentReference w:id="0"/>
      </w:r>
    </w:p>
    <w:p w14:paraId="7B752B2F">
      <w:pPr>
        <w:jc w:val="center"/>
      </w:pPr>
      <w:r>
        <w:drawing>
          <wp:inline distT="0" distB="0" distL="114300" distR="114300">
            <wp:extent cx="5806440" cy="3981450"/>
            <wp:effectExtent l="0" t="0" r="1016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E4F7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图9 整书教师页：从备课、课堂组织、讲评反馈和作业验收四个角度组织教师工作。</w:t>
      </w:r>
    </w:p>
    <w:p w14:paraId="1763B51E">
      <w:pPr>
        <w:pStyle w:val="4"/>
      </w:pPr>
      <w:r>
        <w:rPr>
          <w:rFonts w:ascii="Calibri" w:hAnsi="Calibri" w:eastAsia="微软雅黑"/>
          <w:b/>
          <w:color w:val="166A6A"/>
          <w:sz w:val="26"/>
        </w:rPr>
        <w:t>步骤5：查看资源页和交付页</w:t>
      </w:r>
      <w:r>
        <w:commentReference w:id="1"/>
      </w:r>
    </w:p>
    <w:p w14:paraId="4FF52E0B">
      <w:r>
        <w:rPr>
          <w:rFonts w:ascii="Calibri" w:hAnsi="Calibri" w:eastAsia="微软雅黑"/>
          <w:b w:val="0"/>
        </w:rPr>
        <w:t>资源页用于说明资源如何挂接到项目、任务和图谱节点。交付页用于说明进入出版社平台或正式发布前需要检查哪些事项。</w:t>
      </w:r>
    </w:p>
    <w:p w14:paraId="3AE2A218">
      <w:pPr>
        <w:jc w:val="center"/>
      </w:pPr>
      <w:r>
        <w:drawing>
          <wp:inline distT="0" distB="0" distL="114300" distR="114300">
            <wp:extent cx="5806440" cy="3981450"/>
            <wp:effectExtent l="0" t="0" r="1016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D04D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图10 资源页：按项目、任务和图谱数据筛选资源，查看资源用途和挂接关系。</w:t>
      </w:r>
    </w:p>
    <w:p w14:paraId="28F03A51">
      <w:pPr>
        <w:jc w:val="center"/>
      </w:pPr>
      <w:r>
        <w:drawing>
          <wp:inline distT="0" distB="0" distL="114300" distR="114300">
            <wp:extent cx="5806440" cy="3981450"/>
            <wp:effectExtent l="0" t="0" r="1016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44F5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图11 交付页：展示质量检查、资源包封装和平台挂接前的关键事项。</w:t>
      </w:r>
    </w:p>
    <w:p w14:paraId="1D3AC37F">
      <w:pPr>
        <w:pStyle w:val="3"/>
      </w:pPr>
      <w:r>
        <w:rPr>
          <w:rFonts w:ascii="Calibri" w:hAnsi="Calibri" w:eastAsia="微软雅黑"/>
          <w:b/>
          <w:color w:val="166A6A"/>
          <w:sz w:val="32"/>
        </w:rPr>
        <w:t>五、进入P4-T2任务级深样章</w:t>
      </w:r>
    </w:p>
    <w:p w14:paraId="4B446BA6">
      <w:r>
        <w:rPr>
          <w:rFonts w:ascii="Calibri" w:hAnsi="Calibri" w:eastAsia="微软雅黑"/>
          <w:b w:val="0"/>
        </w:rPr>
        <w:t>P4-T2“5G网络优化结果验证”是当前完整任务级样章，用于验证学生端、教师端和任务资源是否能形成一节课或两课时的学习闭环。</w:t>
      </w:r>
    </w:p>
    <w:p w14:paraId="63630877">
      <w:pPr>
        <w:pStyle w:val="4"/>
      </w:pPr>
      <w:r>
        <w:rPr>
          <w:rFonts w:ascii="Calibri" w:hAnsi="Calibri" w:eastAsia="微软雅黑"/>
          <w:b/>
          <w:color w:val="166A6A"/>
          <w:sz w:val="26"/>
        </w:rPr>
        <w:t>学生学习页：从问题进入、完成活动、形成产出</w:t>
      </w:r>
    </w:p>
    <w:p w14:paraId="3CAAA490">
      <w:pPr>
        <w:jc w:val="center"/>
      </w:pPr>
      <w:r>
        <w:drawing>
          <wp:inline distT="0" distB="0" distL="114300" distR="114300">
            <wp:extent cx="5806440" cy="3981450"/>
            <wp:effectExtent l="0" t="0" r="1016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27F4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图12 P4-T2学生学习页：学生从任务入口进入，按案例完成学习活动并形成可检查产出。</w:t>
      </w:r>
    </w:p>
    <w:p w14:paraId="1BAA45BF">
      <w:pPr>
        <w:pStyle w:val="16"/>
      </w:pPr>
      <w:r>
        <w:rPr>
          <w:rFonts w:ascii="Calibri" w:hAnsi="Calibri" w:eastAsia="微软雅黑"/>
          <w:sz w:val="21"/>
        </w:rPr>
        <w:t>学生页区分课堂带学和自学跟练。</w:t>
      </w:r>
    </w:p>
    <w:p w14:paraId="749FDB38">
      <w:pPr>
        <w:pStyle w:val="16"/>
      </w:pPr>
      <w:r>
        <w:rPr>
          <w:rFonts w:ascii="Calibri" w:hAnsi="Calibri" w:eastAsia="微软雅黑"/>
          <w:sz w:val="21"/>
        </w:rPr>
        <w:t>页面以案例和活动组织学习，不只是展示标题或资源入口。</w:t>
      </w:r>
    </w:p>
    <w:p w14:paraId="48A064DB">
      <w:pPr>
        <w:pStyle w:val="16"/>
      </w:pPr>
      <w:r>
        <w:rPr>
          <w:rFonts w:ascii="Calibri" w:hAnsi="Calibri" w:eastAsia="微软雅黑"/>
          <w:sz w:val="21"/>
        </w:rPr>
        <w:t>学生需要完成分类、排序、指标判断、依据选择、结论拼装和修正表达等动作。</w:t>
      </w:r>
    </w:p>
    <w:p w14:paraId="6425F7DC">
      <w:pPr>
        <w:pStyle w:val="4"/>
      </w:pPr>
      <w:r>
        <w:rPr>
          <w:rFonts w:ascii="Calibri" w:hAnsi="Calibri" w:eastAsia="微软雅黑"/>
          <w:b/>
          <w:color w:val="166A6A"/>
          <w:sz w:val="26"/>
        </w:rPr>
        <w:t>教师带教页：两课时组织、讲评和复核</w:t>
      </w:r>
      <w:r>
        <w:commentReference w:id="2"/>
      </w:r>
    </w:p>
    <w:p w14:paraId="44471721">
      <w:pPr>
        <w:jc w:val="center"/>
      </w:pPr>
      <w:r>
        <w:drawing>
          <wp:inline distT="0" distB="0" distL="114300" distR="114300">
            <wp:extent cx="5806440" cy="5330190"/>
            <wp:effectExtent l="0" t="0" r="1016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3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FDB2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图13 P4-T2教师带教页上半部分：课堂组织、板书投屏、提问脚本和节奏安排。</w:t>
      </w:r>
    </w:p>
    <w:p w14:paraId="333A3DAB">
      <w:pPr>
        <w:jc w:val="center"/>
      </w:pPr>
      <w:r>
        <w:drawing>
          <wp:inline distT="0" distB="0" distL="114300" distR="114300">
            <wp:extent cx="5806440" cy="5330190"/>
            <wp:effectExtent l="0" t="0" r="1016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3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F8C8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图14 P4-T2教师带教页下半部分：模拟学情、讲评优先级和专业复核提示。</w:t>
      </w:r>
    </w:p>
    <w:p w14:paraId="4C9199DA">
      <w:pPr>
        <w:pStyle w:val="16"/>
      </w:pPr>
      <w:r>
        <w:rPr>
          <w:rFonts w:ascii="Calibri" w:hAnsi="Calibri" w:eastAsia="微软雅黑"/>
          <w:sz w:val="21"/>
        </w:rPr>
        <w:t>教师页保留两课时课堂节奏，学生页不显示课时安排。</w:t>
      </w:r>
    </w:p>
    <w:p w14:paraId="59293BA2">
      <w:pPr>
        <w:pStyle w:val="16"/>
      </w:pPr>
      <w:r>
        <w:rPr>
          <w:rFonts w:ascii="Calibri" w:hAnsi="Calibri" w:eastAsia="微软雅黑"/>
          <w:sz w:val="21"/>
        </w:rPr>
        <w:t>模拟学情用于说明未来真实数据回收后的讲评方式，目前不是实际学生数据。</w:t>
      </w:r>
    </w:p>
    <w:p w14:paraId="52070EA7">
      <w:pPr>
        <w:pStyle w:val="16"/>
      </w:pPr>
      <w:r>
        <w:rPr>
          <w:rFonts w:ascii="Calibri" w:hAnsi="Calibri" w:eastAsia="微软雅黑"/>
          <w:sz w:val="21"/>
        </w:rPr>
        <w:t>专业复核提示用于提醒专家关注指标阈值、结论口径和案例数据是否正确。</w:t>
      </w:r>
    </w:p>
    <w:p w14:paraId="7BE2EF6C">
      <w:pPr>
        <w:pStyle w:val="4"/>
      </w:pPr>
      <w:r>
        <w:rPr>
          <w:rFonts w:ascii="Calibri" w:hAnsi="Calibri" w:eastAsia="微软雅黑"/>
          <w:b/>
          <w:color w:val="166A6A"/>
          <w:sz w:val="26"/>
        </w:rPr>
        <w:t>任务资源页：资源转化和媒体治理</w:t>
      </w:r>
      <w:r>
        <w:commentReference w:id="3"/>
      </w:r>
    </w:p>
    <w:p w14:paraId="3D969364">
      <w:pPr>
        <w:jc w:val="center"/>
      </w:pPr>
      <w:r>
        <w:drawing>
          <wp:inline distT="0" distB="0" distL="114300" distR="114300">
            <wp:extent cx="5806440" cy="5330190"/>
            <wp:effectExtent l="0" t="0" r="1016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3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4CF2">
      <w:pPr>
        <w:spacing w:before="60" w:after="160"/>
      </w:pPr>
      <w:r>
        <w:rPr>
          <w:rFonts w:ascii="Calibri" w:hAnsi="Calibri" w:eastAsia="微软雅黑"/>
          <w:i/>
          <w:color w:val="566575"/>
          <w:sz w:val="18"/>
        </w:rPr>
        <w:t>图15 P4-T2任务资源页：展示教材资源如何转为学习单、表格、互动、图示和后续可扩展资源。</w:t>
      </w:r>
    </w:p>
    <w:p w14:paraId="22A66805">
      <w:pPr>
        <w:pStyle w:val="16"/>
      </w:pPr>
      <w:r>
        <w:rPr>
          <w:rFonts w:ascii="Calibri" w:hAnsi="Calibri" w:eastAsia="微软雅黑"/>
          <w:sz w:val="21"/>
        </w:rPr>
        <w:t>资源不是附件，应服务具体能力节点训练。</w:t>
      </w:r>
    </w:p>
    <w:p w14:paraId="18F34BC2">
      <w:pPr>
        <w:pStyle w:val="16"/>
      </w:pPr>
      <w:r>
        <w:rPr>
          <w:rFonts w:ascii="Calibri" w:hAnsi="Calibri" w:eastAsia="微软雅黑"/>
          <w:sz w:val="21"/>
        </w:rPr>
        <w:t>原教材中的软件截图、仿真界面和图片需要逐项评估，必要时重绘或替换。</w:t>
      </w:r>
    </w:p>
    <w:p w14:paraId="506BEE07">
      <w:pPr>
        <w:pStyle w:val="16"/>
      </w:pPr>
      <w:r>
        <w:rPr>
          <w:rFonts w:ascii="Calibri" w:hAnsi="Calibri" w:eastAsia="微软雅黑"/>
          <w:sz w:val="21"/>
        </w:rPr>
        <w:t>后续可把适合的资源转为动画、互动、小游戏或AI助手支持，但前提是教学目标明确。</w:t>
      </w:r>
    </w:p>
    <w:p w14:paraId="1F09E35E">
      <w:r>
        <w:br w:type="page"/>
      </w:r>
    </w:p>
    <w:p w14:paraId="3BCF4E37">
      <w:pPr>
        <w:pStyle w:val="3"/>
      </w:pPr>
      <w:r>
        <w:rPr>
          <w:rFonts w:ascii="Calibri" w:hAnsi="Calibri" w:eastAsia="微软雅黑"/>
          <w:b/>
          <w:color w:val="166A6A"/>
          <w:sz w:val="32"/>
        </w:rPr>
        <w:t>六、专家重点评审问题</w:t>
      </w:r>
    </w:p>
    <w:p w14:paraId="3EA4D436">
      <w:r>
        <w:rPr>
          <w:rFonts w:ascii="Calibri" w:hAnsi="Calibri" w:eastAsia="微软雅黑"/>
          <w:b w:val="0"/>
        </w:rPr>
        <w:t>专家反馈建议尽量具体到页面、节点、资源或任务步骤。下表给出建议评审维度。</w:t>
      </w:r>
    </w:p>
    <w:tbl>
      <w:tblPr>
        <w:tblStyle w:val="3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70D40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vAlign w:val="center"/>
          </w:tcPr>
          <w:p w14:paraId="1236EC43">
            <w:r>
              <w:rPr>
                <w:rFonts w:ascii="Calibri" w:hAnsi="Calibri" w:eastAsia="微软雅黑"/>
                <w:b/>
                <w:color w:val="0E4F4F"/>
                <w:sz w:val="21"/>
              </w:rPr>
              <w:t>评审维度</w:t>
            </w:r>
          </w:p>
        </w:tc>
        <w:tc>
          <w:tcPr>
            <w:tcW w:w="7160" w:type="dxa"/>
            <w:shd w:val="clear" w:color="auto" w:fill="E8EEF5"/>
            <w:vAlign w:val="center"/>
          </w:tcPr>
          <w:p w14:paraId="1CA7BCAB">
            <w:r>
              <w:rPr>
                <w:rFonts w:ascii="Calibri" w:hAnsi="Calibri" w:eastAsia="微软雅黑"/>
                <w:b/>
                <w:color w:val="0E4F4F"/>
                <w:sz w:val="21"/>
              </w:rPr>
              <w:t>重点关注与建议反馈</w:t>
            </w:r>
          </w:p>
        </w:tc>
      </w:tr>
      <w:tr w14:paraId="23960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BE4D17F">
            <w:r>
              <w:rPr>
                <w:rFonts w:ascii="Calibri" w:hAnsi="Calibri" w:eastAsia="微软雅黑"/>
                <w:color w:val="333333"/>
                <w:sz w:val="20"/>
              </w:rPr>
              <w:t>整体可理解性</w:t>
            </w:r>
          </w:p>
        </w:tc>
        <w:tc>
          <w:tcPr>
            <w:tcW w:w="7160" w:type="dxa"/>
          </w:tcPr>
          <w:p w14:paraId="66B91EC1">
            <w:r>
              <w:rPr>
                <w:rFonts w:ascii="Calibri" w:hAnsi="Calibri" w:eastAsia="微软雅黑"/>
                <w:color w:val="333333"/>
                <w:sz w:val="20"/>
              </w:rPr>
              <w:t>专家首次打开后，是否能理解课程、项目、图谱、任务和资源之间的关系。请指出卡住的位置，并说明是导航、文字、术语还是页面结构导致。</w:t>
            </w:r>
          </w:p>
        </w:tc>
      </w:tr>
      <w:tr w14:paraId="2594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DF0D4AB">
            <w:r>
              <w:rPr>
                <w:rFonts w:ascii="Calibri" w:hAnsi="Calibri" w:eastAsia="微软雅黑"/>
                <w:color w:val="333333"/>
                <w:sz w:val="20"/>
              </w:rPr>
              <w:t>教学可用性</w:t>
            </w:r>
          </w:p>
        </w:tc>
        <w:tc>
          <w:tcPr>
            <w:tcW w:w="7160" w:type="dxa"/>
          </w:tcPr>
          <w:p w14:paraId="2E5E0870">
            <w:r>
              <w:rPr>
                <w:rFonts w:ascii="Calibri" w:hAnsi="Calibri" w:eastAsia="微软雅黑"/>
                <w:color w:val="333333"/>
                <w:sz w:val="20"/>
              </w:rPr>
              <w:t>教师是否能据此组织课堂，学生是否能按任务完成学习产出。请给出课堂使用建议、学生可能不懂的位置和需要补充的支架。</w:t>
            </w:r>
          </w:p>
        </w:tc>
      </w:tr>
      <w:tr w14:paraId="6318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70260E8">
            <w:r>
              <w:rPr>
                <w:rFonts w:ascii="Calibri" w:hAnsi="Calibri" w:eastAsia="微软雅黑"/>
                <w:color w:val="333333"/>
                <w:sz w:val="20"/>
              </w:rPr>
              <w:t>专业正确性</w:t>
            </w:r>
          </w:p>
        </w:tc>
        <w:tc>
          <w:tcPr>
            <w:tcW w:w="7160" w:type="dxa"/>
          </w:tcPr>
          <w:p w14:paraId="5D3DD6C3">
            <w:r>
              <w:rPr>
                <w:rFonts w:ascii="Calibri" w:hAnsi="Calibri" w:eastAsia="微软雅黑"/>
                <w:color w:val="333333"/>
                <w:sz w:val="20"/>
              </w:rPr>
              <w:t>5G网优指标、判断口径、案例数据、结论表达是否可靠。请标注错误或待复核口径，并给出正确表达或可采用标准。</w:t>
            </w:r>
          </w:p>
        </w:tc>
      </w:tr>
      <w:tr w14:paraId="77AFE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D0B70A3">
            <w:r>
              <w:rPr>
                <w:rFonts w:ascii="Calibri" w:hAnsi="Calibri" w:eastAsia="微软雅黑"/>
                <w:color w:val="333333"/>
                <w:sz w:val="20"/>
              </w:rPr>
              <w:t>图谱支撑性</w:t>
            </w:r>
          </w:p>
        </w:tc>
        <w:tc>
          <w:tcPr>
            <w:tcW w:w="7160" w:type="dxa"/>
          </w:tcPr>
          <w:p w14:paraId="393DDF0F">
            <w:r>
              <w:rPr>
                <w:rFonts w:ascii="Calibri" w:hAnsi="Calibri" w:eastAsia="微软雅黑"/>
                <w:color w:val="333333"/>
                <w:sz w:val="20"/>
              </w:rPr>
              <w:t>课程能力图谱是否能解释前后承接、节点训练和资源挂接。请指出节点缺失、关系不清、资源挂接不合理或评价产出不明确的位置。</w:t>
            </w:r>
          </w:p>
        </w:tc>
      </w:tr>
      <w:tr w14:paraId="5B41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DC464AB">
            <w:r>
              <w:rPr>
                <w:rFonts w:ascii="Calibri" w:hAnsi="Calibri" w:eastAsia="微软雅黑"/>
                <w:color w:val="333333"/>
                <w:sz w:val="20"/>
              </w:rPr>
              <w:t>资源转化价值</w:t>
            </w:r>
          </w:p>
        </w:tc>
        <w:tc>
          <w:tcPr>
            <w:tcW w:w="7160" w:type="dxa"/>
          </w:tcPr>
          <w:p w14:paraId="799F728F">
            <w:r>
              <w:rPr>
                <w:rFonts w:ascii="Calibri" w:hAnsi="Calibri" w:eastAsia="微软雅黑"/>
                <w:color w:val="333333"/>
                <w:sz w:val="20"/>
              </w:rPr>
              <w:t>图片、表格、互动、动画、小游戏等是否服务学习任务。请建议哪些资源应保留、重绘、替换、转成互动或删除。</w:t>
            </w:r>
          </w:p>
        </w:tc>
      </w:tr>
      <w:tr w14:paraId="1B81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165690F">
            <w:r>
              <w:rPr>
                <w:rFonts w:ascii="Calibri" w:hAnsi="Calibri" w:eastAsia="微软雅黑"/>
                <w:color w:val="333333"/>
                <w:sz w:val="20"/>
              </w:rPr>
              <w:t>平台交付风险</w:t>
            </w:r>
          </w:p>
        </w:tc>
        <w:tc>
          <w:tcPr>
            <w:tcW w:w="7160" w:type="dxa"/>
          </w:tcPr>
          <w:p w14:paraId="43CD2EF1">
            <w:r>
              <w:rPr>
                <w:rFonts w:ascii="Calibri" w:hAnsi="Calibri" w:eastAsia="微软雅黑"/>
                <w:color w:val="333333"/>
                <w:sz w:val="20"/>
              </w:rPr>
              <w:t>是否存在版权、数据安全、媒体重绘、平台接口和质量检测问题。请按高/中/低优先级说明风险和处理建议。</w:t>
            </w:r>
          </w:p>
        </w:tc>
      </w:tr>
    </w:tbl>
    <w:p w14:paraId="066F50B0">
      <w:r>
        <w:br w:type="page"/>
      </w:r>
    </w:p>
    <w:p w14:paraId="6157A0BC">
      <w:pPr>
        <w:pStyle w:val="3"/>
      </w:pPr>
      <w:r>
        <w:rPr>
          <w:rFonts w:ascii="Calibri" w:hAnsi="Calibri" w:eastAsia="微软雅黑"/>
          <w:b/>
          <w:color w:val="166A6A"/>
          <w:sz w:val="32"/>
        </w:rPr>
        <w:t>七、建议专家填写的反馈格式</w:t>
      </w:r>
    </w:p>
    <w:p w14:paraId="1236D6DB">
      <w:r>
        <w:rPr>
          <w:rFonts w:ascii="Calibri" w:hAnsi="Calibri" w:eastAsia="微软雅黑"/>
          <w:b w:val="0"/>
        </w:rPr>
        <w:t>为便于后续迭代，建议每条意见至少包含“问题位置、问题说明、影响、修改建议、优先级”。</w:t>
      </w:r>
    </w:p>
    <w:tbl>
      <w:tblPr>
        <w:tblStyle w:val="3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055B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  <w:vAlign w:val="center"/>
          </w:tcPr>
          <w:p w14:paraId="5167F118">
            <w:r>
              <w:rPr>
                <w:rFonts w:ascii="Calibri" w:hAnsi="Calibri" w:eastAsia="微软雅黑"/>
                <w:b/>
                <w:color w:val="0E4F4F"/>
                <w:sz w:val="21"/>
              </w:rPr>
              <w:t>问题位置</w:t>
            </w:r>
          </w:p>
        </w:tc>
        <w:tc>
          <w:tcPr>
            <w:tcW w:w="7260" w:type="dxa"/>
            <w:vAlign w:val="center"/>
          </w:tcPr>
          <w:p w14:paraId="597B0992">
            <w:r>
              <w:rPr>
                <w:rFonts w:ascii="Calibri" w:hAnsi="Calibri" w:eastAsia="微软雅黑"/>
                <w:color w:val="333333"/>
                <w:sz w:val="21"/>
              </w:rPr>
              <w:t>例如：图谱页第三层P4T2-N03、P4-T2学生学习页案例2、资源页P4-T2任务资源。</w:t>
            </w:r>
          </w:p>
        </w:tc>
      </w:tr>
      <w:tr w14:paraId="5631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</w:tcPr>
          <w:p w14:paraId="54A00AC2">
            <w:r>
              <w:rPr>
                <w:rFonts w:ascii="Calibri" w:hAnsi="Calibri" w:eastAsia="微软雅黑"/>
                <w:b/>
                <w:color w:val="0E4F4F"/>
                <w:sz w:val="21"/>
              </w:rPr>
              <w:t>问题说明</w:t>
            </w:r>
          </w:p>
        </w:tc>
        <w:tc>
          <w:tcPr>
            <w:tcW w:w="7260" w:type="dxa"/>
          </w:tcPr>
          <w:p w14:paraId="5841D1A9">
            <w:r>
              <w:rPr>
                <w:rFonts w:ascii="Calibri" w:hAnsi="Calibri" w:eastAsia="微软雅黑"/>
                <w:color w:val="333333"/>
                <w:sz w:val="21"/>
              </w:rPr>
              <w:t>用一句话说明当前哪里不清楚、不正确、不适合教学或不利于平台交付。</w:t>
            </w:r>
          </w:p>
        </w:tc>
      </w:tr>
      <w:tr w14:paraId="5767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</w:tcPr>
          <w:p w14:paraId="77DD9238">
            <w:r>
              <w:rPr>
                <w:rFonts w:ascii="Calibri" w:hAnsi="Calibri" w:eastAsia="微软雅黑"/>
                <w:b/>
                <w:color w:val="0E4F4F"/>
                <w:sz w:val="21"/>
              </w:rPr>
              <w:t>影响判断</w:t>
            </w:r>
          </w:p>
        </w:tc>
        <w:tc>
          <w:tcPr>
            <w:tcW w:w="7260" w:type="dxa"/>
          </w:tcPr>
          <w:p w14:paraId="2B417367">
            <w:r>
              <w:rPr>
                <w:rFonts w:ascii="Calibri" w:hAnsi="Calibri" w:eastAsia="微软雅黑"/>
                <w:color w:val="333333"/>
                <w:sz w:val="21"/>
              </w:rPr>
              <w:t>说明会影响学生自学、教师授课、专业准确性、媒体合规、平台发布或数据安全中的哪一类。</w:t>
            </w:r>
          </w:p>
        </w:tc>
      </w:tr>
      <w:tr w14:paraId="65EC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</w:tcPr>
          <w:p w14:paraId="0F9A8E5E">
            <w:r>
              <w:rPr>
                <w:rFonts w:ascii="Calibri" w:hAnsi="Calibri" w:eastAsia="微软雅黑"/>
                <w:b/>
                <w:color w:val="0E4F4F"/>
                <w:sz w:val="21"/>
              </w:rPr>
              <w:t>修改建议</w:t>
            </w:r>
          </w:p>
        </w:tc>
        <w:tc>
          <w:tcPr>
            <w:tcW w:w="7260" w:type="dxa"/>
          </w:tcPr>
          <w:p w14:paraId="41CC659B">
            <w:r>
              <w:rPr>
                <w:rFonts w:ascii="Calibri" w:hAnsi="Calibri" w:eastAsia="微软雅黑"/>
                <w:color w:val="333333"/>
                <w:sz w:val="21"/>
              </w:rPr>
              <w:t>尽量给出可执行建议，例如补充术语解释、调整指标阈值、重绘截图、增加对照案例、改资源形态。</w:t>
            </w:r>
          </w:p>
        </w:tc>
      </w:tr>
      <w:tr w14:paraId="4D6DB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</w:tcPr>
          <w:p w14:paraId="2080C235">
            <w:r>
              <w:rPr>
                <w:rFonts w:ascii="Calibri" w:hAnsi="Calibri" w:eastAsia="微软雅黑"/>
                <w:b/>
                <w:color w:val="0E4F4F"/>
                <w:sz w:val="21"/>
              </w:rPr>
              <w:t>优先级</w:t>
            </w:r>
          </w:p>
        </w:tc>
        <w:tc>
          <w:tcPr>
            <w:tcW w:w="7260" w:type="dxa"/>
          </w:tcPr>
          <w:p w14:paraId="660765F3">
            <w:r>
              <w:rPr>
                <w:rFonts w:ascii="Calibri" w:hAnsi="Calibri" w:eastAsia="微软雅黑"/>
                <w:color w:val="333333"/>
                <w:sz w:val="21"/>
              </w:rPr>
              <w:t>高：不改会影响正确性或教学闭环；中：影响理解和使用效率；低：主要是表达或视觉优化。</w:t>
            </w:r>
          </w:p>
        </w:tc>
      </w:tr>
      <w:tr w14:paraId="08F2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FF5E6"/>
            <w:vAlign w:val="center"/>
          </w:tcPr>
          <w:p w14:paraId="5704EFC8">
            <w:pPr>
              <w:spacing w:after="80"/>
            </w:pPr>
            <w:r>
              <w:rPr>
                <w:rFonts w:ascii="Calibri" w:hAnsi="Calibri" w:eastAsia="微软雅黑"/>
                <w:b/>
                <w:color w:val="0E4F4F"/>
                <w:sz w:val="22"/>
              </w:rPr>
              <w:t>最需要专家判断的事项</w:t>
            </w:r>
          </w:p>
          <w:p w14:paraId="20AE66D3">
            <w:pPr>
              <w:spacing w:after="40"/>
            </w:pPr>
            <w:r>
              <w:rPr>
                <w:rFonts w:ascii="Calibri" w:hAnsi="Calibri" w:eastAsia="微软雅黑"/>
                <w:color w:val="333333"/>
                <w:sz w:val="21"/>
              </w:rPr>
              <w:t>一是5G网优专业内容是否正确；二是学生是否能按页面完成学习闭环；三是教师是否能直接组织教学；四是课程能力图谱是否真正支撑资源和评价；五是媒体、数据和平台交付是否存在正式发布风险。</w:t>
            </w:r>
          </w:p>
        </w:tc>
      </w:tr>
    </w:tbl>
    <w:p w14:paraId="20F5878D">
      <w:pPr>
        <w:pStyle w:val="3"/>
      </w:pPr>
      <w:r>
        <w:rPr>
          <w:rFonts w:ascii="Calibri" w:hAnsi="Calibri" w:eastAsia="微软雅黑"/>
          <w:b/>
          <w:color w:val="166A6A"/>
          <w:sz w:val="32"/>
        </w:rPr>
        <w:t>八、当前版本不应被误解为已完成的事项</w:t>
      </w:r>
    </w:p>
    <w:p w14:paraId="530E98EA">
      <w:pPr>
        <w:pStyle w:val="16"/>
      </w:pPr>
      <w:r>
        <w:rPr>
          <w:rFonts w:ascii="Calibri" w:hAnsi="Calibri" w:eastAsia="微软雅黑"/>
          <w:sz w:val="21"/>
        </w:rPr>
        <w:t>不代表整本教材所有任务都已完成任务级深样章。</w:t>
      </w:r>
    </w:p>
    <w:p w14:paraId="3F5D8AB9">
      <w:pPr>
        <w:pStyle w:val="16"/>
      </w:pPr>
      <w:r>
        <w:rPr>
          <w:rFonts w:ascii="Calibri" w:hAnsi="Calibri" w:eastAsia="微软雅黑"/>
          <w:sz w:val="21"/>
        </w:rPr>
        <w:t>不代表课程能力图谱已经通过通信专业专家最终复核。</w:t>
      </w:r>
    </w:p>
    <w:p w14:paraId="1D454478">
      <w:pPr>
        <w:pStyle w:val="16"/>
      </w:pPr>
      <w:r>
        <w:rPr>
          <w:rFonts w:ascii="Calibri" w:hAnsi="Calibri" w:eastAsia="微软雅黑"/>
          <w:sz w:val="21"/>
        </w:rPr>
        <w:t>不代表原教材全部图片、软件截图、仿真界面都已完成版权和媒体重绘审查。</w:t>
      </w:r>
    </w:p>
    <w:p w14:paraId="712C4B8F">
      <w:pPr>
        <w:pStyle w:val="16"/>
      </w:pPr>
      <w:r>
        <w:rPr>
          <w:rFonts w:ascii="Calibri" w:hAnsi="Calibri" w:eastAsia="微软雅黑"/>
          <w:sz w:val="21"/>
        </w:rPr>
        <w:t>不代表已接入真实学习数据、真实AI助手、出版社平台接口或正式资源包封装。</w:t>
      </w:r>
    </w:p>
    <w:p w14:paraId="20C7739A">
      <w:pPr>
        <w:pStyle w:val="16"/>
      </w:pPr>
      <w:r>
        <w:rPr>
          <w:rFonts w:ascii="Calibri" w:hAnsi="Calibri" w:eastAsia="微软雅黑"/>
          <w:sz w:val="21"/>
        </w:rPr>
        <w:t>不代表已经完成真实一线教师和学生试用。</w:t>
      </w:r>
    </w:p>
    <w:p w14:paraId="3D78B534">
      <w:r>
        <w:br w:type="page"/>
      </w:r>
    </w:p>
    <w:p w14:paraId="40A4C1FE">
      <w:pPr>
        <w:pStyle w:val="3"/>
      </w:pPr>
      <w:r>
        <w:rPr>
          <w:rFonts w:ascii="Calibri" w:hAnsi="Calibri" w:eastAsia="微软雅黑"/>
          <w:b/>
          <w:color w:val="166A6A"/>
          <w:sz w:val="32"/>
        </w:rPr>
        <w:t>附录：快速操作清单</w:t>
      </w:r>
    </w:p>
    <w:tbl>
      <w:tblPr>
        <w:tblStyle w:val="3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8060"/>
      </w:tblGrid>
      <w:tr w14:paraId="56A6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E8EEF5"/>
            <w:vAlign w:val="center"/>
          </w:tcPr>
          <w:p w14:paraId="4C9988FC">
            <w:r>
              <w:rPr>
                <w:rFonts w:ascii="Calibri" w:hAnsi="Calibri" w:eastAsia="微软雅黑"/>
                <w:b/>
                <w:color w:val="0E4F4F"/>
                <w:sz w:val="21"/>
              </w:rPr>
              <w:t>步骤</w:t>
            </w:r>
          </w:p>
        </w:tc>
        <w:tc>
          <w:tcPr>
            <w:tcW w:w="8060" w:type="dxa"/>
            <w:shd w:val="clear" w:color="auto" w:fill="E8EEF5"/>
            <w:vAlign w:val="center"/>
          </w:tcPr>
          <w:p w14:paraId="7F66D334">
            <w:r>
              <w:rPr>
                <w:rFonts w:ascii="Calibri" w:hAnsi="Calibri" w:eastAsia="微软雅黑"/>
                <w:b/>
                <w:color w:val="0E4F4F"/>
                <w:sz w:val="21"/>
              </w:rPr>
              <w:t>操作</w:t>
            </w:r>
          </w:p>
        </w:tc>
      </w:tr>
      <w:tr w14:paraId="531C5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566BBC7A">
            <w:pPr>
              <w:jc w:val="center"/>
            </w:pPr>
            <w:r>
              <w:rPr>
                <w:rFonts w:ascii="Calibri" w:hAnsi="Calibri" w:eastAsia="微软雅黑"/>
                <w:b/>
                <w:color w:val="0E4F4F"/>
                <w:sz w:val="20"/>
              </w:rPr>
              <w:t>1</w:t>
            </w:r>
          </w:p>
        </w:tc>
        <w:tc>
          <w:tcPr>
            <w:tcW w:w="8060" w:type="dxa"/>
          </w:tcPr>
          <w:p w14:paraId="1BF7142D">
            <w:r>
              <w:rPr>
                <w:rFonts w:ascii="Calibri" w:hAnsi="Calibri" w:eastAsia="微软雅黑"/>
                <w:color w:val="333333"/>
                <w:sz w:val="20"/>
              </w:rPr>
              <w:t>打开整书预览入口。</w:t>
            </w:r>
          </w:p>
        </w:tc>
      </w:tr>
      <w:tr w14:paraId="4CE08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786A6EC7">
            <w:pPr>
              <w:jc w:val="center"/>
            </w:pPr>
            <w:r>
              <w:rPr>
                <w:rFonts w:ascii="Calibri" w:hAnsi="Calibri" w:eastAsia="微软雅黑"/>
                <w:b/>
                <w:color w:val="0E4F4F"/>
                <w:sz w:val="20"/>
              </w:rPr>
              <w:t>2</w:t>
            </w:r>
          </w:p>
        </w:tc>
        <w:tc>
          <w:tcPr>
            <w:tcW w:w="8060" w:type="dxa"/>
          </w:tcPr>
          <w:p w14:paraId="2E2D583B">
            <w:r>
              <w:rPr>
                <w:rFonts w:ascii="Calibri" w:hAnsi="Calibri" w:eastAsia="微软雅黑"/>
                <w:color w:val="333333"/>
                <w:sz w:val="20"/>
              </w:rPr>
              <w:t>在课程页确认整书项目链和P4-T2入口。</w:t>
            </w:r>
          </w:p>
        </w:tc>
      </w:tr>
      <w:tr w14:paraId="0AC5F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3AF7C136">
            <w:pPr>
              <w:jc w:val="center"/>
            </w:pPr>
            <w:r>
              <w:rPr>
                <w:rFonts w:ascii="Calibri" w:hAnsi="Calibri" w:eastAsia="微软雅黑"/>
                <w:b/>
                <w:color w:val="0E4F4F"/>
                <w:sz w:val="20"/>
              </w:rPr>
              <w:t>3</w:t>
            </w:r>
          </w:p>
        </w:tc>
        <w:tc>
          <w:tcPr>
            <w:tcW w:w="8060" w:type="dxa"/>
          </w:tcPr>
          <w:p w14:paraId="0006192F">
            <w:r>
              <w:rPr>
                <w:rFonts w:ascii="Calibri" w:hAnsi="Calibri" w:eastAsia="微软雅黑"/>
                <w:color w:val="333333"/>
                <w:sz w:val="20"/>
              </w:rPr>
              <w:t>切换到项目页，查看项目二和项目四的学习路径。</w:t>
            </w:r>
          </w:p>
        </w:tc>
      </w:tr>
      <w:tr w14:paraId="655C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10EF4DCE">
            <w:pPr>
              <w:jc w:val="center"/>
            </w:pPr>
            <w:r>
              <w:rPr>
                <w:rFonts w:ascii="Calibri" w:hAnsi="Calibri" w:eastAsia="微软雅黑"/>
                <w:b/>
                <w:color w:val="0E4F4F"/>
                <w:sz w:val="20"/>
              </w:rPr>
              <w:t>4</w:t>
            </w:r>
          </w:p>
        </w:tc>
        <w:tc>
          <w:tcPr>
            <w:tcW w:w="8060" w:type="dxa"/>
          </w:tcPr>
          <w:p w14:paraId="0E5D803F">
            <w:r>
              <w:rPr>
                <w:rFonts w:ascii="Calibri" w:hAnsi="Calibri" w:eastAsia="微软雅黑"/>
                <w:color w:val="333333"/>
                <w:sz w:val="20"/>
              </w:rPr>
              <w:t>切换到图谱页，查看课程主链、项目路径、能力节点和资源卡片。</w:t>
            </w:r>
          </w:p>
        </w:tc>
      </w:tr>
      <w:tr w14:paraId="1D179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0" w:type="dxa"/>
          </w:tcPr>
          <w:p w14:paraId="2D0CBFD0">
            <w:pPr>
              <w:jc w:val="center"/>
            </w:pPr>
            <w:r>
              <w:rPr>
                <w:rFonts w:ascii="Calibri" w:hAnsi="Calibri" w:eastAsia="微软雅黑"/>
                <w:b/>
                <w:color w:val="0E4F4F"/>
                <w:sz w:val="20"/>
              </w:rPr>
              <w:t>5</w:t>
            </w:r>
          </w:p>
        </w:tc>
        <w:tc>
          <w:tcPr>
            <w:tcW w:w="8060" w:type="dxa"/>
          </w:tcPr>
          <w:p w14:paraId="57A3FB4C">
            <w:r>
              <w:rPr>
                <w:rFonts w:ascii="Calibri" w:hAnsi="Calibri" w:eastAsia="微软雅黑"/>
                <w:color w:val="333333"/>
                <w:sz w:val="20"/>
              </w:rPr>
              <w:t>点击“进入P4-T2优化结果验证”，模拟学生学习。</w:t>
            </w:r>
          </w:p>
        </w:tc>
      </w:tr>
      <w:tr w14:paraId="1B382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002E323E">
            <w:pPr>
              <w:jc w:val="center"/>
            </w:pPr>
            <w:r>
              <w:rPr>
                <w:rFonts w:ascii="Calibri" w:hAnsi="Calibri" w:eastAsia="微软雅黑"/>
                <w:b/>
                <w:color w:val="0E4F4F"/>
                <w:sz w:val="20"/>
              </w:rPr>
              <w:t>6</w:t>
            </w:r>
          </w:p>
        </w:tc>
        <w:tc>
          <w:tcPr>
            <w:tcW w:w="8060" w:type="dxa"/>
          </w:tcPr>
          <w:p w14:paraId="6B9196EB">
            <w:r>
              <w:rPr>
                <w:rFonts w:ascii="Calibri" w:hAnsi="Calibri" w:eastAsia="微软雅黑"/>
                <w:color w:val="333333"/>
                <w:sz w:val="20"/>
              </w:rPr>
              <w:t>切换P4-T2页面的“教师带教”和“任务资源”，观察教师组织和资源转化。</w:t>
            </w:r>
          </w:p>
        </w:tc>
      </w:tr>
      <w:tr w14:paraId="1ACDF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0" w:type="dxa"/>
          </w:tcPr>
          <w:p w14:paraId="652B6805">
            <w:pPr>
              <w:jc w:val="center"/>
            </w:pPr>
            <w:r>
              <w:rPr>
                <w:rFonts w:ascii="Calibri" w:hAnsi="Calibri" w:eastAsia="微软雅黑"/>
                <w:b/>
                <w:color w:val="0E4F4F"/>
                <w:sz w:val="20"/>
              </w:rPr>
              <w:t>7</w:t>
            </w:r>
          </w:p>
        </w:tc>
        <w:tc>
          <w:tcPr>
            <w:tcW w:w="8060" w:type="dxa"/>
          </w:tcPr>
          <w:p w14:paraId="2DD6A2FC">
            <w:r>
              <w:rPr>
                <w:rFonts w:ascii="Calibri" w:hAnsi="Calibri" w:eastAsia="微软雅黑"/>
                <w:color w:val="333333"/>
                <w:sz w:val="20"/>
              </w:rPr>
              <w:t>返回整书首页，查看资源页和交付页。</w:t>
            </w:r>
          </w:p>
        </w:tc>
      </w:tr>
      <w:tr w14:paraId="4949D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0C5401C6">
            <w:pPr>
              <w:jc w:val="center"/>
            </w:pPr>
            <w:r>
              <w:rPr>
                <w:rFonts w:ascii="Calibri" w:hAnsi="Calibri" w:eastAsia="微软雅黑"/>
                <w:b/>
                <w:color w:val="0E4F4F"/>
                <w:sz w:val="20"/>
              </w:rPr>
              <w:t>8</w:t>
            </w:r>
          </w:p>
        </w:tc>
        <w:tc>
          <w:tcPr>
            <w:tcW w:w="8060" w:type="dxa"/>
          </w:tcPr>
          <w:p w14:paraId="165BEAA9">
            <w:r>
              <w:rPr>
                <w:rFonts w:ascii="Calibri" w:hAnsi="Calibri" w:eastAsia="微软雅黑"/>
                <w:color w:val="333333"/>
                <w:sz w:val="20"/>
              </w:rPr>
              <w:t>按评审问题表提交改进意见。</w:t>
            </w:r>
          </w:p>
        </w:tc>
      </w:tr>
    </w:tbl>
    <w:p w14:paraId="364DAC02"/>
    <w:sectPr>
      <w:headerReference r:id="rId7" w:type="default"/>
      <w:footerReference r:id="rId8" w:type="default"/>
      <w:pgSz w:w="12240" w:h="15840"/>
      <w:pgMar w:top="1440" w:right="1440" w:bottom="1440" w:left="1440" w:header="706" w:footer="706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朱启文" w:date="2026-06-29T14:19:23Z" w:initials="">
    <w:p w14:paraId="290E1B5B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课前准备要去掉，由AI来进行自主准备；课堂组织课堂组织也是由AI给出建议，教师认可就可以自动组织。</w:t>
      </w:r>
    </w:p>
  </w:comment>
  <w:comment w:id="1" w:author="朱启文" w:date="2026-06-29T14:22:10Z" w:initials="">
    <w:p w14:paraId="6CBE7EEB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去掉，在素材子平台中体现</w:t>
      </w:r>
    </w:p>
  </w:comment>
  <w:comment w:id="2" w:author="朱启文" w:date="2026-06-29T14:28:01Z" w:initials="">
    <w:p w14:paraId="006703E6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任务的组织、讲评和复核</w:t>
      </w:r>
    </w:p>
  </w:comment>
  <w:comment w:id="3" w:author="朱启文" w:date="2026-06-29T14:28:40Z" w:initials="">
    <w:p w14:paraId="784EEFFD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采用能力图谱映射图形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90E1B5B" w15:done="0"/>
  <w15:commentEx w15:paraId="6CBE7EEB" w15:done="0"/>
  <w15:commentEx w15:paraId="006703E6" w15:done="0"/>
  <w15:commentEx w15:paraId="784EEFF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F8E64">
    <w:pPr>
      <w:pStyle w:val="25"/>
      <w:jc w:val="center"/>
    </w:pPr>
    <w:r>
      <w:rPr>
        <w:rFonts w:ascii="Calibri" w:hAnsi="Calibri" w:eastAsia="微软雅黑"/>
        <w:color w:val="566575"/>
        <w:sz w:val="17"/>
      </w:rPr>
      <w:t>供专家评审使用：请结合专业正确性、教学可用性、图谱清晰度和平台交付提出意见。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53E7D">
    <w:pPr>
      <w:pStyle w:val="26"/>
      <w:jc w:val="right"/>
    </w:pPr>
    <w:r>
      <w:rPr>
        <w:rFonts w:ascii="Calibri" w:hAnsi="Calibri" w:eastAsia="微软雅黑"/>
        <w:color w:val="566575"/>
        <w:sz w:val="18"/>
      </w:rPr>
      <w:t>5G网络优化教材（高级）数字教材预览版 | 专家评审使用说明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朱启文">
    <w15:presenceInfo w15:providerId="WPS Office" w15:userId="7495194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D772A7"/>
    <w:rsid w:val="6845219F"/>
    <w:rsid w:val="FBF7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166A6A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166A6A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0E4F4F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8" Type="http://schemas.microsoft.com/office/2011/relationships/people" Target="people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2678</Words>
  <Characters>3037</Characters>
  <Lines>0</Lines>
  <Paragraphs>0</Paragraphs>
  <TotalTime>315</TotalTime>
  <ScaleCrop>false</ScaleCrop>
  <LinksUpToDate>false</LinksUpToDate>
  <CharactersWithSpaces>3060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朱启文</cp:lastModifiedBy>
  <dcterms:modified xsi:type="dcterms:W3CDTF">2026-06-29T06:30:03Z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1EA302AF5DED468990561AEFA8C58FD7_13</vt:lpwstr>
  </property>
  <property fmtid="{D5CDD505-2E9C-101B-9397-08002B2CF9AE}" pid="4" name="KSOTemplateDocerSaveRecord">
    <vt:lpwstr>eyJoZGlkIjoiYWE4OTZmYjk3MjliOThhOWQzOGMzZmZmZTBjNWRmNDkiLCJ1c2VySWQiOiIzNTg2ODU0MjcifQ==</vt:lpwstr>
  </property>
</Properties>
</file>