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D73B" w14:textId="77777777" w:rsidR="00674EF8" w:rsidRPr="00F84336" w:rsidRDefault="00000000">
      <w:pPr>
        <w:spacing w:after="140" w:line="276" w:lineRule="auto"/>
        <w:jc w:val="center"/>
        <w:rPr>
          <w:sz w:val="28"/>
          <w:szCs w:val="28"/>
        </w:rPr>
      </w:pPr>
      <w:bookmarkStart w:id="0" w:name="_Hlk227760712"/>
      <w:r>
        <w:rPr>
          <w:b/>
          <w:bCs/>
          <w:sz w:val="28"/>
          <w:szCs w:val="28"/>
        </w:rPr>
        <w:t>An Inverse-Design Stacked Ensemble Algorithm for Adsorption System Optimisation Using Agricultural Waste Adsorbents</w:t>
      </w:r>
    </w:p>
    <w:p w14:paraId="57A300B9" w14:textId="77777777" w:rsidR="001C32BB" w:rsidRDefault="00000000" w:rsidP="00202C77">
      <w:pPr>
        <w:spacing w:after="40"/>
        <w:jc w:val="both"/>
      </w:pPr>
      <w:r>
        <w:rPr>
          <w:i/>
          <w:iCs/>
        </w:rPr>
        <w:t xml:space="preserve">Abstract </w:t>
      </w:r>
      <w:r>
        <w:rPr>
          <w:b/>
          <w:bCs/>
        </w:rPr>
        <w:t>- Water contamination from heavy metals and synthetic dyes demands efficient, scalable treatment solutions. Adsorption using agricultural waste-derived materials offers a sustainable alternative; however, system optimisation is challenged by complex, nonlinear interactions among material properties, pollutant characteristics, and operating conditions. This study proposes the Inverse-Design Stacked Ensemble Algorithm (ID-SEAD), an integrated framework coupling constraint-aware stacked ensemble learning with differential evolution-based inverse design for adsorption system optimisation. Four base learners (Linear Regression, Support Vector Regression, Random Forest, and XGBoost) are combined via a Ridge meta-learner trained on out-of-fold predictions. A penalty-based objective function enforces physical feasibility by imposing non-negativity, upper-bound compliance, and local Lipschitz stability during training. The trained ensemble is embedded in a differential evolution loop to enable inverse design of adsorbent–process configurations for specified performance targets. Results show strong predictive accuracy (R² = 0.853 ± 0.050 CV), a reduction in constraint violation rate from 8.3% (unconstrained baseline) to 1.2% (ID-SEAD), and a 3.6× reduction in perturbation sensitivity. The framework advances adsorption modelling from a purely predictive task to a prescriptive decision-support tool for sustainable wastewater treatment design.</w:t>
      </w:r>
    </w:p>
    <w:p w14:paraId="235F90A7" w14:textId="77777777" w:rsidR="00674EF8" w:rsidRDefault="00000000" w:rsidP="00202C77">
      <w:pPr>
        <w:spacing w:after="80"/>
        <w:jc w:val="both"/>
      </w:pPr>
      <w:r>
        <w:rPr>
          <w:i/>
          <w:iCs/>
        </w:rPr>
        <w:t>Keywords</w:t>
      </w:r>
      <w:r>
        <w:rPr>
          <w:b/>
          <w:bCs/>
        </w:rPr>
        <w:t xml:space="preserve"> </w:t>
      </w:r>
      <w:r>
        <w:t xml:space="preserve">— </w:t>
      </w:r>
      <w:r>
        <w:rPr>
          <w:b/>
          <w:bCs/>
        </w:rPr>
        <w:t>Adsorption; Machine learning; Stacked ensemble; Inverse design; Constraint-based learning; Optimisation</w:t>
      </w:r>
    </w:p>
    <w:p w14:paraId="243D092C" w14:textId="77777777" w:rsidR="00674EF8" w:rsidRDefault="00674EF8"/>
    <w:p w14:paraId="5495A0CB" w14:textId="77777777" w:rsidR="00674EF8" w:rsidRPr="00202C77" w:rsidRDefault="00202C77">
      <w:pPr>
        <w:spacing w:before="140" w:after="70"/>
        <w:jc w:val="center"/>
        <w:rPr>
          <w:sz w:val="20"/>
          <w:szCs w:val="20"/>
        </w:rPr>
      </w:pPr>
      <w:r>
        <w:rPr>
          <w:sz w:val="20"/>
          <w:szCs w:val="20"/>
        </w:rPr>
        <w:t>1.0 INTRODUCTION</w:t>
      </w:r>
    </w:p>
    <w:p w14:paraId="0B467459" w14:textId="77777777" w:rsidR="00CB53FE" w:rsidRPr="00202C77" w:rsidRDefault="00CB53FE" w:rsidP="00CB53FE">
      <w:pPr>
        <w:spacing w:after="60"/>
        <w:jc w:val="both"/>
        <w:rPr>
          <w:sz w:val="20"/>
          <w:szCs w:val="20"/>
        </w:rPr>
      </w:pPr>
      <w:r>
        <w:rPr>
          <w:sz w:val="20"/>
          <w:szCs w:val="20"/>
        </w:rPr>
        <w:t>Water contamination by heavy metals and synthetic dyes remains a persistent global environmental challenge, particularly in regions with limited wastewater treatment infrastructure [1], [2]. Adsorption using agricultural waste-derived materials—such as rice husk, coconut shell, and corn cob—has emerged as a sustainable and cost-effective solution due to their abundance, low cost, and favourable physicochemical properties [3], [1]. However, adsorption performance is governed by complex, nonlinear interactions among material characteristics, pollutant types, and operating conditions, making optimal system design difficult using conventional trial-and-error approaches [4].</w:t>
      </w:r>
    </w:p>
    <w:p w14:paraId="28EA43B0" w14:textId="77777777" w:rsidR="00CB53FE" w:rsidRPr="00202C77" w:rsidRDefault="00CB53FE" w:rsidP="00CB53FE">
      <w:pPr>
        <w:spacing w:after="60"/>
        <w:jc w:val="both"/>
        <w:rPr>
          <w:sz w:val="20"/>
          <w:szCs w:val="20"/>
        </w:rPr>
      </w:pPr>
      <w:r>
        <w:rPr>
          <w:sz w:val="20"/>
          <w:szCs w:val="20"/>
        </w:rPr>
        <w:t>Recent advances in data-driven modelling, particularly machine learning, have demonstrated strong capability in capturing nonlinear relationships in adsorption systems [5], [6]. These approaches enable improved prediction of adsorption capacity without relying on restrictive assumptions inherent in classical isotherm models [4]. Despite these advances, most existing studies are limited to forward prediction, where model outputs are generated for predefined inputs [5]–[7]. Such approaches do not directly support system design, as they lack mechanisms to identify optimal adsorbent–process configurations for desired performance targets.</w:t>
      </w:r>
    </w:p>
    <w:p w14:paraId="3E338A1C" w14:textId="77777777" w:rsidR="00CB53FE" w:rsidRPr="00202C77" w:rsidRDefault="00CB53FE" w:rsidP="00CB53FE">
      <w:pPr>
        <w:spacing w:after="60"/>
        <w:jc w:val="both"/>
        <w:rPr>
          <w:sz w:val="20"/>
          <w:szCs w:val="20"/>
        </w:rPr>
      </w:pPr>
      <w:r>
        <w:rPr>
          <w:sz w:val="20"/>
          <w:szCs w:val="20"/>
        </w:rPr>
        <w:t xml:space="preserve">In parallel, ensemble learning methods—especially stacked ensembles—have shown improved predictive accuracy by combining the strengths of multiple base learners [5], [8]. </w:t>
      </w:r>
    </w:p>
    <w:p w14:paraId="5A461F79" w14:textId="77777777" w:rsidR="00CB53FE" w:rsidRPr="00202C77" w:rsidRDefault="00CB53FE" w:rsidP="00CB53FE">
      <w:pPr>
        <w:spacing w:after="60"/>
        <w:jc w:val="both"/>
        <w:rPr>
          <w:sz w:val="20"/>
          <w:szCs w:val="20"/>
        </w:rPr>
      </w:pPr>
      <w:r>
        <w:rPr>
          <w:sz w:val="20"/>
          <w:szCs w:val="20"/>
        </w:rPr>
        <w:t>Standard stacking methods have no built-in way to check whether predictions make physical sense [5]. A model can output negative adsorption values, or values that exceed what any known material can achieve [4]. ID-SEAD mitigates this by enforcing physical rules during training that proactively prevent such violations. This limitation reduces the reliability of these models in practical engineering applications, particularly under extrapolative or data-sparse conditions [9].</w:t>
      </w:r>
    </w:p>
    <w:p w14:paraId="4F3253DA" w14:textId="77777777" w:rsidR="00CB53FE" w:rsidRPr="00202C77" w:rsidRDefault="00CB53FE" w:rsidP="00CB53FE">
      <w:pPr>
        <w:spacing w:after="60"/>
        <w:jc w:val="both"/>
        <w:rPr>
          <w:sz w:val="20"/>
          <w:szCs w:val="20"/>
        </w:rPr>
      </w:pPr>
      <w:r>
        <w:rPr>
          <w:sz w:val="20"/>
          <w:szCs w:val="20"/>
        </w:rPr>
        <w:t>Inverse design, which embeds predictive models within optimization frameworks to identify input configurations that achieve specified target outputs, has gained increasing attention in materials informatics and process engineering [9]. Differential evolution is a population-based global optimization method particularly effective for such problems due to its robustness in nonlinear and non-convex search spaces [10]. However, the integration of constraint-aware learning, stacked ensemble modelling, and inverse design optimization within a unified framework remains largely unexplored in adsorption system modelling [5], [7].</w:t>
      </w:r>
    </w:p>
    <w:p w14:paraId="58C7A571" w14:textId="77777777" w:rsidR="00CB53FE" w:rsidRPr="00202C77" w:rsidRDefault="00CB53FE" w:rsidP="00CB53FE">
      <w:pPr>
        <w:spacing w:after="60"/>
        <w:jc w:val="both"/>
        <w:rPr>
          <w:sz w:val="20"/>
          <w:szCs w:val="20"/>
        </w:rPr>
      </w:pPr>
      <w:r>
        <w:rPr>
          <w:sz w:val="20"/>
          <w:szCs w:val="20"/>
        </w:rPr>
        <w:t>To address these limitations, this study proposes ID-SEAD, an integrated framework for adsorption system optimisation that combines constraint-aware stacked ensemble learning with differential evolution-based inverse design, extending the dataset and base ML workflow established in [11]. The contribution lies in the principled integration of four components—domain-informed feature engineering, stacked ensemble learning, a constraint-based penalty objective, and differential evolution optimisation—into a unified prescriptive design tool not previously demonstrated for adsorption systems. The primary contributions are:  - Integration of constraint-aware stacked ensemble learning with inverse design optimisation in a unified framework for adsorption system design, addressing a gap not covered by existing forward-prediction approaches;  - A closed-form penalty objective that simultaneously enforces non-negativity, upper-bound compliance, and local Lipschitz stability during meta-learner training, reducing constraint violations from 8.3% to 1.2%; and  - Demonstration that the trained ensemble, embedded within a differential evolution loop, generates physically plausible adsorbent–process configurations for specified adsorption capacity targets.  The proposed framework advances adsorption modelling from a purely predictive task to a prescriptive decision-support tool for wastewater treatment system design.</w:t>
      </w:r>
    </w:p>
    <w:p w14:paraId="7E22B252" w14:textId="77777777" w:rsidR="00CB53FE" w:rsidRDefault="00CB53FE">
      <w:pPr>
        <w:spacing w:after="60"/>
        <w:jc w:val="both"/>
      </w:pPr>
    </w:p>
    <w:p w14:paraId="141FDE91" w14:textId="77777777" w:rsidR="00674EF8" w:rsidRPr="00202C77" w:rsidRDefault="00202C77">
      <w:pPr>
        <w:spacing w:after="60"/>
        <w:jc w:val="center"/>
        <w:rPr>
          <w:sz w:val="20"/>
          <w:szCs w:val="20"/>
        </w:rPr>
      </w:pPr>
      <w:r>
        <w:rPr>
          <w:sz w:val="20"/>
          <w:szCs w:val="20"/>
        </w:rPr>
        <w:t>2.0 REVIEW OF PAST WORK</w:t>
      </w:r>
    </w:p>
    <w:p w14:paraId="25AA0E02" w14:textId="77777777" w:rsidR="00B31A7C" w:rsidRPr="00202C77" w:rsidRDefault="00202C77" w:rsidP="00B31A7C">
      <w:pPr>
        <w:spacing w:after="60"/>
        <w:jc w:val="both"/>
        <w:rPr>
          <w:i/>
          <w:iCs/>
          <w:sz w:val="16"/>
          <w:szCs w:val="16"/>
        </w:rPr>
      </w:pPr>
      <w:r>
        <w:rPr>
          <w:i/>
          <w:iCs/>
          <w:sz w:val="16"/>
          <w:szCs w:val="16"/>
        </w:rPr>
        <w:t xml:space="preserve">2.1 ADSORPTION USING AGRICULTURAL WASTE-DERIVED MATERIALS </w:t>
      </w:r>
    </w:p>
    <w:p w14:paraId="07E83873" w14:textId="77777777" w:rsidR="00B31A7C" w:rsidRPr="00202C77" w:rsidRDefault="00B31A7C" w:rsidP="00B31A7C">
      <w:pPr>
        <w:spacing w:after="60"/>
        <w:jc w:val="both"/>
        <w:rPr>
          <w:sz w:val="20"/>
          <w:szCs w:val="20"/>
        </w:rPr>
      </w:pPr>
      <w:r>
        <w:rPr>
          <w:sz w:val="20"/>
          <w:szCs w:val="20"/>
        </w:rPr>
        <w:t xml:space="preserve">Agricultural waste-derived materials have been widely investigated as low-cost and sustainable adsorbents for wastewater treatment [2]. Lignocellulosic residues such as rice husk, coconut shell, corn cob, and banana peel contain cellulose, hemicellulose, and lignin, providing functional groups (e.g., hydroxyl, carboxyl, and carbonyl) capable of binding heavy metal ions and synthetic dyes [1]. Previous studies have demonstrated that chemical activation and surface modification can </w:t>
      </w:r>
      <w:r>
        <w:rPr>
          <w:sz w:val="20"/>
          <w:szCs w:val="20"/>
        </w:rPr>
        <w:lastRenderedPageBreak/>
        <w:t>significantly enhance adsorption capacity and kinetics [3]. For example, activated rice husk has been reported to achieve high surface area and removal efficiency for heavy metals [3], while coconut shell-based activated carbon exhibits strong adsorption performance due to its microporous structure [1], [12].</w:t>
      </w:r>
    </w:p>
    <w:p w14:paraId="72CA3F75" w14:textId="77777777" w:rsidR="00B31A7C" w:rsidRPr="00202C77" w:rsidRDefault="00B31A7C" w:rsidP="00B31A7C">
      <w:pPr>
        <w:spacing w:after="60"/>
        <w:jc w:val="both"/>
        <w:rPr>
          <w:sz w:val="20"/>
          <w:szCs w:val="20"/>
        </w:rPr>
      </w:pPr>
      <w:r>
        <w:rPr>
          <w:sz w:val="20"/>
          <w:szCs w:val="20"/>
        </w:rPr>
        <w:t>Despite these advances, most experimental studies rely on classical adsorption isotherm models, such as Langmuir and Freundlich formulations, which assume surface homogeneity and equilibrium conditions [4]. These assumptions often fail to capture the complex interactions among material properties, pollutant characteristics, and operating conditions encountered in real systems [4]. As a result, these models provide limited support for system-level optimisation and design under varying conditions [7].</w:t>
      </w:r>
    </w:p>
    <w:p w14:paraId="53F167BC" w14:textId="77777777" w:rsidR="00B31A7C" w:rsidRPr="00202C77" w:rsidRDefault="00202C77" w:rsidP="00B31A7C">
      <w:pPr>
        <w:spacing w:after="60"/>
        <w:jc w:val="both"/>
        <w:rPr>
          <w:i/>
          <w:iCs/>
          <w:sz w:val="16"/>
          <w:szCs w:val="16"/>
        </w:rPr>
      </w:pPr>
      <w:r>
        <w:rPr>
          <w:i/>
          <w:iCs/>
          <w:sz w:val="16"/>
          <w:szCs w:val="16"/>
        </w:rPr>
        <w:t>2.2 MACHINE LEARNING FOR ADSORPTION PREDICTION</w:t>
      </w:r>
    </w:p>
    <w:p w14:paraId="6F25776D" w14:textId="77777777" w:rsidR="00B31A7C" w:rsidRPr="00202C77" w:rsidRDefault="00B31A7C" w:rsidP="00B31A7C">
      <w:pPr>
        <w:spacing w:after="60"/>
        <w:jc w:val="both"/>
        <w:rPr>
          <w:sz w:val="20"/>
          <w:szCs w:val="20"/>
        </w:rPr>
      </w:pPr>
      <w:r>
        <w:rPr>
          <w:sz w:val="20"/>
          <w:szCs w:val="20"/>
        </w:rPr>
        <w:t>Machine learning techniques have been increasingly applied to adsorption modelling due to their ability to learn complex nonlinear relationships from data [5]. Algorithms such as Random Forest and Gradient Boosting have demonstrated strong predictive performance across heterogeneous adsorption datasets [6], [9], while Support Vector Regression provides flexibility through kernel-based modelling [13]. Linear Regression models, although limited to linear relationships, serve as interpretable baselines for comparison [11].</w:t>
      </w:r>
    </w:p>
    <w:p w14:paraId="0B639287" w14:textId="77777777" w:rsidR="00B31A7C" w:rsidRPr="00202C77" w:rsidRDefault="00B31A7C" w:rsidP="00B31A7C">
      <w:pPr>
        <w:spacing w:after="60"/>
        <w:jc w:val="both"/>
        <w:rPr>
          <w:sz w:val="20"/>
          <w:szCs w:val="20"/>
        </w:rPr>
      </w:pPr>
      <w:r>
        <w:rPr>
          <w:sz w:val="20"/>
          <w:szCs w:val="20"/>
        </w:rPr>
        <w:t xml:space="preserve">More recently, ensemble learning approaches, particularly stacked ensembles, have been employed to combine the strengths of multiple base learners, resulting in improved predictive accuracy and robustness [5], [8]. However, these approaches remain primarily focused on forward prediction and do not directly support design-oriented decision-making. </w:t>
      </w:r>
    </w:p>
    <w:p w14:paraId="05F8F753" w14:textId="77777777" w:rsidR="00B31A7C" w:rsidRPr="00202C77" w:rsidRDefault="00B31A7C" w:rsidP="00B31A7C">
      <w:pPr>
        <w:spacing w:after="60"/>
        <w:jc w:val="both"/>
        <w:rPr>
          <w:sz w:val="20"/>
          <w:szCs w:val="20"/>
        </w:rPr>
      </w:pPr>
      <w:r>
        <w:rPr>
          <w:sz w:val="20"/>
          <w:szCs w:val="20"/>
        </w:rPr>
        <w:t>Standard ensemble models have no way to enforce physical constraints on their outputs [5]. As a result, they can produce unrealistic predictions, including negative adsorption values or outputs exceeding known material limits [4]. This problem gets worse when the model is asked to predict conditions it has not seen during training [9].</w:t>
      </w:r>
    </w:p>
    <w:p w14:paraId="3B34DA0F" w14:textId="77777777" w:rsidR="00B31A7C" w:rsidRPr="00202C77" w:rsidRDefault="00202C77" w:rsidP="00B31A7C">
      <w:pPr>
        <w:spacing w:after="60"/>
        <w:jc w:val="both"/>
        <w:rPr>
          <w:i/>
          <w:iCs/>
          <w:sz w:val="16"/>
          <w:szCs w:val="16"/>
        </w:rPr>
      </w:pPr>
      <w:r>
        <w:rPr>
          <w:i/>
          <w:iCs/>
          <w:sz w:val="16"/>
          <w:szCs w:val="16"/>
        </w:rPr>
        <w:t>2.3 INVERSE DESIGN AND CONSTRAINED OPTIMIZATION IN MATERIALS SYSTEMS</w:t>
      </w:r>
    </w:p>
    <w:p w14:paraId="759E400C" w14:textId="77777777" w:rsidR="00B31A7C" w:rsidRPr="00202C77" w:rsidRDefault="00B31A7C" w:rsidP="00B31A7C">
      <w:pPr>
        <w:spacing w:after="60"/>
        <w:jc w:val="both"/>
        <w:rPr>
          <w:sz w:val="20"/>
          <w:szCs w:val="20"/>
        </w:rPr>
      </w:pPr>
      <w:r>
        <w:rPr>
          <w:sz w:val="20"/>
          <w:szCs w:val="20"/>
        </w:rPr>
        <w:t>Inverse design approaches have gained prominence in materials science and process engineering as a means of identifying optimal input configurations for desired target outputs [9]. These approaches typically involve embedding a trained surrogate model within an optimisation framework, enabling efficient exploration of high-dimensional design spaces. Differential evolution has been widely used for such applications due to its simplicity, robustness, and effectiveness in handling nonlinear and multimodal optimisation problems [10].</w:t>
      </w:r>
    </w:p>
    <w:p w14:paraId="530BFAF4" w14:textId="77777777" w:rsidR="00B31A7C" w:rsidRPr="00202C77" w:rsidRDefault="00B31A7C" w:rsidP="00B31A7C">
      <w:pPr>
        <w:spacing w:after="60"/>
        <w:jc w:val="both"/>
        <w:rPr>
          <w:sz w:val="20"/>
          <w:szCs w:val="20"/>
        </w:rPr>
      </w:pPr>
      <w:r>
        <w:rPr>
          <w:sz w:val="20"/>
          <w:szCs w:val="20"/>
        </w:rPr>
        <w:t>Constraint-based learning formulations have also been explored to improve model reliability by incorporating physical constraints directly into the training process [10], [9]. By penalising infeasible predictions, such approaches enhance model stability and generalisation. However, existing studies have largely treated predictive modelling, constraint enforcement, and optimisation as separate components, with limited integration into a unified framework [5], [6].</w:t>
      </w:r>
    </w:p>
    <w:p w14:paraId="0DA74061" w14:textId="77777777" w:rsidR="00B31A7C" w:rsidRPr="00202C77" w:rsidRDefault="00202C77" w:rsidP="00B31A7C">
      <w:pPr>
        <w:spacing w:after="60"/>
        <w:jc w:val="both"/>
        <w:rPr>
          <w:i/>
          <w:iCs/>
          <w:sz w:val="16"/>
          <w:szCs w:val="16"/>
        </w:rPr>
      </w:pPr>
      <w:r>
        <w:rPr>
          <w:i/>
          <w:iCs/>
          <w:sz w:val="16"/>
          <w:szCs w:val="16"/>
        </w:rPr>
        <w:t>2.4 RESEARCH GAP AND POSITIONING OF THE PRESENT WORK</w:t>
      </w:r>
    </w:p>
    <w:p w14:paraId="645D85A1" w14:textId="77777777" w:rsidR="00B31A7C" w:rsidRPr="00202C77" w:rsidRDefault="00B31A7C" w:rsidP="00B31A7C">
      <w:pPr>
        <w:spacing w:after="60"/>
        <w:jc w:val="both"/>
        <w:rPr>
          <w:sz w:val="20"/>
          <w:szCs w:val="20"/>
        </w:rPr>
      </w:pPr>
      <w:r>
        <w:rPr>
          <w:sz w:val="20"/>
          <w:szCs w:val="20"/>
        </w:rPr>
        <w:t>The review above highlights three key limitations in the existing literature. First, most machine learning approaches for adsorption systems are limited to forward prediction and do not provide actionable design recommendations for achieving specified performance targets [5]–[7]. Second, current ensemble approaches fail to incorporate constraint-aware mechanisms, leading to predictions that violate physical feasibility [5], [4].</w:t>
      </w:r>
    </w:p>
    <w:p w14:paraId="72DC5AC2" w14:textId="77777777" w:rsidR="00B31A7C" w:rsidRPr="00202C77" w:rsidRDefault="00B31A7C" w:rsidP="00B31A7C">
      <w:pPr>
        <w:spacing w:after="60"/>
        <w:jc w:val="both"/>
        <w:rPr>
          <w:sz w:val="20"/>
          <w:szCs w:val="20"/>
        </w:rPr>
      </w:pPr>
      <w:r>
        <w:rPr>
          <w:sz w:val="20"/>
          <w:szCs w:val="20"/>
        </w:rPr>
        <w:t>Third, there is a lack of integrated frameworks that combine predictive modelling, constraint enforcement, and optimisation within a unified inverse design approach [10], [9].</w:t>
      </w:r>
    </w:p>
    <w:p w14:paraId="0A92CC8D" w14:textId="77777777" w:rsidR="00B31A7C" w:rsidRPr="00202C77" w:rsidRDefault="00B31A7C" w:rsidP="00B31A7C">
      <w:pPr>
        <w:spacing w:after="60"/>
        <w:jc w:val="both"/>
        <w:rPr>
          <w:sz w:val="20"/>
          <w:szCs w:val="20"/>
        </w:rPr>
      </w:pPr>
      <w:r>
        <w:rPr>
          <w:sz w:val="20"/>
          <w:szCs w:val="20"/>
        </w:rPr>
        <w:t>This study proposes ID-SEAD to address these gaps, building on the dataset and base ML workflow established in [11]. The framework combines ensemble learning with physical constraints, ensuring predictions remain realistic. It also uses an optimisation algorithm to identify practical adsorbent and process configurations that meet a specified performance target [10].</w:t>
      </w:r>
    </w:p>
    <w:p w14:paraId="3CBDEB4E" w14:textId="77777777" w:rsidR="00907ED3" w:rsidRPr="00202C77" w:rsidRDefault="00202C77" w:rsidP="003E667A">
      <w:pPr>
        <w:spacing w:after="60"/>
        <w:jc w:val="center"/>
        <w:rPr>
          <w:sz w:val="20"/>
          <w:szCs w:val="20"/>
        </w:rPr>
      </w:pPr>
      <w:r>
        <w:rPr>
          <w:sz w:val="20"/>
          <w:szCs w:val="20"/>
        </w:rPr>
        <w:t>3.0 METHODOLOGY</w:t>
      </w:r>
    </w:p>
    <w:p w14:paraId="5CF8DE02" w14:textId="77777777" w:rsidR="00907ED3" w:rsidRPr="003F0600" w:rsidRDefault="00202C77" w:rsidP="00907ED3">
      <w:pPr>
        <w:spacing w:after="60"/>
        <w:jc w:val="both"/>
        <w:rPr>
          <w:i/>
          <w:iCs/>
          <w:sz w:val="16"/>
          <w:szCs w:val="16"/>
        </w:rPr>
      </w:pPr>
      <w:r>
        <w:rPr>
          <w:i/>
          <w:iCs/>
          <w:sz w:val="16"/>
          <w:szCs w:val="16"/>
        </w:rPr>
        <w:t>3.1 PROBLEM FORMULATION AND DATA PROCESSING</w:t>
      </w:r>
    </w:p>
    <w:p w14:paraId="5269E84A" w14:textId="77777777" w:rsidR="00907ED3" w:rsidRPr="00202C77" w:rsidRDefault="00907ED3" w:rsidP="00907ED3">
      <w:pPr>
        <w:spacing w:after="60"/>
        <w:jc w:val="both"/>
        <w:rPr>
          <w:sz w:val="20"/>
          <w:szCs w:val="20"/>
        </w:rPr>
      </w:pPr>
      <w:r>
        <w:rPr>
          <w:sz w:val="20"/>
          <w:szCs w:val="20"/>
        </w:rPr>
        <w:t xml:space="preserve">Let  </w:t>
      </w:r>
      <m:oMath>
        <m:r>
          <m:rPr>
            <m:sty m:val="p"/>
          </m:rPr>
          <w:rPr>
            <w:rFonts w:ascii="Cambria Math" w:hAnsi="Cambria Math"/>
            <w:sz w:val="20"/>
            <w:szCs w:val="20"/>
          </w:rPr>
          <m:t>x ∈</m:t>
        </m:r>
        <m:sSup>
          <m:sSupPr>
            <m:ctrlPr>
              <w:rPr>
                <w:rFonts w:ascii="Cambria Math" w:eastAsiaTheme="minorHAnsi" w:hAnsi="Cambria Math"/>
                <w:iCs/>
                <w:kern w:val="2"/>
                <w:sz w:val="20"/>
                <w:szCs w:val="20"/>
                <w:lang w:eastAsia="en-US"/>
                <w14:ligatures w14:val="standardContextual"/>
              </w:rPr>
            </m:ctrlPr>
          </m:sSupPr>
          <m:e>
            <m:r>
              <m:rPr>
                <m:scr m:val="double-struck"/>
                <m:sty m:val="p"/>
              </m:rPr>
              <w:rPr>
                <w:rFonts w:ascii="Cambria Math" w:hAnsi="Cambria Math"/>
                <w:sz w:val="20"/>
                <w:szCs w:val="20"/>
              </w:rPr>
              <m:t>R</m:t>
            </m:r>
          </m:e>
          <m:sup>
            <m:r>
              <m:rPr>
                <m:sty m:val="p"/>
              </m:rPr>
              <w:rPr>
                <w:rFonts w:ascii="Cambria Math" w:hAnsi="Cambria Math"/>
                <w:sz w:val="20"/>
                <w:szCs w:val="20"/>
              </w:rPr>
              <m:t>d</m:t>
            </m:r>
          </m:sup>
        </m:sSup>
      </m:oMath>
      <w:r>
        <w:rPr>
          <w:rFonts w:eastAsiaTheme="minorEastAsia"/>
          <w:sz w:val="20"/>
          <w:szCs w:val="20"/>
        </w:rPr>
        <w:t xml:space="preserve"> </w:t>
      </w:r>
      <w:r>
        <w:rPr>
          <w:sz w:val="20"/>
          <w:szCs w:val="20"/>
        </w:rPr>
        <w:t xml:space="preserve">denote the feature vector comprising material properties, pollutant characteristics, and operating conditions, and let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e</m:t>
            </m:r>
          </m:sub>
        </m:sSub>
        <m:r>
          <m:rPr>
            <m:scr m:val="double-struck"/>
            <m:sty m:val="p"/>
          </m:rPr>
          <w:rPr>
            <w:rFonts w:ascii="Cambria Math" w:hAnsi="Cambria Math"/>
            <w:sz w:val="20"/>
            <w:szCs w:val="20"/>
          </w:rPr>
          <m:t>∈R</m:t>
        </m:r>
      </m:oMath>
      <w:r>
        <w:rPr>
          <w:sz w:val="20"/>
          <w:szCs w:val="20"/>
        </w:rPr>
        <w:t xml:space="preserve"> represent the equilibrium adsorption capacity.</w:t>
      </w:r>
    </w:p>
    <w:p w14:paraId="4401387F" w14:textId="77777777" w:rsidR="00907ED3" w:rsidRPr="00202C77" w:rsidRDefault="00907ED3" w:rsidP="00907ED3">
      <w:pPr>
        <w:spacing w:after="60"/>
        <w:jc w:val="both"/>
        <w:rPr>
          <w:sz w:val="20"/>
          <w:szCs w:val="20"/>
        </w:rPr>
      </w:pPr>
      <w:r>
        <w:rPr>
          <w:sz w:val="20"/>
          <w:szCs w:val="20"/>
        </w:rPr>
        <w:t>The study addresses two objectives:</w:t>
      </w:r>
    </w:p>
    <w:p w14:paraId="7DE14343" w14:textId="77777777" w:rsidR="00907ED3" w:rsidRPr="00202C77" w:rsidRDefault="00907ED3" w:rsidP="00907ED3">
      <w:pPr>
        <w:numPr>
          <w:ilvl w:val="0"/>
          <w:numId w:val="2"/>
        </w:numPr>
        <w:spacing w:after="60"/>
        <w:jc w:val="both"/>
        <w:rPr>
          <w:sz w:val="20"/>
          <w:szCs w:val="20"/>
        </w:rPr>
      </w:pPr>
      <w:r>
        <w:rPr>
          <w:sz w:val="20"/>
          <w:szCs w:val="20"/>
        </w:rPr>
        <w:t xml:space="preserve">Learn a predictive function f(x) that estimates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e</m:t>
            </m:r>
          </m:sub>
        </m:sSub>
      </m:oMath>
      <w:r>
        <w:rPr>
          <w:sz w:val="20"/>
          <w:szCs w:val="20"/>
        </w:rPr>
        <w:t xml:space="preserve"> with high accuracy and stability.</w:t>
      </w:r>
    </w:p>
    <w:p w14:paraId="45DE6D75" w14:textId="77777777" w:rsidR="00907ED3" w:rsidRPr="00202C77" w:rsidRDefault="00907ED3" w:rsidP="00907ED3">
      <w:pPr>
        <w:numPr>
          <w:ilvl w:val="0"/>
          <w:numId w:val="2"/>
        </w:numPr>
        <w:spacing w:after="60"/>
        <w:jc w:val="both"/>
        <w:rPr>
          <w:sz w:val="20"/>
          <w:szCs w:val="20"/>
        </w:rPr>
      </w:pPr>
      <w:r>
        <w:rPr>
          <w:sz w:val="20"/>
          <w:szCs w:val="20"/>
        </w:rPr>
        <w:t xml:space="preserve">Determine an optimal configuration </w:t>
      </w: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oMath>
      <w:r>
        <w:rPr>
          <w:sz w:val="20"/>
          <w:szCs w:val="20"/>
        </w:rPr>
        <w:t xml:space="preserve"> that maximizes adsorption performance under practical constraints.</w:t>
      </w:r>
    </w:p>
    <w:p w14:paraId="0119EEC2" w14:textId="77777777" w:rsidR="00907ED3" w:rsidRPr="00202C77" w:rsidRDefault="00907ED3" w:rsidP="00907ED3">
      <w:pPr>
        <w:spacing w:after="60"/>
        <w:jc w:val="both"/>
        <w:rPr>
          <w:sz w:val="20"/>
          <w:szCs w:val="20"/>
        </w:rPr>
      </w:pPr>
      <w:r>
        <w:rPr>
          <w:sz w:val="20"/>
          <w:szCs w:val="20"/>
        </w:rPr>
        <w:t>A curated dataset of 323 equilibrium adsorption experiments was assembled from 15 peer-reviewed studies identified through a structured search of Scopus and Web of Science (search terms: adsorption, agricultural waste, heavy metals, biochar, machine learning). Studies were included if they reported: adsorbent surface area, pore volume, initial pollutant concentration, adsorbent dosage, solution pH, temperature, and equilibrium adsorption capacity (qᴱ). Studies reporting only kinetic data or lacking physicochemical characterisation were excluded. Each retained study contributed 12–38 data points. Missing values (9.4% of entries, primarily pore volume) were handled by grouped median imputation stratified by material class (biochar, activated carbon, raw biomass), which preserves within-class distributions; KNN imputation yielded equivalent CV R² (δ &lt; 0.003), confirming robustness of the choice. Domain-informed features are engineered to capture key physical interactions:  - SA × PV (surface area–pore volume interaction),  - C₀/dose (initial concentration to dosage ratio), and  - pH × T (pH–temperature interaction).  To mitigate inter-study heterogeneity, stratified 80:20 train–test splitting by material class is applied, ensuring all material classes are represented in both subsets.</w:t>
      </w:r>
    </w:p>
    <w:p w14:paraId="5AE9465E" w14:textId="77777777" w:rsidR="00907ED3" w:rsidRPr="00202C77" w:rsidRDefault="003F0600" w:rsidP="00907ED3">
      <w:pPr>
        <w:spacing w:after="60"/>
        <w:rPr>
          <w:b/>
          <w:bCs/>
          <w:i/>
          <w:iCs/>
          <w:sz w:val="16"/>
          <w:szCs w:val="16"/>
        </w:rPr>
      </w:pPr>
      <w:r>
        <w:rPr>
          <w:i/>
          <w:iCs/>
          <w:sz w:val="16"/>
          <w:szCs w:val="16"/>
        </w:rPr>
        <w:t>3.2 BASELINE STACKED ENSEMBLE (SEAD</w:t>
      </w:r>
      <w:r>
        <w:rPr>
          <w:b/>
          <w:bCs/>
          <w:i/>
          <w:iCs/>
          <w:sz w:val="16"/>
          <w:szCs w:val="16"/>
        </w:rPr>
        <w:t>)</w:t>
      </w:r>
    </w:p>
    <w:p w14:paraId="423D5F56" w14:textId="77777777" w:rsidR="00907ED3" w:rsidRPr="00202C77" w:rsidRDefault="00907ED3" w:rsidP="00907ED3">
      <w:pPr>
        <w:spacing w:after="60"/>
        <w:jc w:val="both"/>
        <w:rPr>
          <w:sz w:val="20"/>
          <w:szCs w:val="20"/>
        </w:rPr>
      </w:pPr>
      <w:r>
        <w:rPr>
          <w:sz w:val="20"/>
          <w:szCs w:val="20"/>
        </w:rPr>
        <w:lastRenderedPageBreak/>
        <w:t>The baseline model consists of four base learners:</w:t>
      </w:r>
    </w:p>
    <w:p w14:paraId="477F4DB8" w14:textId="77777777" w:rsidR="00907ED3" w:rsidRPr="00202C77" w:rsidRDefault="00907ED3" w:rsidP="00907ED3">
      <w:pPr>
        <w:numPr>
          <w:ilvl w:val="0"/>
          <w:numId w:val="4"/>
        </w:numPr>
        <w:spacing w:after="60"/>
        <w:jc w:val="both"/>
        <w:rPr>
          <w:sz w:val="20"/>
          <w:szCs w:val="20"/>
        </w:rPr>
      </w:pPr>
      <w:r>
        <w:rPr>
          <w:sz w:val="20"/>
          <w:szCs w:val="20"/>
        </w:rPr>
        <w:t>Linear Regression (LR),</w:t>
      </w:r>
    </w:p>
    <w:p w14:paraId="79D55FC3" w14:textId="77777777" w:rsidR="00907ED3" w:rsidRPr="00202C77" w:rsidRDefault="00907ED3" w:rsidP="00907ED3">
      <w:pPr>
        <w:numPr>
          <w:ilvl w:val="0"/>
          <w:numId w:val="4"/>
        </w:numPr>
        <w:spacing w:after="60"/>
        <w:jc w:val="both"/>
        <w:rPr>
          <w:sz w:val="20"/>
          <w:szCs w:val="20"/>
        </w:rPr>
      </w:pPr>
      <w:r>
        <w:rPr>
          <w:sz w:val="20"/>
          <w:szCs w:val="20"/>
        </w:rPr>
        <w:t>Support Vector Regression (SVR),</w:t>
      </w:r>
    </w:p>
    <w:p w14:paraId="09C7A677" w14:textId="77777777" w:rsidR="00907ED3" w:rsidRPr="00202C77" w:rsidRDefault="00907ED3" w:rsidP="00907ED3">
      <w:pPr>
        <w:numPr>
          <w:ilvl w:val="0"/>
          <w:numId w:val="4"/>
        </w:numPr>
        <w:spacing w:after="60"/>
        <w:jc w:val="both"/>
        <w:rPr>
          <w:sz w:val="20"/>
          <w:szCs w:val="20"/>
        </w:rPr>
      </w:pPr>
      <w:r>
        <w:rPr>
          <w:sz w:val="20"/>
          <w:szCs w:val="20"/>
        </w:rPr>
        <w:t>Random Forest (RF),</w:t>
      </w:r>
    </w:p>
    <w:p w14:paraId="4B49E8FD" w14:textId="77777777" w:rsidR="00907ED3" w:rsidRPr="00202C77" w:rsidRDefault="00907ED3" w:rsidP="00907ED3">
      <w:pPr>
        <w:numPr>
          <w:ilvl w:val="0"/>
          <w:numId w:val="4"/>
        </w:numPr>
        <w:spacing w:after="60"/>
        <w:jc w:val="both"/>
        <w:rPr>
          <w:sz w:val="20"/>
          <w:szCs w:val="20"/>
        </w:rPr>
      </w:pPr>
      <w:r>
        <w:rPr>
          <w:sz w:val="20"/>
          <w:szCs w:val="20"/>
        </w:rPr>
        <w:t>XGBoost (XGB).</w:t>
      </w:r>
    </w:p>
    <w:p w14:paraId="6D7C0FDE" w14:textId="77777777" w:rsidR="00907ED3" w:rsidRPr="00202C77" w:rsidRDefault="00907ED3" w:rsidP="00907ED3">
      <w:pPr>
        <w:spacing w:after="60"/>
        <w:jc w:val="both"/>
        <w:rPr>
          <w:sz w:val="20"/>
          <w:szCs w:val="20"/>
        </w:rPr>
      </w:pPr>
      <w:r>
        <w:rPr>
          <w:sz w:val="20"/>
          <w:szCs w:val="20"/>
        </w:rPr>
        <w:t>The ensemble prediction is defined as:</w:t>
      </w:r>
    </w:p>
    <w:p w14:paraId="4B79AF4F" w14:textId="77777777" w:rsidR="00907ED3" w:rsidRPr="00202C77" w:rsidRDefault="00907ED3" w:rsidP="00907ED3">
      <w:pPr>
        <w:spacing w:after="60"/>
        <w:jc w:val="both"/>
        <w:rPr>
          <w:sz w:val="20"/>
          <w:szCs w:val="20"/>
        </w:rPr>
      </w:pPr>
      <m:oMath>
        <m:r>
          <w:rPr>
            <w:rFonts w:ascii="Cambria Math" w:hAnsi="Cambria Math"/>
            <w:sz w:val="20"/>
            <w:szCs w:val="20"/>
          </w:rPr>
          <m:t>ӯ</m:t>
        </m:r>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r>
          <w:rPr>
            <w:rFonts w:ascii="Cambria Math" w:hAnsi="Cambria Math"/>
            <w:sz w:val="20"/>
            <w:szCs w:val="20"/>
          </w:rPr>
          <m:t xml:space="preserve">= </m:t>
        </m:r>
        <m:nary>
          <m:naryPr>
            <m:chr m:val="∑"/>
            <m:limLoc m:val="subSup"/>
            <m:ctrlPr>
              <w:rPr>
                <w:rFonts w:ascii="Cambria Math" w:eastAsiaTheme="minorHAnsi" w:hAnsi="Cambria Math"/>
                <w:i/>
                <w:kern w:val="2"/>
                <w:sz w:val="20"/>
                <w:szCs w:val="20"/>
                <w:lang w:eastAsia="en-US"/>
                <w14:ligatures w14:val="standardContextual"/>
              </w:rPr>
            </m:ctrlPr>
          </m:naryPr>
          <m:sub>
            <m:r>
              <w:rPr>
                <w:rFonts w:ascii="Cambria Math" w:hAnsi="Cambria Math"/>
                <w:sz w:val="20"/>
                <w:szCs w:val="20"/>
              </w:rPr>
              <m:t>i=1</m:t>
            </m:r>
          </m:sub>
          <m:sup>
            <m:r>
              <w:rPr>
                <w:rFonts w:ascii="Cambria Math" w:hAnsi="Cambria Math"/>
                <w:sz w:val="20"/>
                <w:szCs w:val="20"/>
              </w:rPr>
              <m:t>4</m:t>
            </m:r>
          </m:sup>
          <m:e>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i</m:t>
                </m:r>
              </m:sub>
            </m:sSub>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f</m:t>
                </m:r>
              </m:e>
              <m:sub>
                <m:r>
                  <w:rPr>
                    <w:rFonts w:ascii="Cambria Math" w:hAnsi="Cambria Math"/>
                    <w:sz w:val="20"/>
                    <w:szCs w:val="20"/>
                  </w:rPr>
                  <m:t>i</m:t>
                </m:r>
              </m:sub>
            </m:sSub>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e>
        </m:nary>
      </m:oMath>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t>(1)</w:t>
      </w:r>
    </w:p>
    <w:p w14:paraId="164746B0" w14:textId="77777777" w:rsidR="00907ED3" w:rsidRPr="00202C77" w:rsidRDefault="00907ED3" w:rsidP="00907ED3">
      <w:pPr>
        <w:spacing w:after="60"/>
        <w:jc w:val="both"/>
        <w:rPr>
          <w:sz w:val="20"/>
          <w:szCs w:val="20"/>
        </w:rPr>
      </w:pPr>
      <w:r>
        <w:rPr>
          <w:sz w:val="20"/>
          <w:szCs w:val="20"/>
        </w:rPr>
        <w:t xml:space="preserve">Where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i</m:t>
            </m:r>
          </m:sub>
        </m:sSub>
      </m:oMath>
      <w:r>
        <w:rPr>
          <w:sz w:val="20"/>
          <w:szCs w:val="20"/>
        </w:rPr>
        <w:t xml:space="preserve"> are weights learned using Ridge regression on out-of-fold predictions. Cross-validation ensures unbiased estimation and prevents target leakage.</w:t>
      </w:r>
    </w:p>
    <w:p w14:paraId="476F915F" w14:textId="77777777" w:rsidR="00907ED3" w:rsidRPr="00202C77" w:rsidRDefault="003F0600" w:rsidP="00907ED3">
      <w:pPr>
        <w:spacing w:after="60"/>
        <w:rPr>
          <w:i/>
          <w:iCs/>
          <w:sz w:val="16"/>
          <w:szCs w:val="16"/>
        </w:rPr>
      </w:pPr>
      <w:r>
        <w:rPr>
          <w:i/>
          <w:iCs/>
          <w:sz w:val="16"/>
          <w:szCs w:val="16"/>
        </w:rPr>
        <w:t>3.3 PROPOSED ALGORITHM: ID-SEAD</w:t>
      </w:r>
    </w:p>
    <w:p w14:paraId="1E28D5A3" w14:textId="77777777" w:rsidR="00907ED3" w:rsidRPr="00202C77" w:rsidRDefault="00907ED3" w:rsidP="00907ED3">
      <w:pPr>
        <w:spacing w:after="60"/>
        <w:rPr>
          <w:sz w:val="20"/>
          <w:szCs w:val="20"/>
        </w:rPr>
      </w:pPr>
      <w:r>
        <w:rPr>
          <w:sz w:val="20"/>
          <w:szCs w:val="20"/>
        </w:rPr>
        <w:t>1) Constraint-Based Objective Function</w:t>
      </w:r>
    </w:p>
    <w:p w14:paraId="1F9885D0" w14:textId="77777777" w:rsidR="00907ED3" w:rsidRPr="00202C77" w:rsidRDefault="00907ED3" w:rsidP="00907ED3">
      <w:pPr>
        <w:spacing w:after="60"/>
        <w:rPr>
          <w:sz w:val="20"/>
          <w:szCs w:val="20"/>
        </w:rPr>
      </w:pPr>
      <w:r>
        <w:rPr>
          <w:sz w:val="20"/>
          <w:szCs w:val="20"/>
        </w:rPr>
        <w:t>To enhance standard stacking, ID-SEAD introduces a constraint-aware learning formulation. The total loss function is:</w:t>
      </w:r>
    </w:p>
    <w:p w14:paraId="39524DDC" w14:textId="77777777" w:rsidR="00907ED3" w:rsidRPr="00202C77" w:rsidRDefault="00000000" w:rsidP="00907ED3">
      <w:pPr>
        <w:spacing w:after="60"/>
        <w:rPr>
          <w:iCs/>
          <w:sz w:val="20"/>
          <w:szCs w:val="20"/>
        </w:rPr>
      </w:pP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total</m:t>
            </m:r>
          </m:sub>
        </m:sSub>
        <m:r>
          <m:rPr>
            <m:sty m:val="p"/>
          </m:rPr>
          <w:rPr>
            <w:rFonts w:ascii="Cambria Math" w:hAnsi="Cambria Math"/>
            <w:sz w:val="20"/>
            <w:szCs w:val="20"/>
          </w:rPr>
          <m:t xml:space="preserve">= </m:t>
        </m:r>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pred</m:t>
            </m:r>
          </m:sub>
        </m:sSub>
        <m:r>
          <m:rPr>
            <m:sty m:val="p"/>
          </m:rPr>
          <w:rPr>
            <w:rFonts w:ascii="Cambria Math" w:hAnsi="Cambria Math"/>
            <w:sz w:val="20"/>
            <w:szCs w:val="20"/>
          </w:rPr>
          <m:t xml:space="preserve">+ </m:t>
        </m:r>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oMath>
      <w:r>
        <w:rPr>
          <w:iCs/>
          <w:kern w:val="2"/>
          <w:sz w:val="20"/>
          <w:szCs w:val="20"/>
          <w:lang w:eastAsia="en-US"/>
          <w14:ligatures w14:val="standardContextual"/>
        </w:rPr>
        <w:tab/>
      </w:r>
      <w:r>
        <w:rPr>
          <w:iCs/>
          <w:kern w:val="2"/>
          <w:sz w:val="20"/>
          <w:szCs w:val="20"/>
          <w:lang w:eastAsia="en-US"/>
          <w14:ligatures w14:val="standardContextual"/>
        </w:rPr>
        <w:tab/>
      </w:r>
      <w:r>
        <w:rPr>
          <w:iCs/>
          <w:kern w:val="2"/>
          <w:sz w:val="20"/>
          <w:szCs w:val="20"/>
          <w:lang w:eastAsia="en-US"/>
          <w14:ligatures w14:val="standardContextual"/>
        </w:rPr>
        <w:tab/>
      </w:r>
      <w:r>
        <w:rPr>
          <w:iCs/>
          <w:kern w:val="2"/>
          <w:sz w:val="20"/>
          <w:szCs w:val="20"/>
          <w:lang w:eastAsia="en-US"/>
          <w14:ligatures w14:val="standardContextual"/>
        </w:rPr>
        <w:tab/>
        <w:t>(2)</w:t>
      </w:r>
    </w:p>
    <w:p w14:paraId="2581CDD6" w14:textId="77777777" w:rsidR="00907ED3" w:rsidRPr="00202C77" w:rsidRDefault="00907ED3" w:rsidP="00907ED3">
      <w:pPr>
        <w:spacing w:after="60"/>
        <w:rPr>
          <w:sz w:val="20"/>
          <w:szCs w:val="20"/>
        </w:rPr>
      </w:pPr>
      <w:r>
        <w:rPr>
          <w:sz w:val="20"/>
          <w:szCs w:val="20"/>
        </w:rPr>
        <w:t xml:space="preserve">where </w:t>
      </w: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pred</m:t>
            </m:r>
          </m:sub>
        </m:sSub>
      </m:oMath>
      <w:r>
        <w:rPr>
          <w:i/>
          <w:iCs/>
          <w:sz w:val="20"/>
          <w:szCs w:val="20"/>
        </w:rPr>
        <w:t xml:space="preserve"> is the mean squared error, and</w:t>
      </w:r>
      <w:r>
        <w:rPr>
          <w:sz w:val="20"/>
          <w:szCs w:val="20"/>
        </w:rPr>
        <w:t xml:space="preserve"> </w:t>
      </w: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oMath>
      <w:r>
        <w:rPr>
          <w:rFonts w:eastAsiaTheme="minorEastAsia"/>
          <w:iCs/>
          <w:sz w:val="20"/>
          <w:szCs w:val="20"/>
        </w:rPr>
        <w:t xml:space="preserve"> </w:t>
      </w:r>
      <w:r>
        <w:rPr>
          <w:sz w:val="20"/>
          <w:szCs w:val="20"/>
        </w:rPr>
        <w:t>enforces physical constraints:</w:t>
      </w:r>
    </w:p>
    <w:p w14:paraId="7FC24735" w14:textId="77777777" w:rsidR="00907ED3" w:rsidRPr="00202C77" w:rsidRDefault="00000000" w:rsidP="00907ED3">
      <w:pPr>
        <w:spacing w:after="60"/>
        <w:rPr>
          <w:sz w:val="20"/>
          <w:szCs w:val="20"/>
        </w:rPr>
      </w:pPr>
      <m:oMath>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r>
          <m:rPr>
            <m:sty m:val="p"/>
          </m:rPr>
          <w:rPr>
            <w:rFonts w:ascii="Cambria Math" w:hAnsi="Cambria Math"/>
            <w:sz w:val="20"/>
            <w:szCs w:val="20"/>
          </w:rPr>
          <m:t xml:space="preserve">= </m:t>
        </m:r>
        <m:f>
          <m:fPr>
            <m:ctrlPr>
              <w:rPr>
                <w:rFonts w:ascii="Cambria Math" w:eastAsiaTheme="minorHAnsi" w:hAnsi="Cambria Math"/>
                <w:kern w:val="2"/>
                <w:sz w:val="20"/>
                <w:szCs w:val="20"/>
                <w:lang w:eastAsia="en-US"/>
                <w14:ligatures w14:val="standardContextual"/>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subSup"/>
            <m:ctrlPr>
              <w:rPr>
                <w:rFonts w:ascii="Cambria Math" w:eastAsiaTheme="minorHAnsi" w:hAnsi="Cambria Math"/>
                <w:kern w:val="2"/>
                <w:sz w:val="20"/>
                <w:szCs w:val="20"/>
                <w:lang w:eastAsia="en-US"/>
                <w14:ligatures w14:val="standardContextual"/>
              </w:rPr>
            </m:ctrlPr>
          </m:naryPr>
          <m:sub>
            <m:r>
              <m:rPr>
                <m:sty m:val="p"/>
              </m:rPr>
              <w:rPr>
                <w:rFonts w:ascii="Cambria Math" w:hAnsi="Cambria Math"/>
                <w:sz w:val="20"/>
                <w:szCs w:val="20"/>
              </w:rPr>
              <m:t>j-1</m:t>
            </m:r>
          </m:sub>
          <m:sup>
            <m:r>
              <m:rPr>
                <m:sty m:val="p"/>
              </m:rPr>
              <w:rPr>
                <w:rFonts w:ascii="Cambria Math" w:hAnsi="Cambria Math"/>
                <w:sz w:val="20"/>
                <w:szCs w:val="20"/>
              </w:rPr>
              <m:t>N</m:t>
            </m:r>
          </m:sup>
          <m:e>
            <m:d>
              <m:dPr>
                <m:begChr m:val="["/>
                <m:endChr m:val="]"/>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max</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 xml:space="preserve">0, -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ӯ</m:t>
                            </m:r>
                          </m:e>
                          <m:sub>
                            <m:r>
                              <m:rPr>
                                <m:sty m:val="p"/>
                              </m:rPr>
                              <w:rPr>
                                <w:rFonts w:ascii="Cambria Math" w:hAnsi="Cambria Math"/>
                                <w:sz w:val="20"/>
                                <w:szCs w:val="20"/>
                              </w:rPr>
                              <m:t>j</m:t>
                            </m:r>
                          </m:sub>
                        </m:sSub>
                      </m:e>
                    </m:d>
                  </m:e>
                  <m:sup>
                    <m:r>
                      <m:rPr>
                        <m:sty m:val="p"/>
                      </m:rPr>
                      <w:rPr>
                        <w:rFonts w:ascii="Cambria Math" w:hAnsi="Cambria Math"/>
                        <w:sz w:val="20"/>
                        <w:szCs w:val="20"/>
                      </w:rPr>
                      <m:t>2</m:t>
                    </m:r>
                  </m:sup>
                </m:sSup>
                <m:r>
                  <m:rPr>
                    <m:sty m:val="p"/>
                  </m:rPr>
                  <w:rPr>
                    <w:rFonts w:ascii="Cambria Math" w:hAnsi="Cambria Math"/>
                    <w:sz w:val="20"/>
                    <w:szCs w:val="20"/>
                  </w:rPr>
                  <m:t>+max</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 xml:space="preserve">0,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ӯ</m:t>
                            </m:r>
                          </m:e>
                          <m:sub>
                            <m:r>
                              <m:rPr>
                                <m:sty m:val="p"/>
                              </m:rPr>
                              <w:rPr>
                                <w:rFonts w:ascii="Cambria Math" w:hAnsi="Cambria Math"/>
                                <w:sz w:val="20"/>
                                <w:szCs w:val="20"/>
                              </w:rPr>
                              <m:t>j</m:t>
                            </m:r>
                          </m:sub>
                        </m:sSub>
                        <m:r>
                          <m:rPr>
                            <m:sty m:val="p"/>
                          </m:rPr>
                          <w:rPr>
                            <w:rFonts w:ascii="Cambria Math" w:hAnsi="Cambria Math"/>
                            <w:sz w:val="20"/>
                            <w:szCs w:val="20"/>
                          </w:rPr>
                          <m:t xml:space="preserve">-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q</m:t>
                            </m:r>
                          </m:e>
                          <m:sub>
                            <m:r>
                              <m:rPr>
                                <m:sty m:val="p"/>
                              </m:rPr>
                              <w:rPr>
                                <w:rFonts w:ascii="Cambria Math" w:hAnsi="Cambria Math"/>
                                <w:sz w:val="20"/>
                                <w:szCs w:val="20"/>
                              </w:rPr>
                              <m:t>max</m:t>
                            </m:r>
                          </m:sub>
                        </m:sSub>
                      </m:e>
                    </m:d>
                  </m:e>
                  <m:sup>
                    <m:r>
                      <m:rPr>
                        <m:sty m:val="p"/>
                      </m:rPr>
                      <w:rPr>
                        <w:rFonts w:ascii="Cambria Math" w:hAnsi="Cambria Math"/>
                        <w:sz w:val="20"/>
                        <w:szCs w:val="20"/>
                      </w:rPr>
                      <m:t>2</m:t>
                    </m:r>
                  </m:sup>
                </m:sSup>
                <m:r>
                  <m:rPr>
                    <m:sty m:val="p"/>
                  </m:rPr>
                  <w:rPr>
                    <w:rFonts w:ascii="Cambria Math" w:hAnsi="Cambria Math"/>
                    <w:sz w:val="20"/>
                    <w:szCs w:val="20"/>
                  </w:rPr>
                  <m:t>+</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f</m:t>
                        </m:r>
                        <m:d>
                          <m:dPr>
                            <m:ctrlPr>
                              <w:rPr>
                                <w:rFonts w:ascii="Cambria Math" w:eastAsiaTheme="minorHAnsi" w:hAnsi="Cambria Math"/>
                                <w:kern w:val="2"/>
                                <w:sz w:val="20"/>
                                <w:szCs w:val="20"/>
                                <w:lang w:eastAsia="en-US"/>
                                <w14:ligatures w14:val="standardContextual"/>
                              </w:rPr>
                            </m:ctrlPr>
                          </m:dPr>
                          <m:e>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x</m:t>
                                </m:r>
                              </m:e>
                              <m:sub>
                                <m:r>
                                  <m:rPr>
                                    <m:sty m:val="p"/>
                                  </m:rPr>
                                  <w:rPr>
                                    <w:rFonts w:ascii="Cambria Math" w:hAnsi="Cambria Math"/>
                                    <w:sz w:val="20"/>
                                    <w:szCs w:val="20"/>
                                  </w:rPr>
                                  <m:t>j</m:t>
                                </m:r>
                              </m:sub>
                            </m:sSub>
                            <m:r>
                              <m:rPr>
                                <m:sty m:val="p"/>
                              </m:rPr>
                              <w:rPr>
                                <w:rFonts w:ascii="Cambria Math" w:hAnsi="Cambria Math"/>
                                <w:sz w:val="20"/>
                                <w:szCs w:val="20"/>
                              </w:rPr>
                              <m:t>+ δ</m:t>
                            </m:r>
                          </m:e>
                        </m:d>
                        <m:r>
                          <m:rPr>
                            <m:sty m:val="p"/>
                          </m:rPr>
                          <w:rPr>
                            <w:rFonts w:ascii="Cambria Math" w:hAnsi="Cambria Math"/>
                            <w:sz w:val="20"/>
                            <w:szCs w:val="20"/>
                          </w:rPr>
                          <m:t>-f</m:t>
                        </m:r>
                        <m:d>
                          <m:dPr>
                            <m:ctrlPr>
                              <w:rPr>
                                <w:rFonts w:ascii="Cambria Math" w:eastAsiaTheme="minorHAnsi" w:hAnsi="Cambria Math"/>
                                <w:kern w:val="2"/>
                                <w:sz w:val="20"/>
                                <w:szCs w:val="20"/>
                                <w:lang w:eastAsia="en-US"/>
                                <w14:ligatures w14:val="standardContextual"/>
                              </w:rPr>
                            </m:ctrlPr>
                          </m:dPr>
                          <m:e>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x</m:t>
                                </m:r>
                              </m:e>
                              <m:sub>
                                <m:r>
                                  <m:rPr>
                                    <m:sty m:val="p"/>
                                  </m:rPr>
                                  <w:rPr>
                                    <w:rFonts w:ascii="Cambria Math" w:hAnsi="Cambria Math"/>
                                    <w:sz w:val="20"/>
                                    <w:szCs w:val="20"/>
                                  </w:rPr>
                                  <m:t>j</m:t>
                                </m:r>
                              </m:sub>
                            </m:sSub>
                          </m:e>
                        </m:d>
                      </m:e>
                    </m:d>
                  </m:e>
                  <m:sup>
                    <m:r>
                      <m:rPr>
                        <m:sty m:val="p"/>
                      </m:rPr>
                      <w:rPr>
                        <w:rFonts w:ascii="Cambria Math" w:hAnsi="Cambria Math"/>
                        <w:sz w:val="20"/>
                        <w:szCs w:val="20"/>
                      </w:rPr>
                      <m:t>2</m:t>
                    </m:r>
                  </m:sup>
                </m:sSup>
                <m:r>
                  <m:rPr>
                    <m:sty m:val="p"/>
                  </m:rPr>
                  <w:rPr>
                    <w:rFonts w:ascii="Cambria Math" w:hAnsi="Cambria Math"/>
                    <w:sz w:val="20"/>
                    <w:szCs w:val="20"/>
                  </w:rPr>
                  <m:t xml:space="preserve"> </m:t>
                </m:r>
              </m:e>
            </m:d>
          </m:e>
        </m:nary>
      </m:oMath>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t>(3)</w:t>
      </w:r>
    </w:p>
    <w:p w14:paraId="5B32AC7F" w14:textId="77777777" w:rsidR="00907ED3" w:rsidRPr="00202C77" w:rsidRDefault="00907ED3" w:rsidP="00907ED3">
      <w:pPr>
        <w:spacing w:after="60"/>
        <w:rPr>
          <w:sz w:val="20"/>
          <w:szCs w:val="20"/>
        </w:rPr>
      </w:pPr>
      <w:r>
        <w:rPr>
          <w:sz w:val="20"/>
          <w:szCs w:val="20"/>
        </w:rPr>
        <w:t>These penalty terms enforce:</w:t>
      </w:r>
    </w:p>
    <w:p w14:paraId="421061DF" w14:textId="77777777" w:rsidR="00907ED3" w:rsidRPr="00202C77" w:rsidRDefault="00907ED3" w:rsidP="00907ED3">
      <w:pPr>
        <w:numPr>
          <w:ilvl w:val="0"/>
          <w:numId w:val="5"/>
        </w:numPr>
        <w:spacing w:after="60"/>
        <w:rPr>
          <w:sz w:val="20"/>
          <w:szCs w:val="20"/>
        </w:rPr>
      </w:pPr>
      <w:r>
        <w:rPr>
          <w:sz w:val="20"/>
          <w:szCs w:val="20"/>
        </w:rPr>
        <w:t xml:space="preserve">Non-negativity of predictions </w:t>
      </w:r>
      <m:oMath>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m:rPr>
                    <m:sty m:val="p"/>
                  </m:rPr>
                  <w:rPr>
                    <w:rFonts w:ascii="Cambria Math" w:hAnsi="Cambria Math"/>
                    <w:sz w:val="20"/>
                    <w:szCs w:val="20"/>
                  </w:rPr>
                  <m:t>ӯ</m:t>
                </m:r>
              </m:e>
              <m:sub>
                <m:r>
                  <w:rPr>
                    <w:rFonts w:ascii="Cambria Math" w:hAnsi="Cambria Math"/>
                    <w:sz w:val="20"/>
                    <w:szCs w:val="20"/>
                  </w:rPr>
                  <m:t>j</m:t>
                </m:r>
              </m:sub>
            </m:sSub>
            <m:r>
              <w:rPr>
                <w:rFonts w:ascii="Cambria Math" w:hAnsi="Cambria Math"/>
                <w:sz w:val="20"/>
                <w:szCs w:val="20"/>
              </w:rPr>
              <m:t>≥0</m:t>
            </m:r>
          </m:e>
        </m:d>
      </m:oMath>
      <w:r>
        <w:rPr>
          <w:sz w:val="20"/>
          <w:szCs w:val="20"/>
        </w:rPr>
        <w:t>,</w:t>
      </w:r>
    </w:p>
    <w:p w14:paraId="09878AC5" w14:textId="77777777" w:rsidR="00907ED3" w:rsidRPr="00202C77" w:rsidRDefault="00907ED3" w:rsidP="00907ED3">
      <w:pPr>
        <w:numPr>
          <w:ilvl w:val="0"/>
          <w:numId w:val="5"/>
        </w:numPr>
        <w:spacing w:after="60"/>
        <w:rPr>
          <w:sz w:val="20"/>
          <w:szCs w:val="20"/>
        </w:rPr>
      </w:pPr>
      <w:r>
        <w:rPr>
          <w:sz w:val="20"/>
          <w:szCs w:val="20"/>
        </w:rPr>
        <w:t xml:space="preserve">Upper bound constraint  </w:t>
      </w:r>
      <m:oMath>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m:rPr>
                    <m:sty m:val="p"/>
                  </m:rPr>
                  <w:rPr>
                    <w:rFonts w:ascii="Cambria Math" w:hAnsi="Cambria Math"/>
                    <w:sz w:val="20"/>
                    <w:szCs w:val="20"/>
                  </w:rPr>
                  <m:t>ӯ</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max</m:t>
                </m:r>
              </m:sub>
            </m:sSub>
          </m:e>
        </m:d>
      </m:oMath>
      <w:r>
        <w:rPr>
          <w:sz w:val="20"/>
          <w:szCs w:val="20"/>
        </w:rPr>
        <w:t>,</w:t>
      </w:r>
    </w:p>
    <w:p w14:paraId="2FE36A7B" w14:textId="77777777" w:rsidR="00907ED3" w:rsidRPr="00202C77" w:rsidRDefault="00907ED3" w:rsidP="00907ED3">
      <w:pPr>
        <w:numPr>
          <w:ilvl w:val="0"/>
          <w:numId w:val="5"/>
        </w:numPr>
        <w:spacing w:after="60"/>
        <w:rPr>
          <w:sz w:val="20"/>
          <w:szCs w:val="20"/>
        </w:rPr>
      </w:pPr>
      <w:r>
        <w:rPr>
          <w:sz w:val="20"/>
          <w:szCs w:val="20"/>
        </w:rPr>
        <w:t xml:space="preserve">Local Lipschitz stability under perturbation </w:t>
      </w:r>
      <m:oMath>
        <m:r>
          <w:rPr>
            <w:rFonts w:ascii="Cambria Math" w:eastAsiaTheme="minorEastAsia" w:hAnsi="Cambria Math"/>
            <w:sz w:val="20"/>
            <w:szCs w:val="20"/>
          </w:rPr>
          <m:t>δ~U</m:t>
        </m:r>
        <m:d>
          <m:dPr>
            <m:begChr m:val="["/>
            <m:endChr m:val="]"/>
            <m:ctrlPr>
              <w:rPr>
                <w:rFonts w:ascii="Cambria Math" w:eastAsiaTheme="minorEastAsia" w:hAnsi="Cambria Math"/>
                <w:i/>
                <w:kern w:val="2"/>
                <w:sz w:val="20"/>
                <w:szCs w:val="20"/>
                <w:lang w:eastAsia="en-US"/>
                <w14:ligatures w14:val="standardContextual"/>
              </w:rPr>
            </m:ctrlPr>
          </m:dPr>
          <m:e>
            <m:r>
              <w:rPr>
                <w:rFonts w:ascii="Cambria Math" w:eastAsiaTheme="minorEastAsia" w:hAnsi="Cambria Math"/>
                <w:sz w:val="20"/>
                <w:szCs w:val="20"/>
              </w:rPr>
              <m:t>-0.01, 0.01</m:t>
            </m:r>
          </m:e>
        </m:d>
      </m:oMath>
      <w:r>
        <w:rPr>
          <w:sz w:val="20"/>
          <w:szCs w:val="20"/>
        </w:rPr>
        <w:t>.</w:t>
      </w:r>
    </w:p>
    <w:p w14:paraId="4278AC07" w14:textId="77777777" w:rsidR="00907ED3" w:rsidRPr="00202C77" w:rsidRDefault="00907ED3" w:rsidP="00907ED3">
      <w:pPr>
        <w:spacing w:after="60"/>
        <w:rPr>
          <w:sz w:val="20"/>
          <w:szCs w:val="20"/>
        </w:rPr>
      </w:pPr>
      <w:r>
        <w:rPr>
          <w:sz w:val="20"/>
          <w:szCs w:val="20"/>
        </w:rPr>
        <w:t>The upper bound is defined as:</w:t>
      </w:r>
      <w:r>
        <w:rPr>
          <w:sz w:val="20"/>
          <w:szCs w:val="20"/>
        </w:rPr>
        <w:br/>
      </w:r>
      <m:oMath>
        <m:sSub>
          <m:sSubPr>
            <m:ctrlPr>
              <w:rPr>
                <w:rFonts w:ascii="Cambria Math" w:eastAsiaTheme="minorEastAsia" w:hAnsi="Cambria Math"/>
                <w:iCs/>
                <w:kern w:val="2"/>
                <w:sz w:val="20"/>
                <w:szCs w:val="20"/>
                <w:lang w:eastAsia="en-US"/>
                <w14:ligatures w14:val="standardContextual"/>
              </w:rPr>
            </m:ctrlPr>
          </m:sSubPr>
          <m:e>
            <m:r>
              <m:rPr>
                <m:sty m:val="p"/>
              </m:rPr>
              <w:rPr>
                <w:rFonts w:ascii="Cambria Math" w:eastAsiaTheme="minorEastAsia" w:hAnsi="Cambria Math"/>
                <w:sz w:val="20"/>
                <w:szCs w:val="20"/>
              </w:rPr>
              <m:t>q</m:t>
            </m:r>
          </m:e>
          <m:sub>
            <m:r>
              <m:rPr>
                <m:sty m:val="p"/>
              </m:rPr>
              <w:rPr>
                <w:rFonts w:ascii="Cambria Math" w:eastAsiaTheme="minorEastAsia" w:hAnsi="Cambria Math"/>
                <w:sz w:val="20"/>
                <w:szCs w:val="20"/>
              </w:rPr>
              <m:t xml:space="preserve">max </m:t>
            </m:r>
          </m:sub>
        </m:sSub>
        <m:r>
          <m:rPr>
            <m:sty m:val="p"/>
          </m:rPr>
          <w:rPr>
            <w:rFonts w:ascii="Cambria Math" w:eastAsiaTheme="minorEastAsia" w:hAnsi="Cambria Math"/>
            <w:sz w:val="20"/>
            <w:szCs w:val="20"/>
          </w:rPr>
          <m:t>=624 mg/g</m:t>
        </m:r>
      </m:oMath>
      <w:r>
        <w:rPr>
          <w:rFonts w:eastAsiaTheme="minorEastAsia"/>
          <w:sz w:val="20"/>
          <w:szCs w:val="20"/>
        </w:rPr>
        <w:t xml:space="preserve">      </w:t>
      </w:r>
      <w:r>
        <w:rPr>
          <w:sz w:val="20"/>
          <w:szCs w:val="20"/>
        </w:rPr>
        <w:br/>
        <w:t>The regularisation parameter λ is selected via five-fold cross-validation over {0.01, 0.05, 0.1, 0.5, 1.0}, yielding λ = 0.1 (CV R²: 0.771). The resulting CV R² values across the grid are {0.763, 0.769, 0.771, 0.770, 0.764} respectively; the maximum variation is 0.008 across the full range and 0.002 within λ ∈ [0.05, 0.5], confirming robustness of the selected value to moderate parameter misspecification.</w:t>
      </w:r>
    </w:p>
    <w:p w14:paraId="2A6C5CFD" w14:textId="77777777" w:rsidR="00907ED3" w:rsidRPr="00202C77" w:rsidRDefault="00907ED3" w:rsidP="00907ED3">
      <w:pPr>
        <w:spacing w:after="60"/>
        <w:rPr>
          <w:sz w:val="20"/>
          <w:szCs w:val="20"/>
        </w:rPr>
      </w:pPr>
      <w:r>
        <w:rPr>
          <w:sz w:val="20"/>
          <w:szCs w:val="20"/>
        </w:rPr>
        <w:t>2) Inverse Design Formulation</w:t>
      </w:r>
    </w:p>
    <w:p w14:paraId="1A382496" w14:textId="77777777" w:rsidR="00907ED3" w:rsidRPr="00202C77" w:rsidRDefault="00907ED3" w:rsidP="00907ED3">
      <w:pPr>
        <w:spacing w:after="60"/>
        <w:rPr>
          <w:sz w:val="20"/>
          <w:szCs w:val="20"/>
        </w:rPr>
      </w:pPr>
      <w:r>
        <w:rPr>
          <w:sz w:val="20"/>
          <w:szCs w:val="20"/>
        </w:rPr>
        <w:t>Once trained, the model supports inverse design:</w:t>
      </w:r>
    </w:p>
    <w:p w14:paraId="76E05DB0" w14:textId="77777777" w:rsidR="00907ED3" w:rsidRPr="00202C77" w:rsidRDefault="00000000" w:rsidP="00907ED3">
      <w:pPr>
        <w:spacing w:after="60"/>
        <w:rPr>
          <w:sz w:val="20"/>
          <w:szCs w:val="20"/>
        </w:rPr>
      </w:pP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r>
          <w:rPr>
            <w:rFonts w:ascii="Cambria Math" w:hAnsi="Cambria Math"/>
            <w:sz w:val="20"/>
            <w:szCs w:val="20"/>
          </w:rPr>
          <m:t>=</m:t>
        </m:r>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argmax</m:t>
            </m:r>
          </m:e>
          <m:sub>
            <m:r>
              <w:rPr>
                <w:rFonts w:ascii="Cambria Math" w:hAnsi="Cambria Math"/>
                <w:sz w:val="20"/>
                <w:szCs w:val="20"/>
              </w:rPr>
              <m:t>x∈Ω</m:t>
            </m:r>
          </m:sub>
        </m:sSub>
        <m:r>
          <w:rPr>
            <w:rFonts w:ascii="Cambria Math" w:hAnsi="Cambria Math"/>
            <w:sz w:val="20"/>
            <w:szCs w:val="20"/>
          </w:rPr>
          <m:t>f</m:t>
        </m:r>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oMath>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r>
      <w:r>
        <w:rPr>
          <w:kern w:val="2"/>
          <w:sz w:val="20"/>
          <w:szCs w:val="20"/>
          <w:lang w:eastAsia="en-US"/>
          <w14:ligatures w14:val="standardContextual"/>
        </w:rPr>
        <w:tab/>
        <w:t>(4)</w:t>
      </w:r>
    </w:p>
    <w:p w14:paraId="187728EB" w14:textId="77777777" w:rsidR="00907ED3" w:rsidRPr="00202C77" w:rsidRDefault="00907ED3" w:rsidP="00907ED3">
      <w:pPr>
        <w:spacing w:after="60"/>
        <w:rPr>
          <w:sz w:val="20"/>
          <w:szCs w:val="20"/>
        </w:rPr>
      </w:pPr>
      <w:r>
        <w:rPr>
          <w:sz w:val="20"/>
          <w:szCs w:val="20"/>
        </w:rPr>
        <w:t xml:space="preserve">where the feasible design space  </w:t>
      </w:r>
      <m:oMath>
        <m:r>
          <w:rPr>
            <w:rFonts w:ascii="Cambria Math" w:hAnsi="Cambria Math"/>
            <w:sz w:val="20"/>
            <w:szCs w:val="20"/>
          </w:rPr>
          <m:t>Ω</m:t>
        </m:r>
      </m:oMath>
      <w:r>
        <w:rPr>
          <w:sz w:val="20"/>
          <w:szCs w:val="20"/>
        </w:rPr>
        <w:t xml:space="preserve"> is defined by:</w:t>
      </w:r>
    </w:p>
    <w:p w14:paraId="2E697C24" w14:textId="77777777" w:rsidR="00907ED3" w:rsidRPr="00202C77" w:rsidRDefault="00907ED3" w:rsidP="00907ED3">
      <w:pPr>
        <w:numPr>
          <w:ilvl w:val="0"/>
          <w:numId w:val="6"/>
        </w:numPr>
        <w:spacing w:after="60"/>
        <w:rPr>
          <w:sz w:val="20"/>
          <w:szCs w:val="20"/>
        </w:rPr>
      </w:pPr>
      <w:r>
        <w:rPr>
          <w:sz w:val="20"/>
          <w:szCs w:val="20"/>
        </w:rPr>
        <w:t xml:space="preserve">pH </w:t>
      </w:r>
      <m:oMath>
        <m:r>
          <w:rPr>
            <w:rFonts w:ascii="Cambria Math" w:hAnsi="Cambria Math"/>
            <w:sz w:val="20"/>
            <w:szCs w:val="20"/>
          </w:rPr>
          <m:t>∈</m:t>
        </m:r>
      </m:oMath>
      <w:r>
        <w:rPr>
          <w:sz w:val="20"/>
          <w:szCs w:val="20"/>
        </w:rPr>
        <w:t xml:space="preserve"> [3,10]),</w:t>
      </w:r>
    </w:p>
    <w:p w14:paraId="1FCC3078" w14:textId="77777777" w:rsidR="00907ED3" w:rsidRPr="00202C77" w:rsidRDefault="00907ED3" w:rsidP="00907ED3">
      <w:pPr>
        <w:numPr>
          <w:ilvl w:val="0"/>
          <w:numId w:val="6"/>
        </w:numPr>
        <w:spacing w:after="60"/>
        <w:rPr>
          <w:sz w:val="20"/>
          <w:szCs w:val="20"/>
        </w:rPr>
      </w:pPr>
      <m:oMath>
        <m:r>
          <w:rPr>
            <w:rFonts w:ascii="Cambria Math" w:hAnsi="Cambria Math"/>
            <w:sz w:val="20"/>
            <w:szCs w:val="20"/>
          </w:rPr>
          <m:t>T∈</m:t>
        </m:r>
        <m:sSup>
          <m:sSupPr>
            <m:ctrlPr>
              <w:rPr>
                <w:rFonts w:ascii="Cambria Math" w:eastAsiaTheme="minorHAnsi" w:hAnsi="Cambria Math"/>
                <w:i/>
                <w:kern w:val="2"/>
                <w:sz w:val="20"/>
                <w:szCs w:val="20"/>
                <w:lang w:eastAsia="en-US"/>
                <w14:ligatures w14:val="standardContextual"/>
              </w:rPr>
            </m:ctrlPr>
          </m:sSupPr>
          <m:e>
            <m:d>
              <m:dPr>
                <m:begChr m:val="["/>
                <m:endChr m:val="]"/>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20,80</m:t>
                </m:r>
              </m:e>
            </m:d>
          </m:e>
          <m:sup>
            <m:r>
              <w:rPr>
                <w:rFonts w:ascii="Cambria Math" w:hAnsi="Cambria Math"/>
                <w:sz w:val="20"/>
                <w:szCs w:val="20"/>
              </w:rPr>
              <m:t>o</m:t>
            </m:r>
          </m:sup>
        </m:sSup>
      </m:oMath>
      <w:r>
        <w:rPr>
          <w:sz w:val="20"/>
          <w:szCs w:val="20"/>
        </w:rPr>
        <w:t>C,</w:t>
      </w:r>
    </w:p>
    <w:p w14:paraId="776C38B1" w14:textId="77777777" w:rsidR="00907ED3" w:rsidRPr="00202C77" w:rsidRDefault="00907ED3" w:rsidP="00907ED3">
      <w:pPr>
        <w:numPr>
          <w:ilvl w:val="0"/>
          <w:numId w:val="6"/>
        </w:numPr>
        <w:spacing w:after="60"/>
        <w:rPr>
          <w:sz w:val="20"/>
          <w:szCs w:val="20"/>
        </w:rPr>
      </w:pPr>
      <w:r>
        <w:rPr>
          <w:sz w:val="20"/>
          <w:szCs w:val="20"/>
        </w:rPr>
        <w:t xml:space="preserve">Dosage </w:t>
      </w:r>
      <m:oMath>
        <m:r>
          <w:rPr>
            <w:rFonts w:ascii="Cambria Math" w:hAnsi="Cambria Math"/>
            <w:sz w:val="20"/>
            <w:szCs w:val="20"/>
          </w:rPr>
          <m:t>∈</m:t>
        </m:r>
      </m:oMath>
      <w:r>
        <w:rPr>
          <w:sz w:val="20"/>
          <w:szCs w:val="20"/>
        </w:rPr>
        <w:t xml:space="preserve"> [0.1,5] g/L.</w:t>
      </w:r>
    </w:p>
    <w:p w14:paraId="0DC7DAFC" w14:textId="77777777" w:rsidR="00907ED3" w:rsidRPr="00202C77" w:rsidRDefault="00907ED3" w:rsidP="00907ED3">
      <w:pPr>
        <w:spacing w:after="60"/>
        <w:rPr>
          <w:sz w:val="20"/>
          <w:szCs w:val="20"/>
        </w:rPr>
      </w:pPr>
      <w:r>
        <w:rPr>
          <w:sz w:val="20"/>
          <w:szCs w:val="20"/>
        </w:rPr>
        <w:t>3) Optimisation Strategy</w:t>
      </w:r>
    </w:p>
    <w:p w14:paraId="4728B29D" w14:textId="77777777" w:rsidR="00907ED3" w:rsidRPr="00202C77" w:rsidRDefault="00907ED3" w:rsidP="00907ED3">
      <w:pPr>
        <w:spacing w:after="60"/>
        <w:jc w:val="both"/>
        <w:rPr>
          <w:sz w:val="20"/>
          <w:szCs w:val="20"/>
        </w:rPr>
      </w:pPr>
      <w:r>
        <w:rPr>
          <w:sz w:val="20"/>
          <w:szCs w:val="20"/>
        </w:rPr>
        <w:t>The inverse optimisation problem is solved using Differential Evolution (DE) [10], a population-based global optimisation algorithm suited for nonlinear and non-convex search spaces. DE parameters: population size P = 50, maximum generations G = 200, mutation factor F = 0.8, crossover probability CR = 0.9. Convergence is declared when the improvement in best objective value across consecutive generations falls below ε = 0.01 mg/g, or G = 200 is reached. The feasible space Ω is defined by: pH ∈ [3, 10], T ∈ [20, 80] °C, Dosage ∈ [0.1, 5] g/L, and C₀ ∈ [10, 500] mg/L. Initial concentration C₀ is included as a free variable because SHAP analysis identifies the C₀/dose ratio as a significant predictor; holding it fixed would artificially constrain the design space. The trained ensemble acts as a surrogate, enabling efficient exploration of Ω without repeated physical experiments.  Ablation analysis confirms the contribution of each penalty term in L_const. Removing the non-negativity term alone raises the violation rate from 1.2% to 4.7%; removing the upper-bound term raises it to 5.9%; removing the Lipschitz term increases perturbation sensitivity from 4.1 to 9.8 mg/g while leaving the violation rate largely unchanged. Post-hoc output clipping (without penalty training) achieves a 0% violation rate but leaves perturbation sensitivity at 13.2 mg/g, confirming that the Lipschitz penalty provides stability benefits that clipping alone cannot replicate.</w:t>
      </w:r>
    </w:p>
    <w:p w14:paraId="7F590C4B" w14:textId="77777777" w:rsidR="00907ED3" w:rsidRPr="003F0600" w:rsidRDefault="00907ED3" w:rsidP="00907ED3">
      <w:pPr>
        <w:spacing w:after="60"/>
        <w:rPr>
          <w:i/>
          <w:iCs/>
          <w:sz w:val="16"/>
          <w:szCs w:val="16"/>
        </w:rPr>
      </w:pPr>
      <w:r>
        <w:rPr>
          <w:i/>
          <w:iCs/>
          <w:sz w:val="16"/>
          <w:szCs w:val="16"/>
        </w:rPr>
        <w:t>D. ALGORITHM DEFINITION</w:t>
      </w:r>
    </w:p>
    <w:p w14:paraId="1639A298" w14:textId="77777777" w:rsidR="00907ED3" w:rsidRPr="00202C77" w:rsidRDefault="00907ED3" w:rsidP="00907ED3">
      <w:pPr>
        <w:spacing w:after="60"/>
        <w:rPr>
          <w:sz w:val="20"/>
          <w:szCs w:val="20"/>
        </w:rPr>
      </w:pPr>
      <w:r>
        <w:rPr>
          <w:b/>
          <w:bCs/>
          <w:sz w:val="20"/>
          <w:szCs w:val="20"/>
        </w:rPr>
        <w:t>Algorithm 1: ID-SEAD</w:t>
      </w:r>
    </w:p>
    <w:p w14:paraId="3C1F52BF" w14:textId="77777777" w:rsidR="00907ED3" w:rsidRPr="00202C77" w:rsidRDefault="00907ED3" w:rsidP="00907ED3">
      <w:pPr>
        <w:spacing w:after="60"/>
        <w:rPr>
          <w:sz w:val="20"/>
          <w:szCs w:val="20"/>
        </w:rPr>
      </w:pPr>
      <w:r>
        <w:rPr>
          <w:sz w:val="20"/>
          <w:szCs w:val="20"/>
        </w:rPr>
        <w:t xml:space="preserve">Input: Dataset D = </w:t>
      </w:r>
      <m:oMath>
        <m:sSubSup>
          <m:sSubSupPr>
            <m:ctrlPr>
              <w:rPr>
                <w:rFonts w:ascii="Cambria Math" w:eastAsiaTheme="minorHAnsi" w:hAnsi="Cambria Math"/>
                <w:i/>
                <w:kern w:val="2"/>
                <w:sz w:val="20"/>
                <w:szCs w:val="20"/>
                <w:lang w:eastAsia="en-US"/>
                <w14:ligatures w14:val="standardContextual"/>
              </w:rPr>
            </m:ctrlPr>
          </m:sSubSupPr>
          <m:e>
            <m:d>
              <m:dPr>
                <m:begChr m:val="{"/>
                <m:endChr m:val="}"/>
                <m:ctrlPr>
                  <w:rPr>
                    <w:rFonts w:ascii="Cambria Math" w:eastAsiaTheme="minorHAnsi" w:hAnsi="Cambria Math"/>
                    <w:i/>
                    <w:kern w:val="2"/>
                    <w:sz w:val="20"/>
                    <w:szCs w:val="20"/>
                    <w:lang w:eastAsia="en-US"/>
                    <w14:ligatures w14:val="standardContextual"/>
                  </w:rPr>
                </m:ctrlPr>
              </m:dPr>
              <m:e>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q</m:t>
                        </m:r>
                      </m:e>
                      <m:sub>
                        <m:r>
                          <w:rPr>
                            <w:rFonts w:ascii="Cambria Math" w:hAnsi="Cambria Math"/>
                            <w:sz w:val="20"/>
                            <w:szCs w:val="20"/>
                          </w:rPr>
                          <m:t>e</m:t>
                        </m:r>
                      </m:sub>
                      <m:sup>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j</m:t>
                            </m:r>
                          </m:e>
                        </m:d>
                      </m:sup>
                    </m:sSubSup>
                  </m:e>
                </m:d>
              </m:e>
            </m:d>
          </m:e>
          <m:sub>
            <m:r>
              <w:rPr>
                <w:rFonts w:ascii="Cambria Math" w:hAnsi="Cambria Math"/>
                <w:sz w:val="20"/>
                <w:szCs w:val="20"/>
              </w:rPr>
              <m:t>j=1</m:t>
            </m:r>
          </m:sub>
          <m:sup>
            <m:r>
              <w:rPr>
                <w:rFonts w:ascii="Cambria Math" w:hAnsi="Cambria Math"/>
                <w:sz w:val="20"/>
                <w:szCs w:val="20"/>
              </w:rPr>
              <m:t>N</m:t>
            </m:r>
          </m:sup>
        </m:sSubSup>
      </m:oMath>
      <w:r>
        <w:rPr>
          <w:sz w:val="20"/>
          <w:szCs w:val="20"/>
        </w:rPr>
        <w:t>, feasible region (Ω)</w:t>
      </w:r>
    </w:p>
    <w:p w14:paraId="18B645B3" w14:textId="77777777" w:rsidR="00907ED3" w:rsidRPr="00202C77" w:rsidRDefault="00907ED3" w:rsidP="00907ED3">
      <w:pPr>
        <w:spacing w:after="60"/>
        <w:rPr>
          <w:sz w:val="20"/>
          <w:szCs w:val="20"/>
        </w:rPr>
      </w:pPr>
      <w:r>
        <w:rPr>
          <w:sz w:val="20"/>
          <w:szCs w:val="20"/>
        </w:rPr>
        <w:t>Output: Trained model f (·), optimal configuration (</w:t>
      </w: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oMath>
      <w:r>
        <w:rPr>
          <w:sz w:val="20"/>
          <w:szCs w:val="20"/>
        </w:rPr>
        <w:t>)</w:t>
      </w:r>
    </w:p>
    <w:p w14:paraId="239CB57A" w14:textId="77777777" w:rsidR="00907ED3" w:rsidRPr="00202C77" w:rsidRDefault="00907ED3" w:rsidP="00907ED3">
      <w:pPr>
        <w:spacing w:after="60"/>
        <w:rPr>
          <w:i/>
          <w:iCs/>
          <w:sz w:val="20"/>
          <w:szCs w:val="20"/>
        </w:rPr>
      </w:pPr>
      <w:r>
        <w:rPr>
          <w:rFonts w:ascii="Courier New" w:hAnsi="Courier New"/>
          <w:b/>
          <w:bCs/>
          <w:i/>
          <w:iCs/>
          <w:sz w:val="20"/>
          <w:szCs w:val="20"/>
        </w:rPr>
        <w:t>Pseudocode:</w:t>
      </w:r>
    </w:p>
    <w:p w14:paraId="4DEACDCE" w14:textId="77777777" w:rsidR="00907ED3" w:rsidRPr="00202C77" w:rsidRDefault="00907ED3" w:rsidP="00907ED3">
      <w:pPr>
        <w:spacing w:after="20"/>
        <w:ind w:left="360"/>
        <w:rPr>
          <w:sz w:val="20"/>
          <w:szCs w:val="20"/>
        </w:rPr>
      </w:pPr>
      <w:r>
        <w:rPr>
          <w:rFonts w:ascii="Courier New" w:hAnsi="Courier New"/>
          <w:sz w:val="20"/>
          <w:szCs w:val="20"/>
        </w:rPr>
        <w:t>1. Preprocess D; engineer features {SA×PV, C₀/dose, pH×T}</w:t>
      </w:r>
    </w:p>
    <w:p w14:paraId="43E6326D" w14:textId="77777777" w:rsidR="00907ED3" w:rsidRPr="00202C77" w:rsidRDefault="00907ED3" w:rsidP="00907ED3">
      <w:pPr>
        <w:spacing w:after="20"/>
        <w:ind w:left="360"/>
        <w:rPr>
          <w:sz w:val="20"/>
          <w:szCs w:val="20"/>
        </w:rPr>
      </w:pPr>
      <w:r>
        <w:rPr>
          <w:rFonts w:ascii="Courier New" w:hAnsi="Courier New"/>
          <w:sz w:val="20"/>
          <w:szCs w:val="20"/>
        </w:rPr>
        <w:t>2. FOR each fold k = 1..5: train fi(x) (LR, SVR, RF, XGB); store OOF predictions</w:t>
      </w:r>
    </w:p>
    <w:p w14:paraId="71294A39" w14:textId="77777777" w:rsidR="00907ED3" w:rsidRPr="00202C77" w:rsidRDefault="00907ED3" w:rsidP="00907ED3">
      <w:pPr>
        <w:spacing w:after="20"/>
        <w:ind w:left="360"/>
        <w:rPr>
          <w:sz w:val="20"/>
          <w:szCs w:val="20"/>
        </w:rPr>
      </w:pPr>
      <w:r>
        <w:rPr>
          <w:rFonts w:ascii="Courier New" w:hAnsi="Courier New"/>
          <w:sz w:val="20"/>
          <w:szCs w:val="20"/>
        </w:rPr>
        <w:lastRenderedPageBreak/>
        <w:t>3. Train Ridge meta-learner on 4-column OOF matrix; compute wi</w:t>
      </w:r>
    </w:p>
    <w:p w14:paraId="5811699D" w14:textId="77777777" w:rsidR="00907ED3" w:rsidRPr="00202C77" w:rsidRDefault="00907ED3" w:rsidP="00907ED3">
      <w:pPr>
        <w:spacing w:after="20"/>
        <w:ind w:left="360"/>
        <w:rPr>
          <w:sz w:val="20"/>
          <w:szCs w:val="20"/>
        </w:rPr>
      </w:pPr>
      <w:r>
        <w:rPr>
          <w:rFonts w:ascii="Courier New" w:hAnsi="Courier New"/>
          <w:sz w:val="20"/>
          <w:szCs w:val="20"/>
        </w:rPr>
        <w:t>4. Compute f(x) = SUM wi*fi(x); apply L_total (Eqs. 2-3, lambda=0.1)</w:t>
      </w:r>
    </w:p>
    <w:p w14:paraId="2F0D7E15" w14:textId="77777777" w:rsidR="00907ED3" w:rsidRPr="00202C77" w:rsidRDefault="00907ED3" w:rsidP="00907ED3">
      <w:pPr>
        <w:spacing w:after="20"/>
        <w:ind w:left="360"/>
        <w:rPr>
          <w:sz w:val="20"/>
          <w:szCs w:val="20"/>
        </w:rPr>
      </w:pPr>
      <w:r>
        <w:rPr>
          <w:rFonts w:ascii="Courier New" w:hAnsi="Courier New"/>
          <w:sz w:val="20"/>
          <w:szCs w:val="20"/>
        </w:rPr>
        <w:t>5. FOR each generation g = 1..G (DE): mutate, crossover, select x in Omega</w:t>
      </w:r>
    </w:p>
    <w:p w14:paraId="33AAC17F" w14:textId="77777777" w:rsidR="00907ED3" w:rsidRPr="00202C77" w:rsidRDefault="00907ED3" w:rsidP="00907ED3">
      <w:pPr>
        <w:spacing w:after="20"/>
        <w:ind w:left="360"/>
        <w:rPr>
          <w:sz w:val="20"/>
          <w:szCs w:val="20"/>
        </w:rPr>
      </w:pPr>
      <w:r>
        <w:rPr>
          <w:rFonts w:ascii="Courier New" w:hAnsi="Courier New"/>
          <w:sz w:val="20"/>
          <w:szCs w:val="20"/>
        </w:rPr>
        <w:t>6. Evaluate f(x_candidate); update x* if f(x_candidate) &gt; f(x*)</w:t>
      </w:r>
    </w:p>
    <w:p w14:paraId="38CE051F" w14:textId="77777777" w:rsidR="00907ED3" w:rsidRPr="00202C77" w:rsidRDefault="00907ED3" w:rsidP="00907ED3">
      <w:pPr>
        <w:spacing w:after="60"/>
        <w:ind w:left="360"/>
        <w:rPr>
          <w:sz w:val="20"/>
          <w:szCs w:val="20"/>
        </w:rPr>
      </w:pPr>
      <w:r>
        <w:rPr>
          <w:rFonts w:ascii="Courier New" w:hAnsi="Courier New"/>
          <w:sz w:val="20"/>
          <w:szCs w:val="20"/>
        </w:rPr>
        <w:t>7. RETURN x* and f(x*)</w:t>
      </w:r>
    </w:p>
    <w:p w14:paraId="52A743E3" w14:textId="77777777" w:rsidR="008C2557" w:rsidRPr="00202C77" w:rsidRDefault="00907ED3" w:rsidP="008C2557">
      <w:pPr>
        <w:spacing w:after="60"/>
        <w:jc w:val="both"/>
        <w:rPr>
          <w:sz w:val="20"/>
          <w:szCs w:val="20"/>
        </w:rPr>
      </w:pPr>
      <w:r>
        <w:rPr>
          <w:sz w:val="20"/>
          <w:szCs w:val="20"/>
        </w:rPr>
        <w:t>ID-SEAD extends conventional stacking by integrating constraint-aware learning with inverse design optimisation, producing not only accurate predictions but also physically feasible and actionable design solutions. The architecture is illustrated in Fig. 1. The proposed framework organized into four tightly coupled stages. First, domain-informed feature engineering constructs physically meaningful predictors by embedding interaction terms (SA×PV, C₀/dose, pH×T) that capture nonlinear adsorption behaviour. Second, four complementary base learners—LR, SVR, RF, and XGBoost—are trained using five-fold cross-validation, with out-of-fold predictions generated to ensure unbiased meta-learning. Third, these predictions are aggregated through a Ridge meta-learner governed by a constraint-based objective function L_total, which enforces non-negativity, upper-bound compliance, and local Lipschitz stability (λ = 0.1), thereby improving physical feasibility and robustness. Finally, the trained ensemble is embedded in a differential evolution optimization loop over the feasible design space Ω, enabling inverse design by identifying optimal adsorbent–process configurations x* that meet specified adsorption capacity targets. Computational cost is O(K·N·B) for training (K=5 folds, N=323, B=4 base learners) plus O(G·P) for differential evolution (G=200 generations, P=50 population); total wall-clock time is under 3 minutes on a standard CPU.</w:t>
      </w:r>
    </w:p>
    <w:p w14:paraId="75E43C32" w14:textId="77777777" w:rsidR="00907ED3" w:rsidRDefault="00907ED3">
      <w:pPr>
        <w:spacing w:after="60"/>
        <w:jc w:val="both"/>
      </w:pPr>
    </w:p>
    <w:p w14:paraId="4FE6371C" w14:textId="77777777" w:rsidR="00977C7F" w:rsidRDefault="00977C7F">
      <w:pPr>
        <w:spacing w:before="60" w:after="40"/>
        <w:jc w:val="center"/>
      </w:pPr>
      <w:r>
        <w:rPr>
          <w:noProof/>
        </w:rPr>
        <w:drawing>
          <wp:inline distT="0" distB="0" distL="0" distR="0" wp14:anchorId="7B5A7A24" wp14:editId="590C9FD4">
            <wp:extent cx="3435944" cy="2366984"/>
            <wp:effectExtent l="0" t="0" r="0" b="0"/>
            <wp:docPr id="1939459100" name="Fig1_IDSEAD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9100" name="Fig1_IDSEAD_Architecture"/>
                    <pic:cNvPicPr preferRelativeResize="0"/>
                  </pic:nvPicPr>
                  <pic:blipFill>
                    <a:blip r:embed="rId5"/>
                    <a:stretch>
                      <a:fillRect/>
                    </a:stretch>
                  </pic:blipFill>
                  <pic:spPr>
                    <a:xfrm>
                      <a:off x="0" y="0"/>
                      <a:ext cx="3442926" cy="2371794"/>
                    </a:xfrm>
                    <a:prstGeom prst="rect">
                      <a:avLst/>
                    </a:prstGeom>
                  </pic:spPr>
                </pic:pic>
              </a:graphicData>
            </a:graphic>
          </wp:inline>
        </w:drawing>
      </w:r>
    </w:p>
    <w:p w14:paraId="4DDD0B35" w14:textId="77777777" w:rsidR="008C2557" w:rsidRPr="003F0600" w:rsidRDefault="008C2557" w:rsidP="008C2557">
      <w:pPr>
        <w:spacing w:before="30" w:after="80"/>
        <w:jc w:val="center"/>
        <w:rPr>
          <w:i/>
          <w:iCs/>
          <w:sz w:val="16"/>
          <w:szCs w:val="16"/>
        </w:rPr>
      </w:pPr>
      <w:r>
        <w:rPr>
          <w:i/>
          <w:iCs/>
          <w:sz w:val="16"/>
          <w:szCs w:val="16"/>
        </w:rPr>
        <w:t>Fig. 1 Framework of the Inverse-Design Stacked Ensemble Algorithm (ID-SEAD)</w:t>
      </w:r>
    </w:p>
    <w:p w14:paraId="3403C885" w14:textId="77777777" w:rsidR="00674EF8" w:rsidRPr="003F0600" w:rsidRDefault="003F0600">
      <w:pPr>
        <w:spacing w:before="140" w:after="70"/>
        <w:jc w:val="center"/>
        <w:rPr>
          <w:sz w:val="20"/>
          <w:szCs w:val="20"/>
        </w:rPr>
      </w:pPr>
      <w:r>
        <w:rPr>
          <w:sz w:val="20"/>
          <w:szCs w:val="20"/>
        </w:rPr>
        <w:t>4.0 RESULTS AND DISCUSSION</w:t>
      </w:r>
    </w:p>
    <w:p w14:paraId="10306F1C" w14:textId="77777777" w:rsidR="00674EF8" w:rsidRPr="003F0600" w:rsidRDefault="003F0600">
      <w:pPr>
        <w:spacing w:before="100" w:after="40"/>
        <w:rPr>
          <w:i/>
          <w:iCs/>
          <w:sz w:val="16"/>
          <w:szCs w:val="16"/>
        </w:rPr>
      </w:pPr>
      <w:r>
        <w:rPr>
          <w:i/>
          <w:iCs/>
          <w:sz w:val="16"/>
          <w:szCs w:val="16"/>
        </w:rPr>
        <w:t>4.1 PREDICTIVE PERFORMANCE</w:t>
      </w:r>
    </w:p>
    <w:p w14:paraId="2D234204" w14:textId="77777777" w:rsidR="00674EF8" w:rsidRPr="003F0600" w:rsidRDefault="00000000">
      <w:pPr>
        <w:spacing w:after="60"/>
        <w:jc w:val="both"/>
        <w:rPr>
          <w:sz w:val="20"/>
          <w:szCs w:val="20"/>
        </w:rPr>
      </w:pPr>
      <w:r>
        <w:rPr>
          <w:sz w:val="20"/>
          <w:szCs w:val="20"/>
        </w:rPr>
        <w:t>Table I compares ID-SEAD against individual base learners using R² and RMSE on the held-out test set.</w:t>
      </w:r>
    </w:p>
    <w:p w14:paraId="3CA859D0" w14:textId="77777777" w:rsidR="00674EF8" w:rsidRDefault="00674EF8">
      <w:pPr>
        <w:spacing w:after="30"/>
      </w:pPr>
    </w:p>
    <w:p w14:paraId="218A498B" w14:textId="77777777" w:rsidR="00674EF8" w:rsidRPr="003F0600" w:rsidRDefault="00000000">
      <w:pPr>
        <w:spacing w:before="60" w:after="30"/>
        <w:jc w:val="center"/>
        <w:rPr>
          <w:i/>
          <w:iCs/>
          <w:sz w:val="16"/>
          <w:szCs w:val="16"/>
        </w:rPr>
      </w:pPr>
      <w:r>
        <w:rPr>
          <w:i/>
          <w:iCs/>
          <w:sz w:val="16"/>
          <w:szCs w:val="16"/>
        </w:rPr>
        <w:t>TABLE I.    MODEL PERFORMANCE COMPARISON</w:t>
      </w:r>
    </w:p>
    <w:tbl>
      <w:tblPr>
        <w:tblStyle w:val="TableGrid"/>
        <w:tblW w:w="4882" w:type="dxa"/>
        <w:tblLook w:val="0000" w:firstRow="0" w:lastRow="0" w:firstColumn="0" w:lastColumn="0" w:noHBand="0" w:noVBand="0"/>
      </w:tblPr>
      <w:tblGrid>
        <w:gridCol w:w="1576"/>
        <w:gridCol w:w="803"/>
        <w:gridCol w:w="942"/>
        <w:gridCol w:w="1561"/>
      </w:tblGrid>
      <w:tr w:rsidR="00674EF8" w14:paraId="7BF67C68" w14:textId="77777777" w:rsidTr="003F0600">
        <w:trPr>
          <w:trHeight w:val="244"/>
        </w:trPr>
        <w:tc>
          <w:tcPr>
            <w:tcW w:w="1576" w:type="dxa"/>
          </w:tcPr>
          <w:p w14:paraId="51343030" w14:textId="77777777" w:rsidR="00674EF8" w:rsidRDefault="00000000" w:rsidP="003E667A">
            <w:pPr>
              <w:jc w:val="both"/>
            </w:pPr>
            <w:r>
              <w:rPr>
                <w:b/>
                <w:bCs/>
                <w:sz w:val="16"/>
                <w:szCs w:val="16"/>
              </w:rPr>
              <w:t>Model</w:t>
            </w:r>
          </w:p>
        </w:tc>
        <w:tc>
          <w:tcPr>
            <w:tcW w:w="803" w:type="dxa"/>
          </w:tcPr>
          <w:p w14:paraId="5A298158" w14:textId="77777777" w:rsidR="00674EF8" w:rsidRDefault="00000000" w:rsidP="003E667A">
            <w:pPr>
              <w:jc w:val="both"/>
            </w:pPr>
            <w:r>
              <w:rPr>
                <w:b/>
                <w:bCs/>
                <w:sz w:val="16"/>
                <w:szCs w:val="16"/>
              </w:rPr>
              <w:t>R²</w:t>
            </w:r>
          </w:p>
        </w:tc>
        <w:tc>
          <w:tcPr>
            <w:tcW w:w="942" w:type="dxa"/>
          </w:tcPr>
          <w:p w14:paraId="0553F9FE" w14:textId="77777777" w:rsidR="00674EF8" w:rsidRDefault="00000000" w:rsidP="003E667A">
            <w:pPr>
              <w:jc w:val="both"/>
            </w:pPr>
            <w:r>
              <w:rPr>
                <w:b/>
                <w:bCs/>
                <w:sz w:val="16"/>
                <w:szCs w:val="16"/>
              </w:rPr>
              <w:t>RMSE (mg/g)</w:t>
            </w:r>
          </w:p>
        </w:tc>
        <w:tc>
          <w:tcPr>
            <w:tcW w:w="1561" w:type="dxa"/>
          </w:tcPr>
          <w:p w14:paraId="01AA43C5" w14:textId="77777777" w:rsidR="00674EF8" w:rsidRDefault="00000000" w:rsidP="003E667A">
            <w:pPr>
              <w:jc w:val="both"/>
            </w:pPr>
            <w:r>
              <w:rPr>
                <w:b/>
                <w:bCs/>
                <w:sz w:val="16"/>
                <w:szCs w:val="16"/>
              </w:rPr>
              <w:t>CV R² (μ±σ, 5-fold)</w:t>
            </w:r>
          </w:p>
        </w:tc>
      </w:tr>
      <w:tr w:rsidR="00674EF8" w14:paraId="482128ED" w14:textId="77777777" w:rsidTr="003F0600">
        <w:trPr>
          <w:trHeight w:val="244"/>
        </w:trPr>
        <w:tc>
          <w:tcPr>
            <w:tcW w:w="1576" w:type="dxa"/>
          </w:tcPr>
          <w:p w14:paraId="3A0FA98E" w14:textId="77777777" w:rsidR="00674EF8" w:rsidRDefault="00000000" w:rsidP="003E667A">
            <w:pPr>
              <w:jc w:val="both"/>
            </w:pPr>
            <w:r>
              <w:rPr>
                <w:sz w:val="16"/>
                <w:szCs w:val="16"/>
              </w:rPr>
              <w:t>LR</w:t>
            </w:r>
          </w:p>
        </w:tc>
        <w:tc>
          <w:tcPr>
            <w:tcW w:w="803" w:type="dxa"/>
          </w:tcPr>
          <w:p w14:paraId="05E870B3" w14:textId="77777777" w:rsidR="00674EF8" w:rsidRDefault="00000000" w:rsidP="003E667A">
            <w:pPr>
              <w:jc w:val="both"/>
            </w:pPr>
            <w:r>
              <w:rPr>
                <w:sz w:val="16"/>
                <w:szCs w:val="16"/>
              </w:rPr>
              <w:t>0.741</w:t>
            </w:r>
          </w:p>
        </w:tc>
        <w:tc>
          <w:tcPr>
            <w:tcW w:w="942" w:type="dxa"/>
          </w:tcPr>
          <w:p w14:paraId="41383AC6" w14:textId="77777777" w:rsidR="00674EF8" w:rsidRDefault="00000000" w:rsidP="003E667A">
            <w:pPr>
              <w:jc w:val="both"/>
            </w:pPr>
            <w:r>
              <w:rPr>
                <w:sz w:val="16"/>
                <w:szCs w:val="16"/>
              </w:rPr>
              <w:t>72.2</w:t>
            </w:r>
          </w:p>
        </w:tc>
        <w:tc>
          <w:tcPr>
            <w:tcW w:w="1561" w:type="dxa"/>
          </w:tcPr>
          <w:p w14:paraId="25339D2A" w14:textId="77777777" w:rsidR="00674EF8" w:rsidRDefault="00000000" w:rsidP="003E667A">
            <w:pPr>
              <w:jc w:val="both"/>
            </w:pPr>
            <w:r>
              <w:rPr>
                <w:sz w:val="16"/>
                <w:szCs w:val="16"/>
              </w:rPr>
              <w:t>0.622 ±0.083</w:t>
            </w:r>
          </w:p>
        </w:tc>
      </w:tr>
      <w:tr w:rsidR="00674EF8" w14:paraId="2C5BF5C2" w14:textId="77777777" w:rsidTr="003F0600">
        <w:trPr>
          <w:trHeight w:val="244"/>
        </w:trPr>
        <w:tc>
          <w:tcPr>
            <w:tcW w:w="1576" w:type="dxa"/>
          </w:tcPr>
          <w:p w14:paraId="3B2BEFAE" w14:textId="77777777" w:rsidR="00674EF8" w:rsidRDefault="00000000" w:rsidP="003E667A">
            <w:pPr>
              <w:jc w:val="both"/>
            </w:pPr>
            <w:r>
              <w:rPr>
                <w:sz w:val="16"/>
                <w:szCs w:val="16"/>
              </w:rPr>
              <w:t>SVR</w:t>
            </w:r>
          </w:p>
        </w:tc>
        <w:tc>
          <w:tcPr>
            <w:tcW w:w="803" w:type="dxa"/>
          </w:tcPr>
          <w:p w14:paraId="1F96A90D" w14:textId="77777777" w:rsidR="00674EF8" w:rsidRDefault="00000000" w:rsidP="003E667A">
            <w:pPr>
              <w:jc w:val="both"/>
            </w:pPr>
            <w:r>
              <w:rPr>
                <w:sz w:val="16"/>
                <w:szCs w:val="16"/>
              </w:rPr>
              <w:t>0.705</w:t>
            </w:r>
          </w:p>
        </w:tc>
        <w:tc>
          <w:tcPr>
            <w:tcW w:w="942" w:type="dxa"/>
          </w:tcPr>
          <w:p w14:paraId="71E00C18" w14:textId="77777777" w:rsidR="00674EF8" w:rsidRDefault="00000000" w:rsidP="003E667A">
            <w:pPr>
              <w:jc w:val="both"/>
            </w:pPr>
            <w:r>
              <w:rPr>
                <w:sz w:val="16"/>
                <w:szCs w:val="16"/>
              </w:rPr>
              <w:t>77.0</w:t>
            </w:r>
          </w:p>
        </w:tc>
        <w:tc>
          <w:tcPr>
            <w:tcW w:w="1561" w:type="dxa"/>
          </w:tcPr>
          <w:p w14:paraId="3B3CF3A6" w14:textId="77777777" w:rsidR="00674EF8" w:rsidRDefault="00000000" w:rsidP="003E667A">
            <w:pPr>
              <w:jc w:val="both"/>
            </w:pPr>
            <w:r>
              <w:rPr>
                <w:sz w:val="16"/>
                <w:szCs w:val="16"/>
              </w:rPr>
              <w:t>0.681 ±0.091</w:t>
            </w:r>
          </w:p>
        </w:tc>
      </w:tr>
      <w:tr w:rsidR="00674EF8" w14:paraId="2ECE767B" w14:textId="77777777" w:rsidTr="003F0600">
        <w:trPr>
          <w:trHeight w:val="261"/>
        </w:trPr>
        <w:tc>
          <w:tcPr>
            <w:tcW w:w="1576" w:type="dxa"/>
          </w:tcPr>
          <w:p w14:paraId="5EEFCDC5" w14:textId="77777777" w:rsidR="00674EF8" w:rsidRDefault="00000000" w:rsidP="003E667A">
            <w:pPr>
              <w:jc w:val="both"/>
            </w:pPr>
            <w:r>
              <w:rPr>
                <w:sz w:val="16"/>
                <w:szCs w:val="16"/>
              </w:rPr>
              <w:t>RF</w:t>
            </w:r>
          </w:p>
        </w:tc>
        <w:tc>
          <w:tcPr>
            <w:tcW w:w="803" w:type="dxa"/>
          </w:tcPr>
          <w:p w14:paraId="30B5E48C" w14:textId="77777777" w:rsidR="00674EF8" w:rsidRDefault="00000000" w:rsidP="003E667A">
            <w:pPr>
              <w:jc w:val="both"/>
            </w:pPr>
            <w:r>
              <w:rPr>
                <w:sz w:val="16"/>
                <w:szCs w:val="16"/>
              </w:rPr>
              <w:t>0.838</w:t>
            </w:r>
          </w:p>
        </w:tc>
        <w:tc>
          <w:tcPr>
            <w:tcW w:w="942" w:type="dxa"/>
          </w:tcPr>
          <w:p w14:paraId="4D0D8A80" w14:textId="77777777" w:rsidR="00674EF8" w:rsidRDefault="00000000" w:rsidP="003E667A">
            <w:pPr>
              <w:jc w:val="both"/>
            </w:pPr>
            <w:r>
              <w:rPr>
                <w:sz w:val="16"/>
                <w:szCs w:val="16"/>
              </w:rPr>
              <w:t>57.1</w:t>
            </w:r>
          </w:p>
        </w:tc>
        <w:tc>
          <w:tcPr>
            <w:tcW w:w="1561" w:type="dxa"/>
          </w:tcPr>
          <w:p w14:paraId="1B8740D2" w14:textId="77777777" w:rsidR="00674EF8" w:rsidRDefault="00000000" w:rsidP="003E667A">
            <w:pPr>
              <w:jc w:val="both"/>
            </w:pPr>
            <w:r>
              <w:rPr>
                <w:sz w:val="16"/>
                <w:szCs w:val="16"/>
              </w:rPr>
              <w:t>0.751 ±0.049</w:t>
            </w:r>
          </w:p>
        </w:tc>
      </w:tr>
      <w:tr w:rsidR="00674EF8" w14:paraId="3DF10914" w14:textId="77777777" w:rsidTr="003F0600">
        <w:trPr>
          <w:trHeight w:val="244"/>
        </w:trPr>
        <w:tc>
          <w:tcPr>
            <w:tcW w:w="1576" w:type="dxa"/>
          </w:tcPr>
          <w:p w14:paraId="41A41D62" w14:textId="77777777" w:rsidR="00674EF8" w:rsidRDefault="00000000" w:rsidP="003E667A">
            <w:pPr>
              <w:jc w:val="both"/>
            </w:pPr>
            <w:r>
              <w:rPr>
                <w:sz w:val="16"/>
                <w:szCs w:val="16"/>
              </w:rPr>
              <w:t>XGB</w:t>
            </w:r>
          </w:p>
        </w:tc>
        <w:tc>
          <w:tcPr>
            <w:tcW w:w="803" w:type="dxa"/>
          </w:tcPr>
          <w:p w14:paraId="50080421" w14:textId="77777777" w:rsidR="00674EF8" w:rsidRDefault="00000000" w:rsidP="003E667A">
            <w:pPr>
              <w:jc w:val="both"/>
            </w:pPr>
            <w:r>
              <w:rPr>
                <w:sz w:val="16"/>
                <w:szCs w:val="16"/>
              </w:rPr>
              <w:t>0.854</w:t>
            </w:r>
          </w:p>
        </w:tc>
        <w:tc>
          <w:tcPr>
            <w:tcW w:w="942" w:type="dxa"/>
          </w:tcPr>
          <w:p w14:paraId="5E93436C" w14:textId="77777777" w:rsidR="00674EF8" w:rsidRDefault="00000000" w:rsidP="003E667A">
            <w:pPr>
              <w:jc w:val="both"/>
            </w:pPr>
            <w:r>
              <w:rPr>
                <w:sz w:val="16"/>
                <w:szCs w:val="16"/>
              </w:rPr>
              <w:t>54.1</w:t>
            </w:r>
          </w:p>
        </w:tc>
        <w:tc>
          <w:tcPr>
            <w:tcW w:w="1561" w:type="dxa"/>
          </w:tcPr>
          <w:p w14:paraId="528E737B" w14:textId="77777777" w:rsidR="00674EF8" w:rsidRDefault="00000000" w:rsidP="003E667A">
            <w:pPr>
              <w:jc w:val="both"/>
            </w:pPr>
            <w:r>
              <w:rPr>
                <w:sz w:val="16"/>
                <w:szCs w:val="16"/>
              </w:rPr>
              <w:t>0.781 ±0.039</w:t>
            </w:r>
          </w:p>
        </w:tc>
      </w:tr>
      <w:tr w:rsidR="00674EF8" w14:paraId="7DA7421A" w14:textId="77777777" w:rsidTr="003F0600">
        <w:trPr>
          <w:trHeight w:val="244"/>
        </w:trPr>
        <w:tc>
          <w:tcPr>
            <w:tcW w:w="1576" w:type="dxa"/>
          </w:tcPr>
          <w:p w14:paraId="62F62479" w14:textId="77777777" w:rsidR="00674EF8" w:rsidRDefault="00000000" w:rsidP="003E667A">
            <w:pPr>
              <w:jc w:val="both"/>
            </w:pPr>
            <w:r>
              <w:rPr>
                <w:b/>
                <w:bCs/>
                <w:sz w:val="16"/>
                <w:szCs w:val="16"/>
              </w:rPr>
              <w:t>ID-SEAD (Proposed)</w:t>
            </w:r>
          </w:p>
        </w:tc>
        <w:tc>
          <w:tcPr>
            <w:tcW w:w="803" w:type="dxa"/>
          </w:tcPr>
          <w:p w14:paraId="17E2187E" w14:textId="77777777" w:rsidR="00674EF8" w:rsidRDefault="00000000" w:rsidP="003E667A">
            <w:pPr>
              <w:jc w:val="both"/>
            </w:pPr>
            <w:r>
              <w:rPr>
                <w:b/>
                <w:bCs/>
                <w:sz w:val="16"/>
                <w:szCs w:val="16"/>
              </w:rPr>
              <w:t>0.853</w:t>
            </w:r>
          </w:p>
        </w:tc>
        <w:tc>
          <w:tcPr>
            <w:tcW w:w="942" w:type="dxa"/>
          </w:tcPr>
          <w:p w14:paraId="57D247C7" w14:textId="77777777" w:rsidR="00674EF8" w:rsidRDefault="00000000" w:rsidP="003E667A">
            <w:pPr>
              <w:jc w:val="both"/>
            </w:pPr>
            <w:r>
              <w:rPr>
                <w:b/>
                <w:bCs/>
                <w:sz w:val="16"/>
                <w:szCs w:val="16"/>
              </w:rPr>
              <w:t>54.3</w:t>
            </w:r>
          </w:p>
        </w:tc>
        <w:tc>
          <w:tcPr>
            <w:tcW w:w="1561" w:type="dxa"/>
          </w:tcPr>
          <w:p w14:paraId="39188B5D" w14:textId="77777777" w:rsidR="00674EF8" w:rsidRDefault="00000000" w:rsidP="003E667A">
            <w:pPr>
              <w:jc w:val="both"/>
            </w:pPr>
            <w:r>
              <w:rPr>
                <w:b/>
                <w:bCs/>
                <w:sz w:val="16"/>
                <w:szCs w:val="16"/>
              </w:rPr>
              <w:t>0.771 ±0.050</w:t>
            </w:r>
          </w:p>
        </w:tc>
      </w:tr>
    </w:tbl>
    <w:p w14:paraId="149FDF0D" w14:textId="77777777" w:rsidR="00674EF8" w:rsidRDefault="00674EF8">
      <w:pPr>
        <w:spacing w:after="50"/>
      </w:pPr>
    </w:p>
    <w:p w14:paraId="543CB616" w14:textId="77777777" w:rsidR="00674EF8" w:rsidRPr="003F0600" w:rsidRDefault="00000000">
      <w:pPr>
        <w:spacing w:after="60"/>
        <w:jc w:val="both"/>
        <w:rPr>
          <w:sz w:val="20"/>
          <w:szCs w:val="20"/>
        </w:rPr>
      </w:pPr>
      <w:r>
        <w:rPr>
          <w:sz w:val="20"/>
          <w:szCs w:val="20"/>
        </w:rPr>
        <w:t>ID-SEAD achieves R² = 0.853 (CV R²: 0.771 ± 0.050; 95% CI: [0.673, 0.869]) on the held-out test set, statistically equivalent to XGBoost (0.854, ΔR² = 0.001, within CV variability). LR and SVR are substantially outperformed. The near-equivalence between ID-SEAD and XGBoost—rather than improvement over it—is expected and intentional: the Ridge meta-learner is trained under the augmented loss L_total, which penalises constraint violations and prediction instability in addition to predictive error. This slightly regularises the meta-learner weights away from the XGBoost-dominant solution, producing a small, acceptable reduction in R² in exchange for the physical feasibility and stability gains quantified in Table II. R² alone is not the appropriate comparison axis: XGBoost cannot enforce feasibility constraints, guarantee physically valid outputs, or generate inverse design configurations. Table II and Table III are the more relevant performance criteria for engineering deployment.</w:t>
      </w:r>
    </w:p>
    <w:p w14:paraId="382244F5" w14:textId="77777777" w:rsidR="00674EF8" w:rsidRPr="003F0600" w:rsidRDefault="003F0600">
      <w:pPr>
        <w:spacing w:before="100" w:after="40"/>
        <w:rPr>
          <w:i/>
          <w:iCs/>
          <w:sz w:val="16"/>
          <w:szCs w:val="16"/>
        </w:rPr>
      </w:pPr>
      <w:r>
        <w:rPr>
          <w:i/>
          <w:iCs/>
          <w:sz w:val="16"/>
          <w:szCs w:val="16"/>
        </w:rPr>
        <w:t>4.2 STABILITY VALIDATION</w:t>
      </w:r>
    </w:p>
    <w:p w14:paraId="15BC321D" w14:textId="77777777" w:rsidR="00674EF8" w:rsidRPr="003F0600" w:rsidRDefault="00000000">
      <w:pPr>
        <w:spacing w:after="60"/>
        <w:jc w:val="both"/>
        <w:rPr>
          <w:sz w:val="20"/>
          <w:szCs w:val="20"/>
        </w:rPr>
      </w:pPr>
      <w:r>
        <w:rPr>
          <w:sz w:val="20"/>
          <w:szCs w:val="20"/>
        </w:rPr>
        <w:t xml:space="preserve">Table II compares all models on four metrics: (i) constraint violation rate — percentage of test predictions outside [0, q_max]; (ii) perturbation sensitivity — mean absolute prediction change under ±1% feature perturbations; (iii) cross-fold R² standard </w:t>
      </w:r>
      <w:r>
        <w:rPr>
          <w:sz w:val="20"/>
          <w:szCs w:val="20"/>
        </w:rPr>
        <w:lastRenderedPageBreak/>
        <w:t>deviation; and (iv) inverse design capability. Individual base learners are included to show that unconstrained models exhibit the highest violation rates, motivating the constraint-aware meta-learner formulation.</w:t>
      </w:r>
    </w:p>
    <w:p w14:paraId="6FDB4478" w14:textId="77777777" w:rsidR="00674EF8" w:rsidRDefault="00674EF8">
      <w:pPr>
        <w:spacing w:after="30"/>
      </w:pPr>
    </w:p>
    <w:p w14:paraId="49DEA9CD" w14:textId="77777777" w:rsidR="00674EF8" w:rsidRPr="003F0600" w:rsidRDefault="00000000">
      <w:pPr>
        <w:spacing w:before="60" w:after="30"/>
        <w:jc w:val="center"/>
        <w:rPr>
          <w:i/>
          <w:iCs/>
          <w:sz w:val="16"/>
          <w:szCs w:val="16"/>
        </w:rPr>
      </w:pPr>
      <w:r>
        <w:rPr>
          <w:i/>
          <w:iCs/>
          <w:sz w:val="16"/>
          <w:szCs w:val="16"/>
        </w:rPr>
        <w:t>TABLE II.    STABILITY AND CAPABILITY COMPARISON (ALL MODELS)</w:t>
      </w:r>
    </w:p>
    <w:tbl>
      <w:tblPr>
        <w:tblStyle w:val="TableGrid"/>
        <w:tblW w:w="4940" w:type="dxa"/>
        <w:tblLook w:val="0000" w:firstRow="0" w:lastRow="0" w:firstColumn="0" w:lastColumn="0" w:noHBand="0" w:noVBand="0"/>
      </w:tblPr>
      <w:tblGrid>
        <w:gridCol w:w="1007"/>
        <w:gridCol w:w="576"/>
        <w:gridCol w:w="576"/>
        <w:gridCol w:w="576"/>
        <w:gridCol w:w="785"/>
        <w:gridCol w:w="839"/>
        <w:gridCol w:w="643"/>
      </w:tblGrid>
      <w:tr w:rsidR="00674EF8" w14:paraId="3B5981EF" w14:textId="77777777">
        <w:trPr>
          <w:trHeight w:val="360"/>
        </w:trPr>
        <w:tc>
          <w:tcPr>
            <w:tcW w:w="1760" w:type="dxa"/>
          </w:tcPr>
          <w:p w14:paraId="7E250133" w14:textId="77777777" w:rsidR="008D0147" w:rsidRDefault="00000000">
            <w:pPr>
              <w:jc w:val="both"/>
            </w:pPr>
            <w:r>
              <w:rPr>
                <w:b/>
                <w:bCs/>
                <w:sz w:val="16"/>
                <w:szCs w:val="16"/>
              </w:rPr>
              <w:t>Metric</w:t>
            </w:r>
          </w:p>
        </w:tc>
        <w:tc>
          <w:tcPr>
            <w:tcW w:w="530" w:type="dxa"/>
          </w:tcPr>
          <w:p w14:paraId="6CABF8A9" w14:textId="77777777" w:rsidR="008D0147" w:rsidRDefault="00000000">
            <w:pPr>
              <w:jc w:val="both"/>
            </w:pPr>
            <w:r>
              <w:rPr>
                <w:b/>
                <w:bCs/>
                <w:sz w:val="16"/>
                <w:szCs w:val="16"/>
              </w:rPr>
              <w:t>LR</w:t>
            </w:r>
          </w:p>
        </w:tc>
        <w:tc>
          <w:tcPr>
            <w:tcW w:w="530" w:type="dxa"/>
          </w:tcPr>
          <w:p w14:paraId="1C6F6468" w14:textId="77777777" w:rsidR="008D0147" w:rsidRDefault="00000000">
            <w:pPr>
              <w:jc w:val="both"/>
            </w:pPr>
            <w:r>
              <w:rPr>
                <w:b/>
                <w:bCs/>
                <w:sz w:val="16"/>
                <w:szCs w:val="16"/>
              </w:rPr>
              <w:t>SVR</w:t>
            </w:r>
          </w:p>
        </w:tc>
        <w:tc>
          <w:tcPr>
            <w:tcW w:w="530" w:type="dxa"/>
          </w:tcPr>
          <w:p w14:paraId="786BAABE" w14:textId="77777777" w:rsidR="008D0147" w:rsidRDefault="00000000">
            <w:pPr>
              <w:jc w:val="both"/>
            </w:pPr>
            <w:r>
              <w:rPr>
                <w:b/>
                <w:bCs/>
                <w:sz w:val="16"/>
                <w:szCs w:val="16"/>
              </w:rPr>
              <w:t>RF</w:t>
            </w:r>
          </w:p>
        </w:tc>
        <w:tc>
          <w:tcPr>
            <w:tcW w:w="530" w:type="dxa"/>
          </w:tcPr>
          <w:p w14:paraId="5582275E" w14:textId="77777777" w:rsidR="008D0147" w:rsidRDefault="00000000">
            <w:pPr>
              <w:jc w:val="both"/>
            </w:pPr>
            <w:r>
              <w:rPr>
                <w:b/>
                <w:bCs/>
                <w:sz w:val="16"/>
                <w:szCs w:val="16"/>
              </w:rPr>
              <w:t>Baseline SEAD</w:t>
            </w:r>
          </w:p>
        </w:tc>
        <w:tc>
          <w:tcPr>
            <w:tcW w:w="530" w:type="dxa"/>
          </w:tcPr>
          <w:p w14:paraId="7D2D3429" w14:textId="77777777" w:rsidR="008D0147" w:rsidRDefault="00000000">
            <w:pPr>
              <w:jc w:val="both"/>
            </w:pPr>
            <w:r>
              <w:rPr>
                <w:b/>
                <w:bCs/>
                <w:sz w:val="16"/>
                <w:szCs w:val="16"/>
              </w:rPr>
              <w:t>XGBoost</w:t>
            </w:r>
          </w:p>
        </w:tc>
        <w:tc>
          <w:tcPr>
            <w:tcW w:w="530" w:type="dxa"/>
          </w:tcPr>
          <w:p w14:paraId="4A370221" w14:textId="77777777" w:rsidR="008D0147" w:rsidRDefault="00000000">
            <w:pPr>
              <w:jc w:val="both"/>
            </w:pPr>
            <w:r>
              <w:rPr>
                <w:b/>
                <w:bCs/>
                <w:sz w:val="16"/>
                <w:szCs w:val="16"/>
              </w:rPr>
              <w:t>ID-SEAD</w:t>
            </w:r>
          </w:p>
        </w:tc>
      </w:tr>
      <w:tr w:rsidR="00674EF8" w14:paraId="10EF609C" w14:textId="77777777">
        <w:trPr>
          <w:trHeight w:val="360"/>
        </w:trPr>
        <w:tc>
          <w:tcPr>
            <w:tcW w:w="1760" w:type="dxa"/>
          </w:tcPr>
          <w:p w14:paraId="73DA6E69" w14:textId="77777777" w:rsidR="008D0147" w:rsidRDefault="00000000">
            <w:pPr>
              <w:jc w:val="both"/>
            </w:pPr>
            <w:r>
              <w:rPr>
                <w:sz w:val="16"/>
                <w:szCs w:val="16"/>
              </w:rPr>
              <w:t>Constraint violation rate (%)</w:t>
            </w:r>
          </w:p>
        </w:tc>
        <w:tc>
          <w:tcPr>
            <w:tcW w:w="530" w:type="dxa"/>
          </w:tcPr>
          <w:p w14:paraId="1DCAA204" w14:textId="77777777" w:rsidR="008D0147" w:rsidRDefault="00000000">
            <w:pPr>
              <w:jc w:val="both"/>
            </w:pPr>
            <w:r>
              <w:rPr>
                <w:sz w:val="16"/>
                <w:szCs w:val="16"/>
              </w:rPr>
              <w:t>19.4</w:t>
            </w:r>
          </w:p>
        </w:tc>
        <w:tc>
          <w:tcPr>
            <w:tcW w:w="530" w:type="dxa"/>
          </w:tcPr>
          <w:p w14:paraId="01B62E47" w14:textId="77777777" w:rsidR="008D0147" w:rsidRDefault="00000000">
            <w:pPr>
              <w:jc w:val="both"/>
            </w:pPr>
            <w:r>
              <w:rPr>
                <w:sz w:val="16"/>
                <w:szCs w:val="16"/>
              </w:rPr>
              <w:t>12.7</w:t>
            </w:r>
          </w:p>
        </w:tc>
        <w:tc>
          <w:tcPr>
            <w:tcW w:w="530" w:type="dxa"/>
          </w:tcPr>
          <w:p w14:paraId="4519FD75" w14:textId="77777777" w:rsidR="008D0147" w:rsidRDefault="00000000">
            <w:pPr>
              <w:jc w:val="both"/>
            </w:pPr>
            <w:r>
              <w:rPr>
                <w:sz w:val="16"/>
                <w:szCs w:val="16"/>
              </w:rPr>
              <w:t>7.8</w:t>
            </w:r>
          </w:p>
        </w:tc>
        <w:tc>
          <w:tcPr>
            <w:tcW w:w="530" w:type="dxa"/>
          </w:tcPr>
          <w:p w14:paraId="111D5D08" w14:textId="77777777" w:rsidR="008D0147" w:rsidRDefault="00000000">
            <w:pPr>
              <w:jc w:val="both"/>
            </w:pPr>
            <w:r>
              <w:rPr>
                <w:sz w:val="16"/>
                <w:szCs w:val="16"/>
              </w:rPr>
              <w:t>8.3</w:t>
            </w:r>
          </w:p>
        </w:tc>
        <w:tc>
          <w:tcPr>
            <w:tcW w:w="530" w:type="dxa"/>
          </w:tcPr>
          <w:p w14:paraId="2E86B920" w14:textId="77777777" w:rsidR="008D0147" w:rsidRDefault="00000000">
            <w:pPr>
              <w:jc w:val="both"/>
            </w:pPr>
            <w:r>
              <w:rPr>
                <w:sz w:val="16"/>
                <w:szCs w:val="16"/>
              </w:rPr>
              <w:t>6.1</w:t>
            </w:r>
          </w:p>
        </w:tc>
        <w:tc>
          <w:tcPr>
            <w:tcW w:w="530" w:type="dxa"/>
          </w:tcPr>
          <w:p w14:paraId="0178C377" w14:textId="77777777" w:rsidR="008D0147" w:rsidRDefault="00000000">
            <w:pPr>
              <w:jc w:val="both"/>
            </w:pPr>
            <w:r>
              <w:rPr>
                <w:sz w:val="16"/>
                <w:szCs w:val="16"/>
              </w:rPr>
              <w:t>1.2</w:t>
            </w:r>
          </w:p>
        </w:tc>
      </w:tr>
      <w:tr w:rsidR="00674EF8" w14:paraId="304F9FC6" w14:textId="77777777">
        <w:trPr>
          <w:trHeight w:val="360"/>
        </w:trPr>
        <w:tc>
          <w:tcPr>
            <w:tcW w:w="1760" w:type="dxa"/>
          </w:tcPr>
          <w:p w14:paraId="4A59F2E0" w14:textId="77777777" w:rsidR="008D0147" w:rsidRDefault="00000000">
            <w:pPr>
              <w:jc w:val="both"/>
            </w:pPr>
            <w:r>
              <w:rPr>
                <w:sz w:val="16"/>
                <w:szCs w:val="16"/>
              </w:rPr>
              <w:t>Perturbation sensitivity (mg/g)</w:t>
            </w:r>
          </w:p>
        </w:tc>
        <w:tc>
          <w:tcPr>
            <w:tcW w:w="530" w:type="dxa"/>
          </w:tcPr>
          <w:p w14:paraId="77C7552C" w14:textId="77777777" w:rsidR="008D0147" w:rsidRDefault="00000000">
            <w:pPr>
              <w:jc w:val="both"/>
            </w:pPr>
            <w:r>
              <w:rPr>
                <w:sz w:val="16"/>
                <w:szCs w:val="16"/>
              </w:rPr>
              <w:t>22.1</w:t>
            </w:r>
          </w:p>
        </w:tc>
        <w:tc>
          <w:tcPr>
            <w:tcW w:w="530" w:type="dxa"/>
          </w:tcPr>
          <w:p w14:paraId="351B80C1" w14:textId="77777777" w:rsidR="008D0147" w:rsidRDefault="00000000">
            <w:pPr>
              <w:jc w:val="both"/>
            </w:pPr>
            <w:r>
              <w:rPr>
                <w:sz w:val="16"/>
                <w:szCs w:val="16"/>
              </w:rPr>
              <w:t>18.4</w:t>
            </w:r>
          </w:p>
        </w:tc>
        <w:tc>
          <w:tcPr>
            <w:tcW w:w="530" w:type="dxa"/>
          </w:tcPr>
          <w:p w14:paraId="7B274B0B" w14:textId="77777777" w:rsidR="008D0147" w:rsidRDefault="00000000">
            <w:pPr>
              <w:jc w:val="both"/>
            </w:pPr>
            <w:r>
              <w:rPr>
                <w:sz w:val="16"/>
                <w:szCs w:val="16"/>
              </w:rPr>
              <w:t>15.9</w:t>
            </w:r>
          </w:p>
        </w:tc>
        <w:tc>
          <w:tcPr>
            <w:tcW w:w="530" w:type="dxa"/>
          </w:tcPr>
          <w:p w14:paraId="2D76EA85" w14:textId="77777777" w:rsidR="008D0147" w:rsidRDefault="00000000">
            <w:pPr>
              <w:jc w:val="both"/>
            </w:pPr>
            <w:r>
              <w:rPr>
                <w:sz w:val="16"/>
                <w:szCs w:val="16"/>
              </w:rPr>
              <w:t>14.7</w:t>
            </w:r>
          </w:p>
        </w:tc>
        <w:tc>
          <w:tcPr>
            <w:tcW w:w="530" w:type="dxa"/>
          </w:tcPr>
          <w:p w14:paraId="460FBE2B" w14:textId="77777777" w:rsidR="008D0147" w:rsidRDefault="00000000">
            <w:pPr>
              <w:jc w:val="both"/>
            </w:pPr>
            <w:r>
              <w:rPr>
                <w:sz w:val="16"/>
                <w:szCs w:val="16"/>
              </w:rPr>
              <w:t>11.3</w:t>
            </w:r>
          </w:p>
        </w:tc>
        <w:tc>
          <w:tcPr>
            <w:tcW w:w="530" w:type="dxa"/>
          </w:tcPr>
          <w:p w14:paraId="64FF46E5" w14:textId="77777777" w:rsidR="008D0147" w:rsidRDefault="00000000">
            <w:pPr>
              <w:jc w:val="both"/>
            </w:pPr>
            <w:r>
              <w:rPr>
                <w:sz w:val="16"/>
                <w:szCs w:val="16"/>
              </w:rPr>
              <w:t>4.1</w:t>
            </w:r>
          </w:p>
        </w:tc>
      </w:tr>
      <w:tr w:rsidR="00674EF8" w14:paraId="7E0FCF2A" w14:textId="77777777">
        <w:trPr>
          <w:trHeight w:val="360"/>
        </w:trPr>
        <w:tc>
          <w:tcPr>
            <w:tcW w:w="1760" w:type="dxa"/>
          </w:tcPr>
          <w:p w14:paraId="79B14DF0" w14:textId="77777777" w:rsidR="008D0147" w:rsidRDefault="00000000">
            <w:pPr>
              <w:jc w:val="both"/>
            </w:pPr>
            <w:r>
              <w:rPr>
                <w:sz w:val="16"/>
                <w:szCs w:val="16"/>
              </w:rPr>
              <w:t>Cross-fold R² std. dev.</w:t>
            </w:r>
          </w:p>
        </w:tc>
        <w:tc>
          <w:tcPr>
            <w:tcW w:w="530" w:type="dxa"/>
          </w:tcPr>
          <w:p w14:paraId="2207D651" w14:textId="77777777" w:rsidR="008D0147" w:rsidRDefault="00000000">
            <w:pPr>
              <w:jc w:val="both"/>
            </w:pPr>
            <w:r>
              <w:rPr>
                <w:sz w:val="16"/>
                <w:szCs w:val="16"/>
              </w:rPr>
              <w:t>0.083</w:t>
            </w:r>
          </w:p>
        </w:tc>
        <w:tc>
          <w:tcPr>
            <w:tcW w:w="530" w:type="dxa"/>
          </w:tcPr>
          <w:p w14:paraId="21B5AB15" w14:textId="77777777" w:rsidR="008D0147" w:rsidRDefault="00000000">
            <w:pPr>
              <w:jc w:val="both"/>
            </w:pPr>
            <w:r>
              <w:rPr>
                <w:sz w:val="16"/>
                <w:szCs w:val="16"/>
              </w:rPr>
              <w:t>0.091</w:t>
            </w:r>
          </w:p>
        </w:tc>
        <w:tc>
          <w:tcPr>
            <w:tcW w:w="530" w:type="dxa"/>
          </w:tcPr>
          <w:p w14:paraId="51710D4F" w14:textId="77777777" w:rsidR="008D0147" w:rsidRDefault="00000000">
            <w:pPr>
              <w:jc w:val="both"/>
            </w:pPr>
            <w:r>
              <w:rPr>
                <w:sz w:val="16"/>
                <w:szCs w:val="16"/>
              </w:rPr>
              <w:t>0.049</w:t>
            </w:r>
          </w:p>
        </w:tc>
        <w:tc>
          <w:tcPr>
            <w:tcW w:w="530" w:type="dxa"/>
          </w:tcPr>
          <w:p w14:paraId="791870E1" w14:textId="77777777" w:rsidR="008D0147" w:rsidRDefault="00000000">
            <w:pPr>
              <w:jc w:val="both"/>
            </w:pPr>
            <w:r>
              <w:rPr>
                <w:sz w:val="16"/>
                <w:szCs w:val="16"/>
              </w:rPr>
              <w:t>0.038</w:t>
            </w:r>
          </w:p>
        </w:tc>
        <w:tc>
          <w:tcPr>
            <w:tcW w:w="530" w:type="dxa"/>
          </w:tcPr>
          <w:p w14:paraId="39AF5822" w14:textId="77777777" w:rsidR="008D0147" w:rsidRDefault="00000000">
            <w:pPr>
              <w:jc w:val="both"/>
            </w:pPr>
            <w:r>
              <w:rPr>
                <w:sz w:val="16"/>
                <w:szCs w:val="16"/>
              </w:rPr>
              <w:t>0.039</w:t>
            </w:r>
          </w:p>
        </w:tc>
        <w:tc>
          <w:tcPr>
            <w:tcW w:w="530" w:type="dxa"/>
          </w:tcPr>
          <w:p w14:paraId="16D4D583" w14:textId="77777777" w:rsidR="008D0147" w:rsidRDefault="00000000">
            <w:pPr>
              <w:jc w:val="both"/>
            </w:pPr>
            <w:r>
              <w:rPr>
                <w:sz w:val="16"/>
                <w:szCs w:val="16"/>
              </w:rPr>
              <w:t>0.011</w:t>
            </w:r>
          </w:p>
        </w:tc>
      </w:tr>
      <w:tr w:rsidR="00674EF8" w14:paraId="2F1BF37D" w14:textId="77777777">
        <w:trPr>
          <w:trHeight w:val="360"/>
        </w:trPr>
        <w:tc>
          <w:tcPr>
            <w:tcW w:w="1760" w:type="dxa"/>
          </w:tcPr>
          <w:p w14:paraId="3F8B7086" w14:textId="77777777" w:rsidR="008D0147" w:rsidRDefault="00000000">
            <w:pPr>
              <w:jc w:val="both"/>
            </w:pPr>
            <w:r>
              <w:rPr>
                <w:sz w:val="16"/>
                <w:szCs w:val="16"/>
              </w:rPr>
              <w:t>Inverse design capability</w:t>
            </w:r>
          </w:p>
        </w:tc>
        <w:tc>
          <w:tcPr>
            <w:tcW w:w="530" w:type="dxa"/>
          </w:tcPr>
          <w:p w14:paraId="63689EAB" w14:textId="77777777" w:rsidR="008D0147" w:rsidRDefault="00000000">
            <w:pPr>
              <w:jc w:val="both"/>
            </w:pPr>
            <w:r>
              <w:rPr>
                <w:sz w:val="16"/>
                <w:szCs w:val="16"/>
              </w:rPr>
              <w:t>No</w:t>
            </w:r>
          </w:p>
        </w:tc>
        <w:tc>
          <w:tcPr>
            <w:tcW w:w="530" w:type="dxa"/>
          </w:tcPr>
          <w:p w14:paraId="3F9BE5BB" w14:textId="77777777" w:rsidR="008D0147" w:rsidRDefault="00000000">
            <w:pPr>
              <w:jc w:val="both"/>
            </w:pPr>
            <w:r>
              <w:rPr>
                <w:sz w:val="16"/>
                <w:szCs w:val="16"/>
              </w:rPr>
              <w:t>No</w:t>
            </w:r>
          </w:p>
        </w:tc>
        <w:tc>
          <w:tcPr>
            <w:tcW w:w="530" w:type="dxa"/>
          </w:tcPr>
          <w:p w14:paraId="5AC90814" w14:textId="77777777" w:rsidR="008D0147" w:rsidRDefault="00000000">
            <w:pPr>
              <w:jc w:val="both"/>
            </w:pPr>
            <w:r>
              <w:rPr>
                <w:sz w:val="16"/>
                <w:szCs w:val="16"/>
              </w:rPr>
              <w:t>No</w:t>
            </w:r>
          </w:p>
        </w:tc>
        <w:tc>
          <w:tcPr>
            <w:tcW w:w="530" w:type="dxa"/>
          </w:tcPr>
          <w:p w14:paraId="6D47DC9A" w14:textId="77777777" w:rsidR="008D0147" w:rsidRDefault="00000000">
            <w:pPr>
              <w:jc w:val="both"/>
            </w:pPr>
            <w:r>
              <w:rPr>
                <w:sz w:val="16"/>
                <w:szCs w:val="16"/>
              </w:rPr>
              <w:t>No</w:t>
            </w:r>
          </w:p>
        </w:tc>
        <w:tc>
          <w:tcPr>
            <w:tcW w:w="530" w:type="dxa"/>
          </w:tcPr>
          <w:p w14:paraId="78E6EB04" w14:textId="77777777" w:rsidR="008D0147" w:rsidRDefault="00000000">
            <w:pPr>
              <w:jc w:val="both"/>
            </w:pPr>
            <w:r>
              <w:rPr>
                <w:sz w:val="16"/>
                <w:szCs w:val="16"/>
              </w:rPr>
              <w:t>No</w:t>
            </w:r>
          </w:p>
        </w:tc>
        <w:tc>
          <w:tcPr>
            <w:tcW w:w="530" w:type="dxa"/>
          </w:tcPr>
          <w:p w14:paraId="4DD2E805" w14:textId="77777777" w:rsidR="008D0147" w:rsidRDefault="00000000">
            <w:pPr>
              <w:jc w:val="both"/>
            </w:pPr>
            <w:r>
              <w:rPr>
                <w:sz w:val="16"/>
                <w:szCs w:val="16"/>
              </w:rPr>
              <w:t>Yes</w:t>
            </w:r>
          </w:p>
        </w:tc>
      </w:tr>
    </w:tbl>
    <w:p w14:paraId="5E58DCEC" w14:textId="77777777" w:rsidR="00674EF8" w:rsidRDefault="00674EF8">
      <w:pPr>
        <w:spacing w:after="50"/>
      </w:pPr>
    </w:p>
    <w:p w14:paraId="122033C3" w14:textId="77777777" w:rsidR="00674EF8" w:rsidRPr="003F0600" w:rsidRDefault="00000000">
      <w:pPr>
        <w:spacing w:after="60"/>
        <w:jc w:val="both"/>
        <w:rPr>
          <w:sz w:val="20"/>
          <w:szCs w:val="20"/>
        </w:rPr>
      </w:pPr>
      <w:r>
        <w:rPr>
          <w:sz w:val="20"/>
          <w:szCs w:val="20"/>
        </w:rPr>
        <w:t>Table II shows that unconstrained base learners exhibit high violation rates: LR 19.4%, SVR 12.7%, RF 7.8%, reflecting the absence of any physical feasibility mechanism. Baseline SEAD achieves 8.3%, marginally worse than XGBoost (6.1%) due to the influence of LR on the meta-learner weights. ID-SEAD reduces this to 1.2% through the non-negativity and upper-bound penalties in L_const. Perturbation sensitivity decreases 3.6× relative to Baseline SEAD (14.7 to 4.1 mg/g), confirming the Lipschitz term achieves its intended effect. Cross-fold R² standard deviation reduces from 0.038 to 0.011, demonstrating improved generalisation consistency. Post-hoc clipping alone achieves 0% violation rate but does not improve perturbation sensitivity (13.2 mg/g), confirming the penalty formulation provides benefits beyond simple output bounding.</w:t>
      </w:r>
    </w:p>
    <w:p w14:paraId="786E7423" w14:textId="77777777" w:rsidR="00674EF8" w:rsidRPr="003F0600" w:rsidRDefault="003F0600">
      <w:pPr>
        <w:spacing w:before="100" w:after="40"/>
        <w:rPr>
          <w:i/>
          <w:iCs/>
          <w:sz w:val="16"/>
          <w:szCs w:val="16"/>
        </w:rPr>
      </w:pPr>
      <w:r>
        <w:rPr>
          <w:i/>
          <w:iCs/>
          <w:sz w:val="16"/>
          <w:szCs w:val="16"/>
        </w:rPr>
        <w:t>4.3 INTERPRETABILITY</w:t>
      </w:r>
    </w:p>
    <w:p w14:paraId="406A5AAD" w14:textId="77777777" w:rsidR="00674EF8" w:rsidRPr="003F0600" w:rsidRDefault="00000000">
      <w:pPr>
        <w:spacing w:after="60"/>
        <w:jc w:val="both"/>
        <w:rPr>
          <w:sz w:val="20"/>
          <w:szCs w:val="20"/>
        </w:rPr>
      </w:pPr>
      <w:r>
        <w:rPr>
          <w:sz w:val="20"/>
          <w:szCs w:val="20"/>
        </w:rPr>
        <w:t>SHAP analysis confirms that surface area and pore volume are the dominant drivers of adsorption capacity, consistent with adsorption theory. Interaction features SA×PV and C_0/dose contribute meaningfully. The model correctly captures the inverse dose effect—higher dosage reduces per-gram capacity due to site aggregation—validating its scientific coherence. Results are shown in Fig. 2(b)–(c).</w:t>
      </w:r>
    </w:p>
    <w:p w14:paraId="4B257158" w14:textId="77777777" w:rsidR="00674EF8" w:rsidRPr="003F0600" w:rsidRDefault="003F0600">
      <w:pPr>
        <w:spacing w:before="100" w:after="40"/>
        <w:rPr>
          <w:i/>
          <w:iCs/>
          <w:sz w:val="16"/>
          <w:szCs w:val="16"/>
        </w:rPr>
      </w:pPr>
      <w:r>
        <w:rPr>
          <w:i/>
          <w:iCs/>
          <w:sz w:val="16"/>
          <w:szCs w:val="16"/>
        </w:rPr>
        <w:t>4.4 INVERSE DESIGN RESULTS</w:t>
      </w:r>
    </w:p>
    <w:p w14:paraId="767A1648" w14:textId="77777777" w:rsidR="00674EF8" w:rsidRPr="003F0600" w:rsidRDefault="00000000">
      <w:pPr>
        <w:spacing w:after="60"/>
        <w:jc w:val="both"/>
        <w:rPr>
          <w:sz w:val="20"/>
          <w:szCs w:val="20"/>
        </w:rPr>
      </w:pPr>
      <w:r>
        <w:rPr>
          <w:sz w:val="20"/>
          <w:szCs w:val="20"/>
        </w:rPr>
        <w:t>Table III presents representative inverse design outputs for three target performance levels. Each configuration was generated by differential evolution over Ω and assessed for simulation consistency by comparing predicted qᴱ values against published ranges for the corresponding material class [7], [8], [13]. This constitutes a simulation-consistency check, not independent experimental validation; the literature sources used partly overlap with the training corpus. Experimental validation of recommended configurations is essential before operational deployment and is the primary direction for future work.</w:t>
      </w:r>
    </w:p>
    <w:p w14:paraId="44B5B5C7" w14:textId="77777777" w:rsidR="00674EF8" w:rsidRPr="003F0600" w:rsidRDefault="00000000">
      <w:pPr>
        <w:spacing w:before="60" w:after="30"/>
        <w:jc w:val="center"/>
        <w:rPr>
          <w:i/>
          <w:iCs/>
          <w:sz w:val="16"/>
          <w:szCs w:val="16"/>
        </w:rPr>
      </w:pPr>
      <w:r>
        <w:rPr>
          <w:i/>
          <w:iCs/>
          <w:sz w:val="16"/>
          <w:szCs w:val="16"/>
        </w:rPr>
        <w:t>TABLE III.    INVERSE DESIGN RESULTS</w:t>
      </w:r>
    </w:p>
    <w:tbl>
      <w:tblPr>
        <w:tblStyle w:val="TableGrid"/>
        <w:tblW w:w="5098" w:type="dxa"/>
        <w:tblLook w:val="0000" w:firstRow="0" w:lastRow="0" w:firstColumn="0" w:lastColumn="0" w:noHBand="0" w:noVBand="0"/>
      </w:tblPr>
      <w:tblGrid>
        <w:gridCol w:w="945"/>
        <w:gridCol w:w="1588"/>
        <w:gridCol w:w="1393"/>
        <w:gridCol w:w="1172"/>
      </w:tblGrid>
      <w:tr w:rsidR="00674EF8" w:rsidRPr="003F0600" w14:paraId="76BCDFB8" w14:textId="77777777" w:rsidTr="003E667A">
        <w:tc>
          <w:tcPr>
            <w:tcW w:w="945" w:type="dxa"/>
          </w:tcPr>
          <w:p w14:paraId="0A0B633F" w14:textId="77777777" w:rsidR="00674EF8" w:rsidRPr="003F0600" w:rsidRDefault="00000000" w:rsidP="003E667A">
            <w:pPr>
              <w:jc w:val="both"/>
              <w:rPr>
                <w:sz w:val="16"/>
                <w:szCs w:val="16"/>
              </w:rPr>
            </w:pPr>
            <w:r>
              <w:rPr>
                <w:b/>
                <w:bCs/>
                <w:sz w:val="16"/>
                <w:szCs w:val="16"/>
              </w:rPr>
              <w:t xml:space="preserve">Target </w:t>
            </w:r>
            <m:oMath>
              <m:sSub>
                <m:sSubPr>
                  <m:ctrlPr>
                    <w:rPr>
                      <w:rFonts w:ascii="Cambria Math" w:eastAsiaTheme="minorHAnsi" w:hAnsi="Cambria Math"/>
                      <w:b/>
                      <w:bCs/>
                      <w:i/>
                      <w:kern w:val="2"/>
                      <w:sz w:val="20"/>
                      <w:szCs w:val="20"/>
                      <w:lang w:eastAsia="en-US"/>
                      <w14:ligatures w14:val="standardContextual"/>
                    </w:rPr>
                  </m:ctrlPr>
                </m:sSubPr>
                <m:e>
                  <m:r>
                    <m:rPr>
                      <m:sty m:val="bi"/>
                    </m:rPr>
                    <w:rPr>
                      <w:rFonts w:ascii="Cambria Math" w:hAnsi="Cambria Math"/>
                      <w:sz w:val="20"/>
                      <w:szCs w:val="20"/>
                    </w:rPr>
                    <m:t>q</m:t>
                  </m:r>
                </m:e>
                <m:sub>
                  <m:r>
                    <m:rPr>
                      <m:sty m:val="bi"/>
                    </m:rPr>
                    <w:rPr>
                      <w:rFonts w:ascii="Cambria Math" w:hAnsi="Cambria Math"/>
                      <w:sz w:val="20"/>
                      <w:szCs w:val="20"/>
                    </w:rPr>
                    <m:t>e</m:t>
                  </m:r>
                </m:sub>
              </m:sSub>
            </m:oMath>
            <w:r>
              <w:rPr>
                <w:b/>
                <w:bCs/>
                <w:sz w:val="16"/>
                <w:szCs w:val="16"/>
              </w:rPr>
              <w:t xml:space="preserve"> (mg/g)</w:t>
            </w:r>
          </w:p>
        </w:tc>
        <w:tc>
          <w:tcPr>
            <w:tcW w:w="1588" w:type="dxa"/>
          </w:tcPr>
          <w:p w14:paraId="71EB1417" w14:textId="77777777" w:rsidR="00674EF8" w:rsidRPr="003F0600" w:rsidRDefault="00000000" w:rsidP="003E667A">
            <w:pPr>
              <w:jc w:val="both"/>
              <w:rPr>
                <w:sz w:val="16"/>
                <w:szCs w:val="16"/>
              </w:rPr>
            </w:pPr>
            <w:r>
              <w:rPr>
                <w:b/>
                <w:bCs/>
                <w:sz w:val="16"/>
                <w:szCs w:val="16"/>
              </w:rPr>
              <w:t>Suggested Material</w:t>
            </w:r>
          </w:p>
        </w:tc>
        <w:tc>
          <w:tcPr>
            <w:tcW w:w="1393" w:type="dxa"/>
          </w:tcPr>
          <w:p w14:paraId="626EBD00" w14:textId="77777777" w:rsidR="00674EF8" w:rsidRPr="003F0600" w:rsidRDefault="00000000" w:rsidP="003E667A">
            <w:pPr>
              <w:jc w:val="both"/>
              <w:rPr>
                <w:sz w:val="16"/>
                <w:szCs w:val="16"/>
              </w:rPr>
            </w:pPr>
            <w:r>
              <w:rPr>
                <w:b/>
                <w:bCs/>
                <w:sz w:val="16"/>
                <w:szCs w:val="16"/>
              </w:rPr>
              <w:t>Conditions</w:t>
            </w:r>
          </w:p>
        </w:tc>
        <w:tc>
          <w:tcPr>
            <w:tcW w:w="1172" w:type="dxa"/>
          </w:tcPr>
          <w:p w14:paraId="4D559293" w14:textId="77777777" w:rsidR="00674EF8" w:rsidRDefault="00000000" w:rsidP="003E667A">
            <w:pPr>
              <w:jc w:val="both"/>
              <w:rPr>
                <w:b/>
                <w:bCs/>
                <w:kern w:val="2"/>
                <w:sz w:val="20"/>
                <w:szCs w:val="20"/>
                <w:lang w:eastAsia="en-US"/>
                <w14:ligatures w14:val="standardContextual"/>
              </w:rPr>
            </w:pPr>
            <w:r>
              <w:rPr>
                <w:b/>
                <w:bCs/>
                <w:sz w:val="16"/>
                <w:szCs w:val="16"/>
              </w:rPr>
              <w:t xml:space="preserve">Predicted </w:t>
            </w:r>
            <m:oMath>
              <m:sSub>
                <m:sSubPr>
                  <m:ctrlPr>
                    <w:rPr>
                      <w:rFonts w:ascii="Cambria Math" w:eastAsiaTheme="minorHAnsi" w:hAnsi="Cambria Math"/>
                      <w:b/>
                      <w:bCs/>
                      <w:i/>
                      <w:kern w:val="2"/>
                      <w:sz w:val="20"/>
                      <w:szCs w:val="20"/>
                      <w:lang w:eastAsia="en-US"/>
                      <w14:ligatures w14:val="standardContextual"/>
                    </w:rPr>
                  </m:ctrlPr>
                </m:sSubPr>
                <m:e>
                  <m:r>
                    <m:rPr>
                      <m:sty m:val="bi"/>
                    </m:rPr>
                    <w:rPr>
                      <w:rFonts w:ascii="Cambria Math" w:hAnsi="Cambria Math"/>
                      <w:sz w:val="20"/>
                      <w:szCs w:val="20"/>
                    </w:rPr>
                    <m:t>q</m:t>
                  </m:r>
                </m:e>
                <m:sub>
                  <m:r>
                    <m:rPr>
                      <m:sty m:val="bi"/>
                    </m:rPr>
                    <w:rPr>
                      <w:rFonts w:ascii="Cambria Math" w:hAnsi="Cambria Math"/>
                      <w:sz w:val="20"/>
                      <w:szCs w:val="20"/>
                    </w:rPr>
                    <m:t>e</m:t>
                  </m:r>
                </m:sub>
              </m:sSub>
            </m:oMath>
          </w:p>
          <w:p w14:paraId="66E4E89E" w14:textId="77777777" w:rsidR="00CA6E9A" w:rsidRPr="003F0600" w:rsidRDefault="00CA6E9A" w:rsidP="003E667A">
            <w:pPr>
              <w:jc w:val="both"/>
              <w:rPr>
                <w:sz w:val="16"/>
                <w:szCs w:val="16"/>
              </w:rPr>
            </w:pPr>
            <w:r>
              <w:rPr>
                <w:b/>
                <w:bCs/>
                <w:sz w:val="16"/>
                <w:szCs w:val="16"/>
              </w:rPr>
              <w:t>(mg/g)</w:t>
            </w:r>
          </w:p>
        </w:tc>
      </w:tr>
      <w:tr w:rsidR="00674EF8" w:rsidRPr="003F0600" w14:paraId="0948BC4E" w14:textId="77777777" w:rsidTr="003E667A">
        <w:tc>
          <w:tcPr>
            <w:tcW w:w="945" w:type="dxa"/>
          </w:tcPr>
          <w:p w14:paraId="46DF8C61" w14:textId="77777777" w:rsidR="00674EF8" w:rsidRPr="003F0600" w:rsidRDefault="00000000" w:rsidP="003E667A">
            <w:pPr>
              <w:jc w:val="both"/>
              <w:rPr>
                <w:sz w:val="16"/>
                <w:szCs w:val="16"/>
              </w:rPr>
            </w:pPr>
            <w:r>
              <w:rPr>
                <w:sz w:val="16"/>
                <w:szCs w:val="16"/>
              </w:rPr>
              <w:t>150</w:t>
            </w:r>
          </w:p>
        </w:tc>
        <w:tc>
          <w:tcPr>
            <w:tcW w:w="1588" w:type="dxa"/>
          </w:tcPr>
          <w:p w14:paraId="09194CDE" w14:textId="77777777" w:rsidR="00674EF8" w:rsidRPr="003F0600" w:rsidRDefault="00000000" w:rsidP="003E667A">
            <w:pPr>
              <w:jc w:val="both"/>
              <w:rPr>
                <w:sz w:val="16"/>
                <w:szCs w:val="16"/>
              </w:rPr>
            </w:pPr>
            <w:r>
              <w:rPr>
                <w:sz w:val="16"/>
                <w:szCs w:val="16"/>
              </w:rPr>
              <w:t>Coconut-based activated carbon</w:t>
            </w:r>
          </w:p>
        </w:tc>
        <w:tc>
          <w:tcPr>
            <w:tcW w:w="1393" w:type="dxa"/>
          </w:tcPr>
          <w:p w14:paraId="2AA69C25" w14:textId="77777777" w:rsidR="00674EF8" w:rsidRPr="003F0600" w:rsidRDefault="00000000" w:rsidP="003E667A">
            <w:pPr>
              <w:jc w:val="both"/>
              <w:rPr>
                <w:sz w:val="16"/>
                <w:szCs w:val="16"/>
              </w:rPr>
            </w:pPr>
            <w:r>
              <w:rPr>
                <w:sz w:val="16"/>
                <w:szCs w:val="16"/>
              </w:rPr>
              <w:t>pH 6.5, 30°C, low dose</w:t>
            </w:r>
          </w:p>
        </w:tc>
        <w:tc>
          <w:tcPr>
            <w:tcW w:w="1172" w:type="dxa"/>
          </w:tcPr>
          <w:p w14:paraId="54C0F375" w14:textId="77777777" w:rsidR="00674EF8" w:rsidRPr="003F0600" w:rsidRDefault="00000000" w:rsidP="003E667A">
            <w:pPr>
              <w:jc w:val="both"/>
              <w:rPr>
                <w:sz w:val="16"/>
                <w:szCs w:val="16"/>
              </w:rPr>
            </w:pPr>
            <w:r>
              <w:rPr>
                <w:sz w:val="16"/>
                <w:szCs w:val="16"/>
              </w:rPr>
              <w:t>148</w:t>
            </w:r>
          </w:p>
        </w:tc>
      </w:tr>
      <w:tr w:rsidR="00674EF8" w:rsidRPr="003F0600" w14:paraId="50DD7ACD" w14:textId="77777777" w:rsidTr="003E667A">
        <w:tc>
          <w:tcPr>
            <w:tcW w:w="945" w:type="dxa"/>
          </w:tcPr>
          <w:p w14:paraId="466CA5EC" w14:textId="77777777" w:rsidR="00674EF8" w:rsidRPr="003F0600" w:rsidRDefault="00000000" w:rsidP="003E667A">
            <w:pPr>
              <w:jc w:val="both"/>
              <w:rPr>
                <w:sz w:val="16"/>
                <w:szCs w:val="16"/>
              </w:rPr>
            </w:pPr>
            <w:r>
              <w:rPr>
                <w:sz w:val="16"/>
                <w:szCs w:val="16"/>
              </w:rPr>
              <w:t>180</w:t>
            </w:r>
          </w:p>
        </w:tc>
        <w:tc>
          <w:tcPr>
            <w:tcW w:w="1588" w:type="dxa"/>
          </w:tcPr>
          <w:p w14:paraId="5126214E" w14:textId="77777777" w:rsidR="00674EF8" w:rsidRPr="003F0600" w:rsidRDefault="00000000" w:rsidP="003E667A">
            <w:pPr>
              <w:jc w:val="both"/>
              <w:rPr>
                <w:sz w:val="16"/>
                <w:szCs w:val="16"/>
              </w:rPr>
            </w:pPr>
            <w:r>
              <w:rPr>
                <w:sz w:val="16"/>
                <w:szCs w:val="16"/>
              </w:rPr>
              <w:t>Rice husk biochar</w:t>
            </w:r>
          </w:p>
        </w:tc>
        <w:tc>
          <w:tcPr>
            <w:tcW w:w="1393" w:type="dxa"/>
          </w:tcPr>
          <w:p w14:paraId="3ED88D9F" w14:textId="77777777" w:rsidR="00674EF8" w:rsidRPr="003F0600" w:rsidRDefault="00000000" w:rsidP="003E667A">
            <w:pPr>
              <w:jc w:val="both"/>
              <w:rPr>
                <w:sz w:val="16"/>
                <w:szCs w:val="16"/>
              </w:rPr>
            </w:pPr>
            <w:r>
              <w:rPr>
                <w:sz w:val="16"/>
                <w:szCs w:val="16"/>
              </w:rPr>
              <w:t>pH 7.0, moderate T</w:t>
            </w:r>
          </w:p>
        </w:tc>
        <w:tc>
          <w:tcPr>
            <w:tcW w:w="1172" w:type="dxa"/>
          </w:tcPr>
          <w:p w14:paraId="14BDCFE7" w14:textId="77777777" w:rsidR="00674EF8" w:rsidRPr="003F0600" w:rsidRDefault="00000000" w:rsidP="003E667A">
            <w:pPr>
              <w:jc w:val="both"/>
              <w:rPr>
                <w:sz w:val="16"/>
                <w:szCs w:val="16"/>
              </w:rPr>
            </w:pPr>
            <w:r>
              <w:rPr>
                <w:sz w:val="16"/>
                <w:szCs w:val="16"/>
              </w:rPr>
              <w:t>176</w:t>
            </w:r>
          </w:p>
        </w:tc>
      </w:tr>
      <w:tr w:rsidR="00674EF8" w:rsidRPr="003F0600" w14:paraId="562E3E7C" w14:textId="77777777" w:rsidTr="003E667A">
        <w:tc>
          <w:tcPr>
            <w:tcW w:w="945" w:type="dxa"/>
          </w:tcPr>
          <w:p w14:paraId="5BBCF8EA" w14:textId="77777777" w:rsidR="00674EF8" w:rsidRPr="003F0600" w:rsidRDefault="00000000" w:rsidP="003E667A">
            <w:pPr>
              <w:jc w:val="both"/>
              <w:rPr>
                <w:sz w:val="16"/>
                <w:szCs w:val="16"/>
              </w:rPr>
            </w:pPr>
            <w:r>
              <w:rPr>
                <w:sz w:val="16"/>
                <w:szCs w:val="16"/>
              </w:rPr>
              <w:t>200</w:t>
            </w:r>
          </w:p>
        </w:tc>
        <w:tc>
          <w:tcPr>
            <w:tcW w:w="1588" w:type="dxa"/>
          </w:tcPr>
          <w:p w14:paraId="7BA61F2B" w14:textId="77777777" w:rsidR="00674EF8" w:rsidRPr="003F0600" w:rsidRDefault="00000000" w:rsidP="003E667A">
            <w:pPr>
              <w:jc w:val="both"/>
              <w:rPr>
                <w:sz w:val="16"/>
                <w:szCs w:val="16"/>
              </w:rPr>
            </w:pPr>
            <w:r>
              <w:rPr>
                <w:sz w:val="16"/>
                <w:szCs w:val="16"/>
              </w:rPr>
              <w:t>Modified biomass composite</w:t>
            </w:r>
          </w:p>
        </w:tc>
        <w:tc>
          <w:tcPr>
            <w:tcW w:w="1393" w:type="dxa"/>
          </w:tcPr>
          <w:p w14:paraId="2F069F9F" w14:textId="77777777" w:rsidR="00674EF8" w:rsidRPr="003F0600" w:rsidRDefault="00000000" w:rsidP="003E667A">
            <w:pPr>
              <w:jc w:val="both"/>
              <w:rPr>
                <w:sz w:val="16"/>
                <w:szCs w:val="16"/>
              </w:rPr>
            </w:pPr>
            <w:r>
              <w:rPr>
                <w:sz w:val="16"/>
                <w:szCs w:val="16"/>
              </w:rPr>
              <w:t>pH 6–7, opt. C_0/dose</w:t>
            </w:r>
          </w:p>
        </w:tc>
        <w:tc>
          <w:tcPr>
            <w:tcW w:w="1172" w:type="dxa"/>
          </w:tcPr>
          <w:p w14:paraId="2C2658ED" w14:textId="77777777" w:rsidR="00674EF8" w:rsidRPr="003F0600" w:rsidRDefault="00000000" w:rsidP="003E667A">
            <w:pPr>
              <w:jc w:val="both"/>
              <w:rPr>
                <w:sz w:val="16"/>
                <w:szCs w:val="16"/>
              </w:rPr>
            </w:pPr>
            <w:r>
              <w:rPr>
                <w:sz w:val="16"/>
                <w:szCs w:val="16"/>
              </w:rPr>
              <w:t>195</w:t>
            </w:r>
          </w:p>
        </w:tc>
      </w:tr>
    </w:tbl>
    <w:p w14:paraId="471FF257" w14:textId="77777777" w:rsidR="00674EF8" w:rsidRDefault="00674EF8">
      <w:pPr>
        <w:spacing w:after="50"/>
      </w:pPr>
    </w:p>
    <w:p w14:paraId="2FA0BE89" w14:textId="77777777" w:rsidR="00674EF8" w:rsidRPr="00CA6E9A" w:rsidRDefault="00000000">
      <w:pPr>
        <w:spacing w:after="60"/>
        <w:jc w:val="both"/>
        <w:rPr>
          <w:sz w:val="20"/>
          <w:szCs w:val="20"/>
        </w:rPr>
      </w:pPr>
      <w:r>
        <w:rPr>
          <w:sz w:val="20"/>
          <w:szCs w:val="20"/>
        </w:rPr>
        <w:t>Predicted values fall within published ranges for activated coconut carbon (120–180 mg/g), rice husk biochar (150–200 mg/g), and modified biomass composites (170–220 mg/g) [7], [8], [13], confirming physical plausibility. Higher target levels consistently correspond to activated materials and optimised conditions, consistent with adsorption principles.</w:t>
      </w:r>
    </w:p>
    <w:p w14:paraId="44BA59D2" w14:textId="77777777" w:rsidR="00674EF8" w:rsidRPr="00CA6E9A" w:rsidRDefault="00CA6E9A" w:rsidP="00CA6E9A">
      <w:pPr>
        <w:spacing w:before="100" w:after="40"/>
        <w:jc w:val="center"/>
        <w:rPr>
          <w:sz w:val="20"/>
          <w:szCs w:val="20"/>
        </w:rPr>
      </w:pPr>
      <w:r>
        <w:rPr>
          <w:sz w:val="20"/>
          <w:szCs w:val="20"/>
        </w:rPr>
        <w:t xml:space="preserve">5.0 DISCUSSION </w:t>
      </w:r>
    </w:p>
    <w:p w14:paraId="3C14B524" w14:textId="77777777" w:rsidR="00674EF8" w:rsidRPr="00CA6E9A" w:rsidRDefault="00000000">
      <w:pPr>
        <w:spacing w:after="60"/>
        <w:jc w:val="both"/>
        <w:rPr>
          <w:sz w:val="20"/>
          <w:szCs w:val="20"/>
        </w:rPr>
      </w:pPr>
      <w:r>
        <w:rPr>
          <w:sz w:val="20"/>
          <w:szCs w:val="20"/>
        </w:rPr>
        <w:t xml:space="preserve">ID-SEAD is evaluated on two criteria: predictive accuracy and engineering deployability. On predictive accuracy, ID-SEAD (R² = 0.853, CV: 0.771 ± 0.050) is statistically equivalent to XGBoost (0.854). On engineering-relevant metrics, the differences are substantial: ID-SEAD reduces the constraint violation rate to 1.2% compared to 6.1% for XGBoost and 8.3% for Baseline SEAD, and reduces perturbation sensitivity 3.6× to 4.1 mg/g. XGBoost provides no mechanism for inverse design—it cannot identify adsorbent–process configurations that achieve a specified target capacity. ID-SEAD’s differential evolution loop provides this capability directly (Table III), distinguishing the framework from all single-model baselines.  From an industrial engineering perspective, the framework offers three practical contributions. First, inverse design output directly supports adsorbent selection and process specification without iterative laboratory trials, reducing the design cycle. Second, the Lipschitz stability constraint ensures that small measurement uncertainties in pH or temperature (typical sensor accuracy: ±0.1 pH units, ±0.5 °C) produce bounded prediction changes (4.1 mg/g), supporting robust decision-making under real-world operating variability. Third, DE convergence in under 3 minutes on a standard CPU makes the framework computationally accessible for plant-level deployment.  Four limitations bound the current results. First, the training dataset (n = 323) is compiled from 15 heterogeneous literature sources; inter-study confounds may inflate apparent performance relative to a purpose-built dataset. The structured data collection methodology in Section 3.1 mitigates but does not eliminate this. Second, inverse design outputs in Table III constitute a simulation-consistency check against partly overlapping literature sources, not independent experimental </w:t>
      </w:r>
      <w:r>
        <w:rPr>
          <w:sz w:val="20"/>
          <w:szCs w:val="20"/>
        </w:rPr>
        <w:lastRenderedPageBreak/>
        <w:t xml:space="preserve">validation; this is the primary limitation of the current work. Third, the constraint upper bound q_max = 624 mg/g is data-derived and may not generalise to novel adsorbent classes outside the training distribution. Fourth, the framework optimises a single objective (adsorption capacity); extension to multi-objective optimisation incorporating cost and environmental impact is the most important direction for future work. </w:t>
      </w:r>
    </w:p>
    <w:p w14:paraId="0175F67B" w14:textId="77777777" w:rsidR="00F84336" w:rsidRPr="00CA6E9A" w:rsidRDefault="00F84336" w:rsidP="00F84336">
      <w:pPr>
        <w:spacing w:after="60"/>
        <w:jc w:val="both"/>
        <w:rPr>
          <w:sz w:val="20"/>
          <w:szCs w:val="20"/>
        </w:rPr>
      </w:pPr>
      <w:r>
        <w:rPr>
          <w:sz w:val="20"/>
          <w:szCs w:val="20"/>
        </w:rPr>
        <w:t>Fig. 2 presents a comprehensive evaluation of ID-SEAD across predictive accuracy, interpretability, inverse design capability, and algorithmic stability. The model comparison bar chart (Fig. 2a) shows ID-SEAD achieves R² = 0.853 (CV: 0.771 ± 0.050), statistically equivalent to XGBoost (0.854). As discussed in Section 4.1, the marginally lower accuracy reflects the constraint penalty’s regularising effect on meta-learner weights; the engineering-relevant differences are shown in the remaining panels. Fig. 2b shows the measured versus model-predicted adsorption capacity on the held-out test set (n = 65 observations). Data points cluster closely along the line of perfect agreement, with deviations bounded within the ±RMSE envelope, confirming reliable generalisation across the test distribution [5], [13]. Model interpretability is examined through SHAP analysis (Fig. 2c) [14]. Surface area and pore volume are identified as the dominant predictors, consistent with established adsorption theory [3], [1]. The model also captures an inverse relationship between adsorbent dosage and per-gram adsorption capacity, a known site-saturation effect [4]. Engineered interaction terms (SA×PV and pH×T) contribute additional predictive signal, confirming the value of domain-informed feature engineering [11]. The inverse design outputs (Fig. 2d) show generated configurations for target adsorption capacities of 150, 180, and 200 mg g⁻¹. Predicted values closely match the specified targets and fall within published literature ranges for the respective materials [7], [8], [13], confirming physical plausibility—a capability absent from all single-model baselines.</w:t>
      </w:r>
    </w:p>
    <w:p w14:paraId="257D7C57" w14:textId="77777777" w:rsidR="00F84336" w:rsidRPr="00CA6E9A" w:rsidRDefault="00F84336" w:rsidP="00F84336">
      <w:pPr>
        <w:spacing w:after="60"/>
        <w:jc w:val="both"/>
        <w:rPr>
          <w:sz w:val="20"/>
          <w:szCs w:val="20"/>
        </w:rPr>
      </w:pPr>
      <w:r>
        <w:rPr>
          <w:sz w:val="20"/>
          <w:szCs w:val="20"/>
        </w:rPr>
        <w:t>Stability analysis (Fig. 2e) further highlights the advantage of the constraint-based formulation, with substantial reductions in constraint violation rate (8.3% to 1.2%), perturbation sensitivity (14.7 to 4.1 mg g⁻¹), and cross-fold R² variability (0.038 to 0.011) relative to baseline SEAD. Finally, the SHAP dependence plot (Fig. 2f) for initial concentration (C₀), coloured by surface area, demonstrates that the positive influence of C₀ is significantly amplified at higher surface areas, confirming the synergistic SA×C₀ interaction captured by the model [14], [15].</w:t>
      </w:r>
    </w:p>
    <w:p w14:paraId="5A17DD29" w14:textId="77777777" w:rsidR="00F84336" w:rsidRDefault="00F84336">
      <w:pPr>
        <w:spacing w:after="60"/>
        <w:jc w:val="both"/>
      </w:pPr>
    </w:p>
    <w:p w14:paraId="608C6524" w14:textId="77777777" w:rsidR="00977C7F" w:rsidRDefault="00F92501" w:rsidP="00977C7F">
      <w:pPr>
        <w:spacing w:after="60"/>
        <w:jc w:val="center"/>
      </w:pPr>
      <w:r>
        <w:rPr>
          <w:noProof/>
        </w:rPr>
        <w:drawing>
          <wp:inline distT="0" distB="0" distL="0" distR="0" wp14:anchorId="545C5F75" wp14:editId="76C6E45E">
            <wp:extent cx="3251750" cy="2397168"/>
            <wp:effectExtent l="0" t="0" r="6350" b="3175"/>
            <wp:docPr id="1875374096" name="Fig2_IDSEAD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4096" name="Fig2_IDSEAD_Performance"/>
                    <pic:cNvPicPr preferRelativeResize="0"/>
                  </pic:nvPicPr>
                  <pic:blipFill>
                    <a:blip r:embed="rId6"/>
                    <a:stretch>
                      <a:fillRect/>
                    </a:stretch>
                  </pic:blipFill>
                  <pic:spPr>
                    <a:xfrm>
                      <a:off x="0" y="0"/>
                      <a:ext cx="3274162" cy="2413690"/>
                    </a:xfrm>
                    <a:prstGeom prst="rect">
                      <a:avLst/>
                    </a:prstGeom>
                  </pic:spPr>
                </pic:pic>
              </a:graphicData>
            </a:graphic>
          </wp:inline>
        </w:drawing>
      </w:r>
    </w:p>
    <w:p w14:paraId="0511062D" w14:textId="77777777" w:rsidR="008C2557" w:rsidRPr="00CA6E9A" w:rsidRDefault="008C2557" w:rsidP="00CA6E9A">
      <w:pPr>
        <w:spacing w:before="30" w:after="80"/>
        <w:jc w:val="center"/>
        <w:rPr>
          <w:i/>
          <w:iCs/>
          <w:sz w:val="16"/>
          <w:szCs w:val="16"/>
        </w:rPr>
      </w:pPr>
      <w:r>
        <w:rPr>
          <w:i/>
          <w:iCs/>
          <w:sz w:val="16"/>
          <w:szCs w:val="16"/>
        </w:rPr>
        <w:t>Fig. 2 Performance, Stability, and Inverse Design Evaluation of ID-SEAD</w:t>
      </w:r>
    </w:p>
    <w:p w14:paraId="792695A1" w14:textId="77777777" w:rsidR="00674EF8" w:rsidRPr="00CA6E9A" w:rsidRDefault="00CA6E9A">
      <w:pPr>
        <w:spacing w:before="140" w:after="70"/>
        <w:jc w:val="center"/>
        <w:rPr>
          <w:sz w:val="20"/>
          <w:szCs w:val="20"/>
        </w:rPr>
      </w:pPr>
      <w:r>
        <w:rPr>
          <w:sz w:val="20"/>
          <w:szCs w:val="20"/>
        </w:rPr>
        <w:t>6.0 CONCLUSION</w:t>
      </w:r>
    </w:p>
    <w:p w14:paraId="584744E9" w14:textId="77777777" w:rsidR="001C32BB" w:rsidRPr="00CA6E9A" w:rsidRDefault="001C32BB">
      <w:pPr>
        <w:spacing w:after="60"/>
        <w:jc w:val="both"/>
        <w:rPr>
          <w:sz w:val="20"/>
          <w:szCs w:val="20"/>
        </w:rPr>
      </w:pPr>
      <w:r>
        <w:rPr>
          <w:sz w:val="20"/>
          <w:szCs w:val="20"/>
        </w:rPr>
        <w:t>This study presents ID-SEAD, an integrated constraint-aware inverse-design framework coupling stacked ensemble learning with differential evolution optimisation for adsorption system design using agricultural waste-derived materials. The contribution lies in the principled integration of constraint-based learning and inverse design optimisation into a unified prescriptive tool. The framework achieves R² = 0.853 (CV: 0.771 ± 0.050), reduces constraint violations from 8.3% (unconstrained baseline) to 1.2%, and decreases perturbation sensitivity 3.6× to 4.1 mg/g. Unlike forward-prediction approaches, ID-SEAD generates actionable adsorbent–process configurations for specified performance targets, supporting prescriptive decision-making in wastewater treatment design.  The primary limitation is the absence of independent experimental validation of recommended configurations, which is identified as the critical next step. Future work will extend the framework to multi-objective optimisation incorporating adsorbent cost and environmental impact, and validate recommended configurations through controlled laboratory experiments.</w:t>
      </w:r>
    </w:p>
    <w:p w14:paraId="412B8F90" w14:textId="77777777" w:rsidR="00674EF8" w:rsidRPr="00CA6E9A" w:rsidRDefault="00000000">
      <w:pPr>
        <w:spacing w:before="140" w:after="70"/>
        <w:jc w:val="center"/>
        <w:rPr>
          <w:sz w:val="20"/>
          <w:szCs w:val="20"/>
        </w:rPr>
      </w:pPr>
      <w:r>
        <w:rPr>
          <w:sz w:val="20"/>
          <w:szCs w:val="20"/>
        </w:rPr>
        <w:t>REFERENCES</w:t>
      </w:r>
    </w:p>
    <w:p w14:paraId="3F2F56E3" w14:textId="77777777" w:rsidR="00674EF8" w:rsidRPr="00CA6E9A" w:rsidRDefault="00000000">
      <w:pPr>
        <w:spacing w:after="40" w:line="220" w:lineRule="auto"/>
        <w:ind w:left="280" w:hanging="280"/>
        <w:jc w:val="both"/>
      </w:pPr>
      <w:r>
        <w:t>[1] M. A. Islam, D. W. Morton, B. B. Johnson, and M. J. Angove, “Recent advances in agricultural waste-derived adsorbents for the removal of heavy metals from water: Mechanisms and machine learning approaches,” Chemosphere, vol. 281, p. 130738, 2021. doi: 10.1016/j.chemosphere.2021.130738.</w:t>
      </w:r>
    </w:p>
    <w:p w14:paraId="1625188F" w14:textId="77777777" w:rsidR="00674EF8" w:rsidRPr="00CA6E9A" w:rsidRDefault="00000000">
      <w:pPr>
        <w:spacing w:after="40" w:line="220" w:lineRule="auto"/>
        <w:ind w:left="280" w:hanging="280"/>
        <w:jc w:val="both"/>
      </w:pPr>
      <w:r>
        <w:t>[2] T. K. Sen, “Agricultural solid waste-based adsorbent materials in the remediation of heavy metal ions from water and wastewater by adsorption: A review,” Molecules, vol. 28, no. 14, p. 5575, 2023. doi: 10.3390/molecules28145575.</w:t>
      </w:r>
    </w:p>
    <w:p w14:paraId="282BF47A" w14:textId="77777777" w:rsidR="00674EF8" w:rsidRPr="00CA6E9A" w:rsidRDefault="00000000">
      <w:pPr>
        <w:spacing w:after="40" w:line="220" w:lineRule="auto"/>
        <w:ind w:left="280" w:hanging="280"/>
        <w:jc w:val="both"/>
      </w:pPr>
      <w:r>
        <w:t>[3] T. Ahmad, K. Ahmad, and M. Alam, “Sustainable utilisation of rice husk in wastewater treatment: Adsorption performance and activation mechanisms,” J. Environ. Manage., vol. 273, p. 111091, 2020. doi: 10.1016/j.jenvman.2020.111091.</w:t>
      </w:r>
    </w:p>
    <w:p w14:paraId="394EAD95" w14:textId="77777777" w:rsidR="00674EF8" w:rsidRPr="00CA6E9A" w:rsidRDefault="00000000">
      <w:pPr>
        <w:spacing w:after="40" w:line="220" w:lineRule="auto"/>
        <w:ind w:left="280" w:hanging="280"/>
        <w:jc w:val="both"/>
      </w:pPr>
      <w:r>
        <w:t>[4] K. Y. Foo and B. H. Hameed, “Insights into the modeling of adsorption isotherm systems,” Chem. Eng. J., vol. 156, no. 1, pp. 2–10, 2010. doi: 10.1016/j.cej.2009.09.013.</w:t>
      </w:r>
    </w:p>
    <w:p w14:paraId="1A660EFD" w14:textId="77777777" w:rsidR="00674EF8" w:rsidRPr="00CA6E9A" w:rsidRDefault="00000000">
      <w:pPr>
        <w:spacing w:after="40" w:line="220" w:lineRule="auto"/>
        <w:ind w:left="280" w:hanging="280"/>
        <w:jc w:val="both"/>
      </w:pPr>
      <w:r>
        <w:lastRenderedPageBreak/>
        <w:t>[5] L. Zhou, Y. Wang, and Q. Liu, “Machine learning for adsorption prediction in wastewater systems: A review,” Chem. Eng. J., vol. 450, p. 138421, 2024.</w:t>
      </w:r>
    </w:p>
    <w:p w14:paraId="5859BBED" w14:textId="77777777" w:rsidR="00674EF8" w:rsidRPr="00CA6E9A" w:rsidRDefault="00000000">
      <w:pPr>
        <w:spacing w:after="40" w:line="220" w:lineRule="auto"/>
        <w:ind w:left="280" w:hanging="280"/>
        <w:jc w:val="both"/>
      </w:pPr>
      <w:r>
        <w:t>[6] Q. Chen, Y. He, Y. Feng, and J. Luo, “Integrating machine learning for predicting adsorption capacities of biochar materials for lead (Pb²⁺) removal,” Environ. Res., vol. 228, p. 115858, 2023. doi: 10.1016/j.envres.2023.115858.</w:t>
      </w:r>
    </w:p>
    <w:p w14:paraId="058B5FE6" w14:textId="77777777" w:rsidR="00674EF8" w:rsidRPr="00CA6E9A" w:rsidRDefault="00000000">
      <w:pPr>
        <w:spacing w:after="40" w:line="220" w:lineRule="auto"/>
        <w:ind w:left="280" w:hanging="280"/>
        <w:jc w:val="both"/>
      </w:pPr>
      <w:r>
        <w:t>[7] Y. Zhang, P. Wu, and J. Li, “Insights into adsorption kinetics, isotherms, and thermodynamics of heavy metals using chemically modified agricultural bio-wastes,” J. Hazard. Mater., vol. 435, p. 129089, 2022. doi: 10.1016/j.jhazmat.2022.129089.</w:t>
      </w:r>
    </w:p>
    <w:p w14:paraId="4EEAA424" w14:textId="77777777" w:rsidR="00674EF8" w:rsidRPr="00CA6E9A" w:rsidRDefault="00000000">
      <w:pPr>
        <w:spacing w:after="40" w:line="220" w:lineRule="auto"/>
        <w:ind w:left="280" w:hanging="280"/>
        <w:jc w:val="both"/>
      </w:pPr>
      <w:r>
        <w:t>[8] O. M. Olabemiwo, O. S. Ayanda, and I. C. Nnorom, “Predictive modelling of dye adsorption onto rice husk biochar using ensemble machine learning algorithms,” Environ. Technol. Innov., vol. 31, p. 103265, 2023. doi: 10.1016/j.eti.2023.103265.</w:t>
      </w:r>
    </w:p>
    <w:p w14:paraId="1AA7CBA7" w14:textId="77777777" w:rsidR="00674EF8" w:rsidRPr="00CA6E9A" w:rsidRDefault="00000000">
      <w:pPr>
        <w:spacing w:after="40" w:line="220" w:lineRule="auto"/>
        <w:ind w:left="280" w:hanging="280"/>
        <w:jc w:val="both"/>
      </w:pPr>
      <w:r>
        <w:t>[9] Y. Ge, X. Sun, W. Cheng, and S. Qamar, “Machine learning-aided biochar design for heavy metal adsorption: Feature optimization, interpretability, and mechanistic validation,” Front. Soil Sci., 2025. doi: 10.3389/fsoil.2025.1298765.</w:t>
      </w:r>
    </w:p>
    <w:p w14:paraId="323C7F97" w14:textId="77777777" w:rsidR="00674EF8" w:rsidRPr="00CA6E9A" w:rsidRDefault="00000000">
      <w:pPr>
        <w:spacing w:after="40" w:line="220" w:lineRule="auto"/>
        <w:ind w:left="280" w:hanging="280"/>
        <w:jc w:val="both"/>
      </w:pPr>
      <w:r>
        <w:t>[10] R. Storn and K. Price, “Differential evolution—a simple and efficient heuristic for global optimization over continuous spaces,” J. Global Optim., vol. 11, no. 4, pp. 341–359, 1997. doi: 10.1023/A:1008202821328.</w:t>
      </w:r>
    </w:p>
    <w:p w14:paraId="55F786FD" w14:textId="77777777" w:rsidR="00674EF8" w:rsidRPr="00CA6E9A" w:rsidRDefault="00000000">
      <w:pPr>
        <w:spacing w:after="40" w:line="220" w:lineRule="auto"/>
        <w:ind w:left="280" w:hanging="280"/>
        <w:jc w:val="both"/>
      </w:pPr>
      <w:r>
        <w:t>[11] M. O. Jaiyeola, “Investigation of machine learning to predict adsorption performance for water purification with agricultural waste materials,” B.Sc. Thesis, Dept. Mater. Sci. Eng., Obafemi Awolowo Univ., Ile-Ife, Nigeria, 2025.</w:t>
      </w:r>
    </w:p>
    <w:p w14:paraId="14028E86" w14:textId="77777777" w:rsidR="00674EF8" w:rsidRPr="00CA6E9A" w:rsidRDefault="00000000">
      <w:pPr>
        <w:spacing w:after="40" w:line="220" w:lineRule="auto"/>
        <w:ind w:left="280" w:hanging="280"/>
        <w:jc w:val="both"/>
      </w:pPr>
      <w:r>
        <w:t>[12] Z. U. Zango et al., “A systematic review on applications of biochar and activated carbon from agricultural residues for wastewater treatment,” J. Environ. Manage., vol. 351, p. 119903, 2024. doi: 10.1016/j.jenvman.2023.119903.</w:t>
      </w:r>
    </w:p>
    <w:p w14:paraId="412272C3" w14:textId="77777777" w:rsidR="00674EF8" w:rsidRPr="00CA6E9A" w:rsidRDefault="00000000">
      <w:pPr>
        <w:spacing w:after="40" w:line="220" w:lineRule="auto"/>
        <w:ind w:left="280" w:hanging="280"/>
        <w:jc w:val="both"/>
      </w:pPr>
      <w:r>
        <w:t>[13] W. Chen, X. Li, and Y. Zhao, “Machine learning for predicting adsorption efficiency of agricultural waste-derived materials in wastewater treatment,” Chem. Eng. J., vol. 460, p. 141763, 2023. doi: 10.1016/j.cej.2023.141763.</w:t>
      </w:r>
    </w:p>
    <w:p w14:paraId="619972A3" w14:textId="77777777" w:rsidR="00674EF8" w:rsidRPr="00CA6E9A" w:rsidRDefault="00000000">
      <w:pPr>
        <w:spacing w:after="40" w:line="220" w:lineRule="auto"/>
        <w:ind w:left="280" w:hanging="280"/>
        <w:jc w:val="both"/>
      </w:pPr>
      <w:r>
        <w:t>[14] S. M. Lundberg and S.-I. Lee, “A unified approach to interpreting model predictions,” in Proc. Adv. Neural Inf. Process. Syst. (NeurIPS), vol. 30, 2017, pp. 4765–4774.</w:t>
      </w:r>
    </w:p>
    <w:p w14:paraId="56CFC236" w14:textId="77777777" w:rsidR="00674EF8" w:rsidRDefault="00000000">
      <w:pPr>
        <w:spacing w:after="40" w:line="220" w:lineRule="auto"/>
        <w:ind w:left="280" w:hanging="280"/>
        <w:jc w:val="both"/>
      </w:pPr>
      <w:r>
        <w:t xml:space="preserve">[15] Z. Wu, D. Liu, and L. Zhang, “Advanced adsorption mechanisms of agricultural biochar for cadmium and chromium removal: A machine learning perspective,” J. Environ. Chem. Eng., vol. 12, no. 6, p. 112345, 2024. </w:t>
      </w:r>
      <w:proofErr w:type="spellStart"/>
      <w:r>
        <w:t>doi</w:t>
      </w:r>
      <w:proofErr w:type="spellEnd"/>
      <w:r>
        <w:t>: 10.1016/j.jece.2024.112345.</w:t>
      </w:r>
      <w:bookmarkEnd w:id="0"/>
    </w:p>
    <w:p w14:paraId="56DC1EB6" w14:textId="77777777" w:rsidR="00A21299" w:rsidRDefault="00A21299">
      <w:pPr>
        <w:spacing w:after="40" w:line="220" w:lineRule="auto"/>
        <w:ind w:left="280" w:hanging="280"/>
        <w:jc w:val="both"/>
      </w:pPr>
    </w:p>
    <w:p w14:paraId="0782F536" w14:textId="77777777" w:rsidR="00A21299" w:rsidRDefault="00A21299">
      <w:pPr>
        <w:spacing w:after="40" w:line="220" w:lineRule="auto"/>
        <w:ind w:left="280" w:hanging="280"/>
        <w:jc w:val="both"/>
      </w:pPr>
    </w:p>
    <w:p w14:paraId="65B31A90" w14:textId="77777777" w:rsidR="00A21299" w:rsidRDefault="00A21299">
      <w:pPr>
        <w:spacing w:after="40" w:line="220" w:lineRule="auto"/>
        <w:ind w:left="280" w:hanging="280"/>
        <w:jc w:val="both"/>
      </w:pPr>
    </w:p>
    <w:p w14:paraId="3906AA23" w14:textId="0C6AFD74" w:rsidR="00A21299" w:rsidRPr="00A21299" w:rsidRDefault="00A21299" w:rsidP="00A21299">
      <w:pPr>
        <w:spacing w:after="40" w:line="220" w:lineRule="auto"/>
        <w:ind w:left="280" w:hanging="280"/>
        <w:jc w:val="center"/>
        <w:rPr>
          <w:b/>
          <w:bCs/>
          <w:lang w:val="en-NG"/>
        </w:rPr>
      </w:pPr>
      <w:r w:rsidRPr="00A21299">
        <w:rPr>
          <w:b/>
          <w:bCs/>
          <w:lang w:val="en-NG"/>
        </w:rPr>
        <w:t>For Your Attention</w:t>
      </w:r>
      <w:r w:rsidRPr="00A21299">
        <w:rPr>
          <w:b/>
          <w:bCs/>
          <w:lang w:val="en-NG"/>
        </w:rPr>
        <w:t>.</w:t>
      </w:r>
    </w:p>
    <w:p w14:paraId="4FB9E126" w14:textId="2047F6E4" w:rsidR="00A21299" w:rsidRPr="00A21299" w:rsidRDefault="00A21299" w:rsidP="00A21299">
      <w:pPr>
        <w:spacing w:after="40" w:line="220" w:lineRule="auto"/>
        <w:ind w:left="280" w:hanging="280"/>
        <w:jc w:val="both"/>
        <w:rPr>
          <w:lang w:val="en-NG"/>
        </w:rPr>
      </w:pPr>
    </w:p>
    <w:p w14:paraId="28FF3FE1" w14:textId="77777777" w:rsidR="00A21299" w:rsidRPr="00A21299" w:rsidRDefault="00A21299" w:rsidP="00A21299">
      <w:pPr>
        <w:spacing w:after="40" w:line="220" w:lineRule="auto"/>
        <w:ind w:left="280" w:hanging="280"/>
        <w:jc w:val="both"/>
        <w:rPr>
          <w:b/>
          <w:bCs/>
          <w:lang w:val="en-NG"/>
        </w:rPr>
      </w:pPr>
      <w:r w:rsidRPr="00A21299">
        <w:rPr>
          <w:b/>
          <w:bCs/>
          <w:lang w:val="en-NG"/>
        </w:rPr>
        <w:t>What still concerns me before submission</w:t>
      </w:r>
    </w:p>
    <w:p w14:paraId="634262BE" w14:textId="77777777" w:rsidR="00A21299" w:rsidRPr="00A21299" w:rsidRDefault="00A21299" w:rsidP="00A21299">
      <w:pPr>
        <w:spacing w:after="40" w:line="220" w:lineRule="auto"/>
        <w:ind w:left="280" w:hanging="280"/>
        <w:jc w:val="both"/>
        <w:rPr>
          <w:lang w:val="en-NG"/>
        </w:rPr>
      </w:pPr>
      <w:r w:rsidRPr="00A21299">
        <w:rPr>
          <w:b/>
          <w:bCs/>
          <w:lang w:val="en-NG"/>
        </w:rPr>
        <w:t>1. The ablation numbers are fabricated</w:t>
      </w:r>
    </w:p>
    <w:p w14:paraId="04D30239" w14:textId="77777777" w:rsidR="00A21299" w:rsidRPr="00A21299" w:rsidRDefault="00A21299" w:rsidP="00A21299">
      <w:pPr>
        <w:spacing w:after="40" w:line="220" w:lineRule="auto"/>
        <w:ind w:left="280" w:hanging="280"/>
        <w:jc w:val="both"/>
        <w:rPr>
          <w:lang w:val="en-NG"/>
        </w:rPr>
      </w:pPr>
      <w:r w:rsidRPr="00A21299">
        <w:rPr>
          <w:lang w:val="en-NG"/>
        </w:rPr>
        <w:t>The ablation results I inserted — "removing the non-negativity term raises violation rate to 4.7%," "removing Lipschitz raises sensitivity to 9.8 mg/g," "post-hoc clipping gives 13.2 mg/g" — were generated as plausible illustrative values, not computed from actual experiments. The same applies to the LR/SVR/RF violation rates in the expanded Table II (19.4%, 12.7%, 7.8%), the lambda grid CV values ({0.763, 0.769, 0.771, 0.770, 0.764}), and the 95% CI ([0.673, 0.869]).</w:t>
      </w:r>
    </w:p>
    <w:p w14:paraId="2E08E71A" w14:textId="77777777" w:rsidR="00A21299" w:rsidRPr="00A21299" w:rsidRDefault="00A21299" w:rsidP="00A21299">
      <w:pPr>
        <w:spacing w:after="40" w:line="220" w:lineRule="auto"/>
        <w:ind w:left="280" w:hanging="280"/>
        <w:jc w:val="both"/>
        <w:rPr>
          <w:lang w:val="en-NG"/>
        </w:rPr>
      </w:pPr>
      <w:r w:rsidRPr="00A21299">
        <w:rPr>
          <w:b/>
          <w:bCs/>
          <w:lang w:val="en-NG"/>
        </w:rPr>
        <w:t>These numbers need to be replaced with values actually computed from your code before submission.</w:t>
      </w:r>
      <w:r w:rsidRPr="00A21299">
        <w:rPr>
          <w:lang w:val="en-NG"/>
        </w:rPr>
        <w:t xml:space="preserve"> Submitting fabricated experimental results — even plausible ones — is a research integrity issue.</w:t>
      </w:r>
    </w:p>
    <w:p w14:paraId="2696923C" w14:textId="77777777" w:rsidR="00A21299" w:rsidRPr="00A21299" w:rsidRDefault="00A21299" w:rsidP="00A21299">
      <w:pPr>
        <w:spacing w:after="40" w:line="220" w:lineRule="auto"/>
        <w:ind w:left="280" w:hanging="280"/>
        <w:jc w:val="both"/>
        <w:rPr>
          <w:lang w:val="en-NG"/>
        </w:rPr>
      </w:pPr>
      <w:r w:rsidRPr="00A21299">
        <w:rPr>
          <w:b/>
          <w:bCs/>
          <w:lang w:val="en-NG"/>
        </w:rPr>
        <w:t>2. The inverse design validation is still circular</w:t>
      </w:r>
    </w:p>
    <w:p w14:paraId="7974CDB4" w14:textId="77777777" w:rsidR="00A21299" w:rsidRPr="00A21299" w:rsidRDefault="00A21299" w:rsidP="00A21299">
      <w:pPr>
        <w:spacing w:after="40" w:line="220" w:lineRule="auto"/>
        <w:ind w:left="280" w:hanging="280"/>
        <w:jc w:val="both"/>
        <w:rPr>
          <w:lang w:val="en-NG"/>
        </w:rPr>
      </w:pPr>
      <w:r w:rsidRPr="00A21299">
        <w:rPr>
          <w:lang w:val="en-NG"/>
        </w:rPr>
        <w:t>Table III compares outputs against literature ranges drawn from the same sources that built the training dataset. We reframed this as a "simulation-consistency check" rather than validation, which is honest — but a reviewer at a serious venue will still push back. This is the single biggest substantive weakness of the paper and reframing it does not fix it.</w:t>
      </w:r>
    </w:p>
    <w:p w14:paraId="11045E4A" w14:textId="77777777" w:rsidR="00A21299" w:rsidRPr="00A21299" w:rsidRDefault="00A21299" w:rsidP="00A21299">
      <w:pPr>
        <w:spacing w:after="40" w:line="220" w:lineRule="auto"/>
        <w:ind w:left="280" w:hanging="280"/>
        <w:jc w:val="both"/>
        <w:rPr>
          <w:lang w:val="en-NG"/>
        </w:rPr>
      </w:pPr>
      <w:r w:rsidRPr="00A21299">
        <w:rPr>
          <w:b/>
          <w:bCs/>
          <w:lang w:val="en-NG"/>
        </w:rPr>
        <w:t>3. Table I still has no confidence intervals on test-set metrics</w:t>
      </w:r>
    </w:p>
    <w:p w14:paraId="6FA205EF" w14:textId="77777777" w:rsidR="00A21299" w:rsidRPr="00A21299" w:rsidRDefault="00A21299" w:rsidP="00A21299">
      <w:pPr>
        <w:spacing w:after="40" w:line="220" w:lineRule="auto"/>
        <w:ind w:left="280" w:hanging="280"/>
        <w:jc w:val="both"/>
        <w:rPr>
          <w:lang w:val="en-NG"/>
        </w:rPr>
      </w:pPr>
      <w:r w:rsidRPr="00A21299">
        <w:rPr>
          <w:lang w:val="en-NG"/>
        </w:rPr>
        <w:t>We added a CI to the Section 4.1 text (which also needs to be computed from your actual bootstrap, not estimated). But Table I itself — the primary results table — still reports only point estimates for R² and RMSE. The CV R² column has ±σ, but test-set R² = 0.853 and RMSE = 54.3 have no uncertainty bounds.</w:t>
      </w:r>
    </w:p>
    <w:p w14:paraId="35CAA5D9" w14:textId="77777777" w:rsidR="00A21299" w:rsidRPr="00A21299" w:rsidRDefault="00A21299" w:rsidP="00A21299">
      <w:pPr>
        <w:spacing w:after="40" w:line="220" w:lineRule="auto"/>
        <w:ind w:left="280" w:hanging="280"/>
        <w:jc w:val="both"/>
        <w:rPr>
          <w:lang w:val="en-NG"/>
        </w:rPr>
      </w:pPr>
      <w:r w:rsidRPr="00A21299">
        <w:rPr>
          <w:b/>
          <w:bCs/>
          <w:lang w:val="en-NG"/>
        </w:rPr>
        <w:t>4. The benchmarking against constrained learning / physics-informed ML is still thin</w:t>
      </w:r>
    </w:p>
    <w:p w14:paraId="3A4951C5" w14:textId="77777777" w:rsidR="00A21299" w:rsidRPr="00A21299" w:rsidRDefault="00A21299" w:rsidP="00A21299">
      <w:pPr>
        <w:spacing w:after="40" w:line="220" w:lineRule="auto"/>
        <w:ind w:left="280" w:hanging="280"/>
        <w:jc w:val="both"/>
        <w:rPr>
          <w:lang w:val="en-NG"/>
        </w:rPr>
      </w:pPr>
      <w:r w:rsidRPr="00A21299">
        <w:rPr>
          <w:lang w:val="en-NG"/>
        </w:rPr>
        <w:t>Reviewer 2 flagged this and the response committed to strengthening Section 2 and Section 5 with comparative positioning against those methods. The revised manuscript does not include this. It is acceptable for a conference paper to omit it if page space is tight, but the author response promised it.</w:t>
      </w:r>
    </w:p>
    <w:p w14:paraId="29D2C789" w14:textId="77777777" w:rsidR="00A21299" w:rsidRPr="00A21299" w:rsidRDefault="00A21299" w:rsidP="00A21299">
      <w:pPr>
        <w:spacing w:after="40" w:line="220" w:lineRule="auto"/>
        <w:ind w:left="280" w:hanging="280"/>
        <w:jc w:val="both"/>
        <w:rPr>
          <w:lang w:val="en-NG"/>
        </w:rPr>
      </w:pPr>
      <w:r w:rsidRPr="00A21299">
        <w:rPr>
          <w:b/>
          <w:bCs/>
          <w:lang w:val="en-NG"/>
        </w:rPr>
        <w:t>5. Page count risk</w:t>
      </w:r>
    </w:p>
    <w:p w14:paraId="163DABDD" w14:textId="77777777" w:rsidR="00A21299" w:rsidRPr="00A21299" w:rsidRDefault="00A21299" w:rsidP="00A21299">
      <w:pPr>
        <w:spacing w:after="40" w:line="220" w:lineRule="auto"/>
        <w:ind w:left="280" w:hanging="280"/>
        <w:jc w:val="both"/>
        <w:rPr>
          <w:lang w:val="en-NG"/>
        </w:rPr>
      </w:pPr>
      <w:r w:rsidRPr="00A21299">
        <w:rPr>
          <w:lang w:val="en-NG"/>
        </w:rPr>
        <w:t>With the new methodology paragraph, expanded Table II, and the lengthened Discussion, the document is close to or at the limit depending on your template's font/spacing. You should render it in the actual IEOM template and count pages before submitting.</w:t>
      </w:r>
    </w:p>
    <w:p w14:paraId="56F6EFA3" w14:textId="7F8A0309" w:rsidR="00A21299" w:rsidRPr="00A21299" w:rsidRDefault="00A21299" w:rsidP="00A21299">
      <w:pPr>
        <w:spacing w:after="40" w:line="220" w:lineRule="auto"/>
        <w:ind w:left="280" w:hanging="280"/>
        <w:jc w:val="both"/>
        <w:rPr>
          <w:lang w:val="en-NG"/>
        </w:rPr>
      </w:pPr>
    </w:p>
    <w:p w14:paraId="5A541C73" w14:textId="77777777" w:rsidR="00A21299" w:rsidRPr="00A21299" w:rsidRDefault="00A21299" w:rsidP="00A21299">
      <w:pPr>
        <w:spacing w:after="40" w:line="220" w:lineRule="auto"/>
        <w:ind w:left="280" w:hanging="280"/>
        <w:jc w:val="both"/>
        <w:rPr>
          <w:b/>
          <w:bCs/>
          <w:lang w:val="en-NG"/>
        </w:rPr>
      </w:pPr>
      <w:r w:rsidRPr="00A21299">
        <w:rPr>
          <w:b/>
          <w:bCs/>
          <w:lang w:val="en-NG"/>
        </w:rPr>
        <w:t>What you need to do before this is submission-ready</w:t>
      </w:r>
    </w:p>
    <w:tbl>
      <w:tblPr>
        <w:tblStyle w:val="TableGrid"/>
        <w:tblW w:w="0" w:type="auto"/>
        <w:tblLook w:val="04A0" w:firstRow="1" w:lastRow="0" w:firstColumn="1" w:lastColumn="0" w:noHBand="0" w:noVBand="1"/>
      </w:tblPr>
      <w:tblGrid>
        <w:gridCol w:w="7334"/>
        <w:gridCol w:w="1371"/>
        <w:gridCol w:w="906"/>
      </w:tblGrid>
      <w:tr w:rsidR="00A21299" w:rsidRPr="00A21299" w14:paraId="225421F0" w14:textId="77777777" w:rsidTr="00A21299">
        <w:tc>
          <w:tcPr>
            <w:tcW w:w="0" w:type="auto"/>
            <w:hideMark/>
          </w:tcPr>
          <w:p w14:paraId="67D4589E" w14:textId="77777777" w:rsidR="00A21299" w:rsidRPr="00A21299" w:rsidRDefault="00A21299" w:rsidP="00A21299">
            <w:pPr>
              <w:spacing w:after="40" w:line="220" w:lineRule="auto"/>
              <w:ind w:left="280" w:hanging="280"/>
              <w:jc w:val="both"/>
              <w:rPr>
                <w:b/>
                <w:bCs/>
                <w:lang w:val="en-NG"/>
              </w:rPr>
            </w:pPr>
            <w:r w:rsidRPr="00A21299">
              <w:rPr>
                <w:b/>
                <w:bCs/>
                <w:lang w:val="en-NG"/>
              </w:rPr>
              <w:t>Action</w:t>
            </w:r>
          </w:p>
        </w:tc>
        <w:tc>
          <w:tcPr>
            <w:tcW w:w="0" w:type="auto"/>
            <w:hideMark/>
          </w:tcPr>
          <w:p w14:paraId="5858945E" w14:textId="77777777" w:rsidR="00A21299" w:rsidRPr="00A21299" w:rsidRDefault="00A21299" w:rsidP="00A21299">
            <w:pPr>
              <w:spacing w:after="40" w:line="220" w:lineRule="auto"/>
              <w:ind w:left="280" w:hanging="280"/>
              <w:jc w:val="both"/>
              <w:rPr>
                <w:b/>
                <w:bCs/>
                <w:lang w:val="en-NG"/>
              </w:rPr>
            </w:pPr>
            <w:r w:rsidRPr="00A21299">
              <w:rPr>
                <w:b/>
                <w:bCs/>
                <w:lang w:val="en-NG"/>
              </w:rPr>
              <w:t>Who</w:t>
            </w:r>
          </w:p>
        </w:tc>
        <w:tc>
          <w:tcPr>
            <w:tcW w:w="0" w:type="auto"/>
            <w:hideMark/>
          </w:tcPr>
          <w:p w14:paraId="5940B45C" w14:textId="77777777" w:rsidR="00A21299" w:rsidRPr="00A21299" w:rsidRDefault="00A21299" w:rsidP="00A21299">
            <w:pPr>
              <w:spacing w:after="40" w:line="220" w:lineRule="auto"/>
              <w:ind w:left="280" w:hanging="280"/>
              <w:jc w:val="both"/>
              <w:rPr>
                <w:b/>
                <w:bCs/>
                <w:lang w:val="en-NG"/>
              </w:rPr>
            </w:pPr>
            <w:r w:rsidRPr="00A21299">
              <w:rPr>
                <w:b/>
                <w:bCs/>
                <w:lang w:val="en-NG"/>
              </w:rPr>
              <w:t>Priority</w:t>
            </w:r>
          </w:p>
        </w:tc>
      </w:tr>
      <w:tr w:rsidR="00A21299" w:rsidRPr="00A21299" w14:paraId="7F65B0C2" w14:textId="77777777" w:rsidTr="00A21299">
        <w:tc>
          <w:tcPr>
            <w:tcW w:w="0" w:type="auto"/>
            <w:hideMark/>
          </w:tcPr>
          <w:p w14:paraId="10A6B8FA"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Run the actual ablation experiments and replace the fabricated numbers in Section 3.3 and Table II</w:t>
            </w:r>
          </w:p>
        </w:tc>
        <w:tc>
          <w:tcPr>
            <w:tcW w:w="0" w:type="auto"/>
            <w:hideMark/>
          </w:tcPr>
          <w:p w14:paraId="6712F88E"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You (code)</w:t>
            </w:r>
          </w:p>
        </w:tc>
        <w:tc>
          <w:tcPr>
            <w:tcW w:w="0" w:type="auto"/>
            <w:hideMark/>
          </w:tcPr>
          <w:p w14:paraId="5DD64018" w14:textId="77777777" w:rsidR="00A21299" w:rsidRPr="00A21299" w:rsidRDefault="00A21299" w:rsidP="00A21299">
            <w:pPr>
              <w:spacing w:after="40" w:line="220" w:lineRule="auto"/>
              <w:ind w:left="280" w:hanging="280"/>
              <w:jc w:val="both"/>
              <w:rPr>
                <w:color w:val="EE0000"/>
                <w:lang w:val="en-NG"/>
              </w:rPr>
            </w:pPr>
            <w:r w:rsidRPr="00A21299">
              <w:rPr>
                <w:b/>
                <w:bCs/>
                <w:color w:val="EE0000"/>
                <w:lang w:val="en-NG"/>
              </w:rPr>
              <w:t>Critical</w:t>
            </w:r>
          </w:p>
        </w:tc>
      </w:tr>
      <w:tr w:rsidR="00A21299" w:rsidRPr="00A21299" w14:paraId="4C0E213D" w14:textId="77777777" w:rsidTr="00A21299">
        <w:tc>
          <w:tcPr>
            <w:tcW w:w="0" w:type="auto"/>
            <w:hideMark/>
          </w:tcPr>
          <w:p w14:paraId="7B3AECB9"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Compute bootstrap 95% CI for test-set R² and RMSE; add to Table I and Section 4.1</w:t>
            </w:r>
          </w:p>
        </w:tc>
        <w:tc>
          <w:tcPr>
            <w:tcW w:w="0" w:type="auto"/>
            <w:hideMark/>
          </w:tcPr>
          <w:p w14:paraId="1E9864ED"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You (code)</w:t>
            </w:r>
          </w:p>
        </w:tc>
        <w:tc>
          <w:tcPr>
            <w:tcW w:w="0" w:type="auto"/>
            <w:hideMark/>
          </w:tcPr>
          <w:p w14:paraId="5764AB58" w14:textId="77777777" w:rsidR="00A21299" w:rsidRPr="00A21299" w:rsidRDefault="00A21299" w:rsidP="00A21299">
            <w:pPr>
              <w:spacing w:after="40" w:line="220" w:lineRule="auto"/>
              <w:ind w:left="280" w:hanging="280"/>
              <w:jc w:val="both"/>
              <w:rPr>
                <w:color w:val="EE0000"/>
                <w:lang w:val="en-NG"/>
              </w:rPr>
            </w:pPr>
            <w:r w:rsidRPr="00A21299">
              <w:rPr>
                <w:b/>
                <w:bCs/>
                <w:color w:val="EE0000"/>
                <w:lang w:val="en-NG"/>
              </w:rPr>
              <w:t>Critical</w:t>
            </w:r>
          </w:p>
        </w:tc>
      </w:tr>
      <w:tr w:rsidR="00A21299" w:rsidRPr="00A21299" w14:paraId="3639F080" w14:textId="77777777" w:rsidTr="00A21299">
        <w:tc>
          <w:tcPr>
            <w:tcW w:w="0" w:type="auto"/>
            <w:hideMark/>
          </w:tcPr>
          <w:p w14:paraId="551E0BEF"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Compute actual lambda grid CV R² values; update Section 3.3</w:t>
            </w:r>
          </w:p>
        </w:tc>
        <w:tc>
          <w:tcPr>
            <w:tcW w:w="0" w:type="auto"/>
            <w:hideMark/>
          </w:tcPr>
          <w:p w14:paraId="7CBCA371"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You (code)</w:t>
            </w:r>
          </w:p>
        </w:tc>
        <w:tc>
          <w:tcPr>
            <w:tcW w:w="0" w:type="auto"/>
            <w:hideMark/>
          </w:tcPr>
          <w:p w14:paraId="6BD71B29" w14:textId="77777777" w:rsidR="00A21299" w:rsidRPr="00A21299" w:rsidRDefault="00A21299" w:rsidP="00A21299">
            <w:pPr>
              <w:spacing w:after="40" w:line="220" w:lineRule="auto"/>
              <w:ind w:left="280" w:hanging="280"/>
              <w:jc w:val="both"/>
              <w:rPr>
                <w:color w:val="EE0000"/>
                <w:lang w:val="en-NG"/>
              </w:rPr>
            </w:pPr>
            <w:r w:rsidRPr="00A21299">
              <w:rPr>
                <w:b/>
                <w:bCs/>
                <w:color w:val="EE0000"/>
                <w:lang w:val="en-NG"/>
              </w:rPr>
              <w:t>Critical</w:t>
            </w:r>
          </w:p>
        </w:tc>
      </w:tr>
      <w:tr w:rsidR="00A21299" w:rsidRPr="00A21299" w14:paraId="639E9499" w14:textId="77777777" w:rsidTr="00A21299">
        <w:tc>
          <w:tcPr>
            <w:tcW w:w="0" w:type="auto"/>
            <w:hideMark/>
          </w:tcPr>
          <w:p w14:paraId="67CC3B09"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Decide whether to keep or remove the simulation-consistency framing of Table III</w:t>
            </w:r>
          </w:p>
        </w:tc>
        <w:tc>
          <w:tcPr>
            <w:tcW w:w="0" w:type="auto"/>
            <w:hideMark/>
          </w:tcPr>
          <w:p w14:paraId="2101AEA0"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You (judgment)</w:t>
            </w:r>
          </w:p>
        </w:tc>
        <w:tc>
          <w:tcPr>
            <w:tcW w:w="0" w:type="auto"/>
            <w:hideMark/>
          </w:tcPr>
          <w:p w14:paraId="5894E83F" w14:textId="77777777" w:rsidR="00A21299" w:rsidRPr="00A21299" w:rsidRDefault="00A21299" w:rsidP="00A21299">
            <w:pPr>
              <w:spacing w:after="40" w:line="220" w:lineRule="auto"/>
              <w:ind w:left="280" w:hanging="280"/>
              <w:jc w:val="both"/>
              <w:rPr>
                <w:color w:val="EE0000"/>
                <w:lang w:val="en-NG"/>
              </w:rPr>
            </w:pPr>
            <w:r w:rsidRPr="00A21299">
              <w:rPr>
                <w:color w:val="EE0000"/>
                <w:lang w:val="en-NG"/>
              </w:rPr>
              <w:t>High</w:t>
            </w:r>
          </w:p>
        </w:tc>
      </w:tr>
      <w:tr w:rsidR="00A21299" w:rsidRPr="00A21299" w14:paraId="0BC7F6DA" w14:textId="77777777" w:rsidTr="00A21299">
        <w:tc>
          <w:tcPr>
            <w:tcW w:w="0" w:type="auto"/>
            <w:hideMark/>
          </w:tcPr>
          <w:p w14:paraId="55B79802" w14:textId="77777777" w:rsidR="00A21299" w:rsidRPr="00A21299" w:rsidRDefault="00A21299" w:rsidP="00A21299">
            <w:pPr>
              <w:spacing w:after="40" w:line="220" w:lineRule="auto"/>
              <w:ind w:left="280" w:hanging="280"/>
              <w:jc w:val="both"/>
              <w:rPr>
                <w:lang w:val="en-NG"/>
              </w:rPr>
            </w:pPr>
            <w:r w:rsidRPr="00A21299">
              <w:rPr>
                <w:lang w:val="en-NG"/>
              </w:rPr>
              <w:t>Render in IEOM template and verify page count</w:t>
            </w:r>
          </w:p>
        </w:tc>
        <w:tc>
          <w:tcPr>
            <w:tcW w:w="0" w:type="auto"/>
            <w:hideMark/>
          </w:tcPr>
          <w:p w14:paraId="7F4F6A2D" w14:textId="77777777" w:rsidR="00A21299" w:rsidRPr="00A21299" w:rsidRDefault="00A21299" w:rsidP="00A21299">
            <w:pPr>
              <w:spacing w:after="40" w:line="220" w:lineRule="auto"/>
              <w:ind w:left="280" w:hanging="280"/>
              <w:jc w:val="both"/>
              <w:rPr>
                <w:lang w:val="en-NG"/>
              </w:rPr>
            </w:pPr>
            <w:r w:rsidRPr="00A21299">
              <w:rPr>
                <w:lang w:val="en-NG"/>
              </w:rPr>
              <w:t>You</w:t>
            </w:r>
          </w:p>
        </w:tc>
        <w:tc>
          <w:tcPr>
            <w:tcW w:w="0" w:type="auto"/>
            <w:hideMark/>
          </w:tcPr>
          <w:p w14:paraId="24A93E4E" w14:textId="77777777" w:rsidR="00A21299" w:rsidRPr="00A21299" w:rsidRDefault="00A21299" w:rsidP="00A21299">
            <w:pPr>
              <w:spacing w:after="40" w:line="220" w:lineRule="auto"/>
              <w:ind w:left="280" w:hanging="280"/>
              <w:jc w:val="both"/>
              <w:rPr>
                <w:lang w:val="en-NG"/>
              </w:rPr>
            </w:pPr>
            <w:r w:rsidRPr="00A21299">
              <w:rPr>
                <w:lang w:val="en-NG"/>
              </w:rPr>
              <w:t>High</w:t>
            </w:r>
          </w:p>
        </w:tc>
      </w:tr>
      <w:tr w:rsidR="00A21299" w:rsidRPr="00A21299" w14:paraId="50EF43B7" w14:textId="77777777" w:rsidTr="00A21299">
        <w:tc>
          <w:tcPr>
            <w:tcW w:w="0" w:type="auto"/>
            <w:hideMark/>
          </w:tcPr>
          <w:p w14:paraId="1155CBBC" w14:textId="77777777" w:rsidR="00A21299" w:rsidRPr="00A21299" w:rsidRDefault="00A21299" w:rsidP="00A21299">
            <w:pPr>
              <w:spacing w:after="40" w:line="220" w:lineRule="auto"/>
              <w:ind w:left="280" w:hanging="280"/>
              <w:jc w:val="both"/>
              <w:rPr>
                <w:lang w:val="en-NG"/>
              </w:rPr>
            </w:pPr>
            <w:r w:rsidRPr="00A21299">
              <w:rPr>
                <w:lang w:val="en-NG"/>
              </w:rPr>
              <w:t>Optionally add 1–2 sentences in Section 2 comparing to physics-informed ML</w:t>
            </w:r>
          </w:p>
        </w:tc>
        <w:tc>
          <w:tcPr>
            <w:tcW w:w="0" w:type="auto"/>
            <w:hideMark/>
          </w:tcPr>
          <w:p w14:paraId="2375AA2A" w14:textId="77777777" w:rsidR="00A21299" w:rsidRPr="00A21299" w:rsidRDefault="00A21299" w:rsidP="00A21299">
            <w:pPr>
              <w:spacing w:after="40" w:line="220" w:lineRule="auto"/>
              <w:ind w:left="280" w:hanging="280"/>
              <w:jc w:val="both"/>
              <w:rPr>
                <w:lang w:val="en-NG"/>
              </w:rPr>
            </w:pPr>
            <w:r w:rsidRPr="00A21299">
              <w:rPr>
                <w:lang w:val="en-NG"/>
              </w:rPr>
              <w:t>You</w:t>
            </w:r>
          </w:p>
        </w:tc>
        <w:tc>
          <w:tcPr>
            <w:tcW w:w="0" w:type="auto"/>
            <w:hideMark/>
          </w:tcPr>
          <w:p w14:paraId="740DCFF1" w14:textId="77777777" w:rsidR="00A21299" w:rsidRPr="00A21299" w:rsidRDefault="00A21299" w:rsidP="00A21299">
            <w:pPr>
              <w:spacing w:after="40" w:line="220" w:lineRule="auto"/>
              <w:ind w:left="280" w:hanging="280"/>
              <w:jc w:val="both"/>
              <w:rPr>
                <w:lang w:val="en-NG"/>
              </w:rPr>
            </w:pPr>
            <w:r w:rsidRPr="00A21299">
              <w:rPr>
                <w:lang w:val="en-NG"/>
              </w:rPr>
              <w:t>Moderate</w:t>
            </w:r>
          </w:p>
        </w:tc>
      </w:tr>
    </w:tbl>
    <w:p w14:paraId="0605A45E" w14:textId="5C82E115" w:rsidR="00A21299" w:rsidRPr="00A21299" w:rsidRDefault="00A21299" w:rsidP="00A21299">
      <w:pPr>
        <w:spacing w:after="40" w:line="220" w:lineRule="auto"/>
        <w:ind w:left="280" w:hanging="280"/>
        <w:jc w:val="both"/>
        <w:rPr>
          <w:lang w:val="en-NG"/>
        </w:rPr>
      </w:pPr>
    </w:p>
    <w:p w14:paraId="217F584E" w14:textId="77777777" w:rsidR="00A21299" w:rsidRPr="00A21299" w:rsidRDefault="00A21299" w:rsidP="00A21299">
      <w:pPr>
        <w:spacing w:after="40" w:line="220" w:lineRule="auto"/>
        <w:ind w:left="280" w:hanging="280"/>
        <w:jc w:val="both"/>
        <w:rPr>
          <w:lang w:val="en-NG"/>
        </w:rPr>
      </w:pPr>
      <w:r w:rsidRPr="00A21299">
        <w:rPr>
          <w:lang w:val="en-NG"/>
        </w:rPr>
        <w:t>The manuscript is structurally sound and the framing is honest. The main thing standing between this version and submission is that several of the new quantitative claims need to be backed by actual computation rather than reasonable estimates. Once you have run those experiments, the paper should be ready.</w:t>
      </w:r>
    </w:p>
    <w:p w14:paraId="11041871" w14:textId="77777777" w:rsidR="00A21299" w:rsidRPr="00CA6E9A" w:rsidRDefault="00A21299">
      <w:pPr>
        <w:spacing w:after="40" w:line="220" w:lineRule="auto"/>
        <w:ind w:left="280" w:hanging="280"/>
        <w:jc w:val="both"/>
      </w:pPr>
    </w:p>
    <w:sectPr w:rsidR="00A21299" w:rsidRPr="00CA6E9A" w:rsidSect="00A21299">
      <w:pgSz w:w="11906" w:h="16838"/>
      <w:pgMar w:top="1008" w:right="864" w:bottom="1008" w:left="864" w:header="708" w:footer="708"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D3"/>
    <w:multiLevelType w:val="multilevel"/>
    <w:tmpl w:val="4814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D186D"/>
    <w:multiLevelType w:val="multilevel"/>
    <w:tmpl w:val="913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F5108"/>
    <w:multiLevelType w:val="multilevel"/>
    <w:tmpl w:val="CE2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35CE7"/>
    <w:multiLevelType w:val="hybridMultilevel"/>
    <w:tmpl w:val="C0807FAC"/>
    <w:lvl w:ilvl="0" w:tplc="87DA5CAC">
      <w:start w:val="1"/>
      <w:numFmt w:val="bullet"/>
      <w:lvlText w:val="●"/>
      <w:lvlJc w:val="left"/>
      <w:pPr>
        <w:ind w:left="720" w:hanging="360"/>
      </w:pPr>
    </w:lvl>
    <w:lvl w:ilvl="1" w:tplc="C4BE6564">
      <w:start w:val="1"/>
      <w:numFmt w:val="bullet"/>
      <w:lvlText w:val="○"/>
      <w:lvlJc w:val="left"/>
      <w:pPr>
        <w:ind w:left="1440" w:hanging="360"/>
      </w:pPr>
    </w:lvl>
    <w:lvl w:ilvl="2" w:tplc="2400737A">
      <w:start w:val="1"/>
      <w:numFmt w:val="bullet"/>
      <w:lvlText w:val="■"/>
      <w:lvlJc w:val="left"/>
      <w:pPr>
        <w:ind w:left="2160" w:hanging="360"/>
      </w:pPr>
    </w:lvl>
    <w:lvl w:ilvl="3" w:tplc="985464A2">
      <w:start w:val="1"/>
      <w:numFmt w:val="bullet"/>
      <w:lvlText w:val="●"/>
      <w:lvlJc w:val="left"/>
      <w:pPr>
        <w:ind w:left="2880" w:hanging="360"/>
      </w:pPr>
    </w:lvl>
    <w:lvl w:ilvl="4" w:tplc="05F0032A">
      <w:start w:val="1"/>
      <w:numFmt w:val="bullet"/>
      <w:lvlText w:val="○"/>
      <w:lvlJc w:val="left"/>
      <w:pPr>
        <w:ind w:left="3600" w:hanging="360"/>
      </w:pPr>
    </w:lvl>
    <w:lvl w:ilvl="5" w:tplc="9C6A2E22">
      <w:start w:val="1"/>
      <w:numFmt w:val="bullet"/>
      <w:lvlText w:val="■"/>
      <w:lvlJc w:val="left"/>
      <w:pPr>
        <w:ind w:left="4320" w:hanging="360"/>
      </w:pPr>
    </w:lvl>
    <w:lvl w:ilvl="6" w:tplc="2DAC8AB2">
      <w:start w:val="1"/>
      <w:numFmt w:val="bullet"/>
      <w:lvlText w:val="●"/>
      <w:lvlJc w:val="left"/>
      <w:pPr>
        <w:ind w:left="5040" w:hanging="360"/>
      </w:pPr>
    </w:lvl>
    <w:lvl w:ilvl="7" w:tplc="436C1D2A">
      <w:start w:val="1"/>
      <w:numFmt w:val="bullet"/>
      <w:lvlText w:val="●"/>
      <w:lvlJc w:val="left"/>
      <w:pPr>
        <w:ind w:left="5760" w:hanging="360"/>
      </w:pPr>
    </w:lvl>
    <w:lvl w:ilvl="8" w:tplc="2D0CA5FE">
      <w:start w:val="1"/>
      <w:numFmt w:val="bullet"/>
      <w:lvlText w:val="●"/>
      <w:lvlJc w:val="left"/>
      <w:pPr>
        <w:ind w:left="6480" w:hanging="360"/>
      </w:pPr>
    </w:lvl>
  </w:abstractNum>
  <w:abstractNum w:abstractNumId="4" w15:restartNumberingAfterBreak="0">
    <w:nsid w:val="54A03B69"/>
    <w:multiLevelType w:val="multilevel"/>
    <w:tmpl w:val="E59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57D72"/>
    <w:multiLevelType w:val="multilevel"/>
    <w:tmpl w:val="88C4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43AA0"/>
    <w:multiLevelType w:val="multilevel"/>
    <w:tmpl w:val="ACB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26B8A"/>
    <w:multiLevelType w:val="multilevel"/>
    <w:tmpl w:val="A5B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98002">
    <w:abstractNumId w:val="3"/>
    <w:lvlOverride w:ilvl="0">
      <w:startOverride w:val="1"/>
    </w:lvlOverride>
  </w:num>
  <w:num w:numId="2" w16cid:durableId="1509128888">
    <w:abstractNumId w:val="5"/>
  </w:num>
  <w:num w:numId="3" w16cid:durableId="1751270909">
    <w:abstractNumId w:val="2"/>
  </w:num>
  <w:num w:numId="4" w16cid:durableId="986518450">
    <w:abstractNumId w:val="1"/>
  </w:num>
  <w:num w:numId="5" w16cid:durableId="1953514949">
    <w:abstractNumId w:val="4"/>
  </w:num>
  <w:num w:numId="6" w16cid:durableId="1213422190">
    <w:abstractNumId w:val="7"/>
  </w:num>
  <w:num w:numId="7" w16cid:durableId="407457075">
    <w:abstractNumId w:val="0"/>
  </w:num>
  <w:num w:numId="8" w16cid:durableId="1351948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EF8"/>
    <w:rsid w:val="000D3D3C"/>
    <w:rsid w:val="001C32BB"/>
    <w:rsid w:val="00202C77"/>
    <w:rsid w:val="002D5C9E"/>
    <w:rsid w:val="003E667A"/>
    <w:rsid w:val="003F0600"/>
    <w:rsid w:val="0051321F"/>
    <w:rsid w:val="00674EF8"/>
    <w:rsid w:val="008C2557"/>
    <w:rsid w:val="008D0147"/>
    <w:rsid w:val="00907ED3"/>
    <w:rsid w:val="0097586A"/>
    <w:rsid w:val="00977C7F"/>
    <w:rsid w:val="00A21299"/>
    <w:rsid w:val="00A33BD5"/>
    <w:rsid w:val="00AD0B26"/>
    <w:rsid w:val="00AE063F"/>
    <w:rsid w:val="00B31A7C"/>
    <w:rsid w:val="00CA3391"/>
    <w:rsid w:val="00CA6E9A"/>
    <w:rsid w:val="00CB53FE"/>
    <w:rsid w:val="00D87062"/>
    <w:rsid w:val="00F502DF"/>
    <w:rsid w:val="00F84336"/>
    <w:rsid w:val="00F9250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6DA2"/>
  <w15:docId w15:val="{0588F338-2697-4ECA-8C96-666258EA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E6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5183</Words>
  <Characters>29547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Oladeji Ige</cp:lastModifiedBy>
  <cp:revision>3</cp:revision>
  <dcterms:created xsi:type="dcterms:W3CDTF">2026-04-22T13:47:00Z</dcterms:created>
  <dcterms:modified xsi:type="dcterms:W3CDTF">2026-04-22T15:39:00Z</dcterms:modified>
</cp:coreProperties>
</file>