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8746F8">
        <w:rPr>
          <w:rFonts w:asciiTheme="minorHAnsi" w:hAnsiTheme="minorHAnsi" w:eastAsiaTheme="minorEastAsia" w:cstheme="minorBidi"/>
          <w:b/>
          <w:bCs/>
          <w:color w:val="000000"/>
          <w:spacing w:val="-30"/>
          <w:sz w:val="48"/>
          <w:szCs w:val="48"/>
          <w:lang w:val="es-CL" w:eastAsia="es-CL"/>
        </w:rPr>
        <w:t>Renato Espina —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2951D13C"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2951D13C"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2951D13C"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2951D13C"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2951D13C"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2951D13C"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2951D13C" w:rsidR="6DFF661B">
              <w:rPr>
                <w:rFonts w:ascii="Calibri" w:hAnsi="Calibri" w:eastAsia="" w:cs="" w:asciiTheme="minorAscii" w:hAnsiTheme="minorAscii" w:eastAsiaTheme="minorEastAsia" w:cstheme="minorBidi"/>
                <w:b w:val="0"/>
                <w:bCs w:val="0"/>
                <w:color w:val="3B3838" w:themeColor="background2" w:themeTint="FF" w:themeShade="40"/>
              </w:rPr>
              <w:t>12</w:t>
            </w:r>
            <w:r w:rsidRPr="2951D13C" w:rsidR="6DFF661B">
              <w:rPr>
                <w:rFonts w:ascii="Calibri" w:hAnsi="Calibri" w:eastAsia="" w:cs="" w:asciiTheme="minorAscii" w:hAnsiTheme="minorAscii" w:eastAsiaTheme="minorEastAsia" w:cstheme="minorBidi"/>
                <w:b w:val="1"/>
                <w:bCs w:val="1"/>
                <w:color w:val="3B3838" w:themeColor="background2" w:themeTint="FF" w:themeShade="40"/>
              </w:rPr>
              <w:t xml:space="preserve">. </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2951D13C" w:rsidR="6DFF661B">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2951D13C"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2951D13C"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pPr>
              <w:jc w:val="center"/>
            </w:pPr>
            <w:r/>
            <w:r>
              <w:rPr>
                <w:b/>
                <w:sz w:val="18"/>
              </w:rPr>
              <w:t>X</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pPr>
              <w:jc w:val="center"/>
            </w:pPr>
            <w:r/>
            <w:r>
              <w:rPr>
                <w:b/>
                <w:sz w:val="18"/>
              </w:rPr>
              <w:t>X</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pPr>
              <w:jc w:val="center"/>
            </w:pPr>
            <w:r/>
            <w:r>
              <w:rPr>
                <w:b/>
                <w:sz w:val="18"/>
              </w:rPr>
              <w:t>X</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pPr>
              <w:jc w:val="center"/>
            </w:pPr>
            <w:r/>
            <w:r>
              <w:rPr>
                <w:b/>
                <w:sz w:val="18"/>
              </w:rPr>
              <w:t>X</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pPr>
              <w:jc w:val="center"/>
            </w:pPr>
            <w:r/>
            <w:r>
              <w:rPr>
                <w:b/>
                <w:sz w:val="18"/>
              </w:rPr>
              <w:t>X</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pPr>
              <w:jc w:val="center"/>
            </w:pPr>
            <w:r/>
            <w:r>
              <w:rPr>
                <w:b/>
                <w:sz w:val="18"/>
              </w:rPr>
              <w:t>X</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pPr>
              <w:jc w:val="center"/>
            </w:pPr>
            <w:r/>
            <w:r>
              <w:rPr>
                <w:b/>
                <w:sz w:val="18"/>
              </w:rPr>
              <w:t>X</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pPr>
              <w:jc w:val="center"/>
            </w:pPr>
            <w:r/>
            <w:r>
              <w:rPr>
                <w:b/>
                <w:sz w:val="18"/>
              </w:rPr>
              <w:t>X</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pPr>
              <w:jc w:val="center"/>
            </w:pPr>
            <w:r/>
            <w:r>
              <w:rPr>
                <w:b/>
                <w:sz w:val="18"/>
              </w:rPr>
              <w:t>X</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pPr>
              <w:jc w:val="center"/>
            </w:pPr>
            <w:r/>
            <w:r>
              <w:rPr>
                <w:b/>
                <w:sz w:val="18"/>
              </w:rPr>
              <w:t>X</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pPr>
              <w:jc w:val="center"/>
            </w:pPr>
            <w:r/>
            <w:r>
              <w:rPr>
                <w:b/>
                <w:sz w:val="18"/>
              </w:rPr>
              <w:t>X</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pPr>
              <w:jc w:val="center"/>
            </w:pPr>
            <w:r/>
            <w:r>
              <w:rPr>
                <w:b/>
                <w:sz w:val="18"/>
              </w:rPr>
              <w:t>X</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006E1C8E" w:rsidRDefault="00F12995" w14:paraId="6BBADE92" w14:textId="77777777">
      <w:pPr>
        <w:rPr>
          <w:rFonts w:asciiTheme="minorHAnsi" w:hAnsiTheme="minorHAnsi" w:eastAsiaTheme="minorEastAsia" w:cstheme="minorBidi"/>
          <w:color w:val="000000"/>
          <w:sz w:val="22"/>
          <w:szCs w:val="22"/>
          <w:u w:val="single"/>
        </w:rPr>
      </w:pPr>
    </w:p>
    <w:p>
      <w:r>
        <w:rPr>
          <w:rFonts w:ascii="Calibri" w:hAnsi="Calibri"/>
          <w:b w:val="0"/>
          <w:i w:val="0"/>
          <w:sz w:val="22"/>
        </w:rPr>
      </w:r>
    </w:p>
    <w:p>
      <w:r>
        <w:rPr>
          <w:rFonts w:ascii="Calibri" w:hAnsi="Calibri"/>
          <w:b/>
          <w:i w:val="0"/>
          <w:sz w:val="24"/>
        </w:rPr>
        <w:t>Justificación de la autoevaluación (Fase 1)</w:t>
      </w:r>
    </w:p>
    <w:p>
      <w:r>
        <w:rPr>
          <w:rFonts w:ascii="Calibri" w:hAnsi="Calibri"/>
          <w:b w:val="0"/>
          <w:i w:val="0"/>
          <w:sz w:val="22"/>
        </w:rPr>
        <w:t>La propuesta de la Fase 1 del equipo Big Curvas, junto con el rol asignado a Renato Espina (QA, pruebas y certificación de software, validación con el usuario final y gestión de cambios y devoluciones), cubre la totalidad de los indicadores evaluados: el levantamiento de requerimientos con la administradora Belén López Villanueva (IE1, IE2) dio origen a objetivos SMART, cronogramas, presupuesto y un plan de trabajo con carta Gantt de 18 semanas (IE3, IE4), con gestión de riesgos, plan de comunicaciones y selección de metodología Scrum (IE5, IE6, IE7); el plan de pruebas, los casos de prueba y la estrategia de certificación del sistema (IE8, IE9, IE10) reflejan las responsabilidades de calidad del rol asignado, y el plan de evidencias e indicadores (IE11, IE12) define los hitos de la Fase 1, lo que justifica marcar cada indicador en su nivel máximo.</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80</revision>
  <lastPrinted>2021-11-25T12:30:00.0000000Z</lastPrinted>
  <dcterms:created xsi:type="dcterms:W3CDTF">2022-08-25T15:56:00.0000000Z</dcterms:created>
  <dcterms:modified xsi:type="dcterms:W3CDTF">2023-03-13T19:52:15.8411566Z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