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MTS Galaxy Law</w:t>
      </w:r>
    </w:p>
    <w:p>
      <w:pPr>
        <w:spacing w:after="80" w:before="0"/>
        <w:jc w:val="center"/>
      </w:pPr>
      <w:r>
        <w:rPr>
          <w:rFonts w:ascii="Arial" w:cs="Arial" w:eastAsia="Arial" w:hAnsi="Arial"/>
          <w:b/>
          <w:bCs/>
          <w:color w:val="1F3864"/>
          <w:sz w:val="34"/>
          <w:szCs w:val="34"/>
        </w:rPr>
        <w:t xml:space="preserve">The Motion–Timespace (MTS) Galaxy Law:</w:t>
      </w:r>
    </w:p>
    <w:p>
      <w:pPr>
        <w:spacing w:after="80" w:before="0"/>
        <w:jc w:val="center"/>
      </w:pPr>
      <w:r>
        <w:rPr>
          <w:rFonts w:ascii="Arial" w:cs="Arial" w:eastAsia="Arial" w:hAnsi="Arial"/>
          <w:b/>
          <w:bCs/>
          <w:color w:val="2E75B6"/>
          <w:sz w:val="30"/>
          <w:szCs w:val="30"/>
        </w:rPr>
        <w:t xml:space="preserve">A Transport–Response Framework for Disk Galaxies</w:t>
      </w:r>
    </w:p>
    <w:p>
      <w:pPr>
        <w:spacing w:after="240" w:before="0"/>
        <w:jc w:val="center"/>
      </w:pPr>
      <w:r>
        <w:rPr>
          <w:rFonts w:ascii="Arial" w:cs="Arial" w:eastAsia="Arial" w:hAnsi="Arial"/>
          <w:color w:val="555555"/>
          <w:sz w:val="24"/>
          <w:szCs w:val="24"/>
        </w:rPr>
        <w:t xml:space="preserve">Version 10  —  post-verification draft</w:t>
      </w:r>
    </w:p>
    <w:p>
      <w:pPr>
        <w:pStyle w:val="Heading1"/>
        <w:spacing w:after="160" w:before="320"/>
      </w:pPr>
      <w:r>
        <w:rPr>
          <w:rFonts w:ascii="Arial" w:cs="Arial" w:eastAsia="Arial" w:hAnsi="Arial"/>
          <w:b/>
          <w:bCs/>
          <w:color w:val="1F3864"/>
          <w:sz w:val="32"/>
          <w:szCs w:val="32"/>
        </w:rPr>
        <w:t xml:space="preserve">Abstract</w:t>
      </w:r>
    </w:p>
    <w:p>
      <w:pPr>
        <w:spacing w:after="120"/>
        <w:jc w:val="left"/>
      </w:pPr>
      <w:r>
        <w:rPr>
          <w:rFonts w:ascii="Arial" w:cs="Arial" w:eastAsia="Arial" w:hAnsi="Arial"/>
          <w:b w:val="false"/>
          <w:bCs w:val="false"/>
          <w:color w:val="000000"/>
          <w:sz w:val="22"/>
          <w:szCs w:val="22"/>
        </w:rP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 on a clean subset of disk galaxies.</w:t>
      </w:r>
    </w:p>
    <w:p>
      <w:pPr>
        <w:spacing w:after="120"/>
        <w:jc w:val="left"/>
      </w:pPr>
      <w:r>
        <w:rPr>
          <w:rFonts w:ascii="Arial" w:cs="Arial" w:eastAsia="Arial" w:hAnsi="Arial"/>
          <w:b w:val="false"/>
          <w:bCs w:val="false"/>
          <w:color w:val="000000"/>
          <w:sz w:val="22"/>
          <w:szCs w:val="22"/>
        </w:rPr>
        <w:t xml:space="preserve">First-order corrections arise from structural deviations, specifically gas depletion and bulge concentration. The correct governing variable is an integrated transport memory, producing a zero-parameter saturating modification of the effective transport scale. Residuals reorganise into distinct response families characterised by different radial kernels.</w:t>
      </w:r>
    </w:p>
    <w:p>
      <w:pPr>
        <w:spacing w:after="120"/>
        <w:jc w:val="left"/>
      </w:pPr>
      <w:r>
        <w:rPr>
          <w:rFonts w:ascii="Arial" w:cs="Arial" w:eastAsia="Arial" w:hAnsi="Arial"/>
          <w:b w:val="false"/>
          <w:bCs w:val="false"/>
          <w:color w:val="000000"/>
          <w:sz w:val="22"/>
          <w:szCs w:val="22"/>
        </w:rPr>
        <w:t xml:space="preserve">Late-type galaxies (LTGs) follow a unified transport law with memory-driven corrections. Early-type galaxies (ETGs) form a multi-family, multi-sign response sector governed by a layered four-condition intersection structure. The ETG outer gate factorises exactly into a load coordinate X₀ᵤₜ and a disk-carried cancellation coordinate Rᵈ, with the viable single-channel H+ branch admitting a full structural reduction to a density-plus-geometry disk-force law.</w:t>
      </w:r>
    </w:p>
    <w:p>
      <w:pPr>
        <w:spacing w:after="120"/>
        <w:jc w:val="left"/>
      </w:pPr>
      <w:r>
        <w:rPr>
          <w:rFonts w:ascii="Arial" w:cs="Arial" w:eastAsia="Arial" w:hAnsi="Arial"/>
          <w:b w:val="false"/>
          <w:bCs w:val="false"/>
          <w:color w:val="000000"/>
          <w:sz w:val="22"/>
          <w:szCs w:val="22"/>
        </w:rPr>
        <w:t xml:space="preserve">New in v8: The outer threshold structure is characterised as a radial law u(r) = [V²obs(r) − 0.5V²disk(r) − 0.7V²bul(r)] / (Γ0 r Rmax). The outer viability boundary δu = 1 − u = (Xcrit − Xout)/Xcrit is confirmed as the exact normalised boundary margin for all 16 ETGs. Buffered outer-viable ETGs share a common rescaled radial approach profile near the u=1 threshold. A joint (S, u_out) map of the full 175-galaxy SPARC sample confirms the LTG/ETG population structure. The LTG outer route split (81 low-load, 77 buffered) mirrors the ETG structure, with the boundary approach organised by f_gas,out − 0.869 Δ (permutation p = 0.008). Updated in v9: The ETG buffered residual mode is best organised by Z = log(Rb/δu) + 0.30 S (LOO = 0.0017, verified). The LTG inner admissibility rule is confirmed as h/r_out ≤ 0.3168 (N=141, Priority J closed). Updated in v10: Priority O closed. NGC2841 fails the canonical Ω_in &gt; 1 gate (Ω_in = 0.609 from raw data); no confirmed LTG H+ objects exist. The LTG buffered branch splits into two structural regimes: 52 upward-crossing objects and 25 straight-down outer-approach objects, predictable from initial load u(R0) and inner concentration S_inner. The inner completion variable Q12 is primarily organised by Q14 (R² = 0.768); no separate buffered inner law is confirmed (Priority I closed).</w:t>
      </w:r>
    </w:p>
    <w:p>
      <w:pPr>
        <w:pStyle w:val="Heading1"/>
        <w:spacing w:after="160" w:before="320"/>
      </w:pPr>
      <w:r>
        <w:rPr>
          <w:rFonts w:ascii="Arial" w:cs="Arial" w:eastAsia="Arial" w:hAnsi="Arial"/>
          <w:b/>
          <w:bCs/>
          <w:color w:val="1F3864"/>
          <w:sz w:val="32"/>
          <w:szCs w:val="32"/>
        </w:rPr>
        <w:t xml:space="preserve">1.  Introduction</w:t>
      </w:r>
    </w:p>
    <w:p>
      <w:pPr>
        <w:spacing w:after="120"/>
        <w:jc w:val="left"/>
      </w:pPr>
      <w:r>
        <w:rPr>
          <w:rFonts w:ascii="Arial" w:cs="Arial" w:eastAsia="Arial" w:hAnsi="Arial"/>
          <w:b w:val="false"/>
          <w:bCs w:val="false"/>
          <w:color w:val="000000"/>
          <w:sz w:val="22"/>
          <w:szCs w:val="22"/>
        </w:rPr>
        <w:t xml:space="preserve">Galaxy rotation curves exhibit systematic deviations from baryonic expectations. Existing approaches either introduce additional matter components or modify gravitational dynamics. The Motion–Timespace (MTS) framework treats galaxy dynamics as a macroscopic transport response to a cosmological curvature–motion background, requiring neither dark matter nor modified gravity.</w:t>
      </w:r>
    </w:p>
    <w:p>
      <w:pPr>
        <w:spacing w:after="120"/>
        <w:jc w:val="left"/>
      </w:pPr>
      <w:r>
        <w:rPr>
          <w:rFonts w:ascii="Arial" w:cs="Arial" w:eastAsia="Arial" w:hAnsi="Arial"/>
          <w:b w:val="false"/>
          <w:bCs w:val="false"/>
          <w:color w:val="000000"/>
          <w:sz w:val="22"/>
          <w:szCs w:val="22"/>
        </w:rPr>
        <w:t xml:space="preserve">This work derives the galaxy law within the MTS framework, tests it directly against raw rotation curve data from the SPARC catalogue, and identifies the minimal correction structure required by observations. We show that the LTG sector admits a closed first-order description while the ETG sector requires a structurally distinct layered treatment whose outer gate can be written as an exact geometric condition in the (X₀ᵤₜ, Rᵈ) plane.</w:t>
      </w:r>
    </w:p>
    <w:p>
      <w:pPr>
        <w:pStyle w:val="Heading1"/>
        <w:spacing w:after="160" w:before="320"/>
      </w:pPr>
      <w:r>
        <w:rPr>
          <w:rFonts w:ascii="Arial" w:cs="Arial" w:eastAsia="Arial" w:hAnsi="Arial"/>
          <w:b/>
          <w:bCs/>
          <w:color w:val="1F3864"/>
          <w:sz w:val="32"/>
          <w:szCs w:val="32"/>
        </w:rPr>
        <w:t xml:space="preserve">2.  The MTS Framework</w:t>
      </w:r>
    </w:p>
    <w:p>
      <w:pPr>
        <w:pStyle w:val="Heading2"/>
        <w:spacing w:after="120" w:before="240"/>
      </w:pPr>
      <w:r>
        <w:rPr>
          <w:rFonts w:ascii="Arial" w:cs="Arial" w:eastAsia="Arial" w:hAnsi="Arial"/>
          <w:b/>
          <w:bCs/>
          <w:color w:val="2E75B6"/>
          <w:sz w:val="26"/>
          <w:szCs w:val="26"/>
        </w:rPr>
        <w:t xml:space="preserve">2.1  Emergent geometry</w:t>
      </w:r>
    </w:p>
    <w:p>
      <w:pPr>
        <w:spacing w:after="120"/>
        <w:jc w:val="left"/>
      </w:pPr>
      <w:r>
        <w:rPr>
          <w:rFonts w:ascii="Arial" w:cs="Arial" w:eastAsia="Arial" w:hAnsi="Arial"/>
          <w:b w:val="false"/>
          <w:bCs w:val="false"/>
          <w:color w:val="000000"/>
          <w:sz w:val="22"/>
          <w:szCs w:val="22"/>
        </w:rPr>
        <w:t xml:space="preserve">A scalar field ψ defines an emergent metric via coarse-grained gradient covariance:</w:t>
      </w:r>
    </w:p>
    <w:p>
      <w:pPr>
        <w:spacing w:after="100" w:before="100"/>
        <w:jc w:val="center"/>
      </w:pPr>
      <w:r>
        <w:rPr>
          <w:rFonts w:ascii="Arial" w:cs="Arial" w:eastAsia="Arial" w:hAnsi="Arial"/>
          <w:color w:val="1a1a1a"/>
          <w:sz w:val="22"/>
          <w:szCs w:val="22"/>
        </w:rPr>
        <w:t xml:space="preserve">gμν = ημν + ⟨∂μψ, ∂νψ⟩</w:t>
      </w:r>
    </w:p>
    <w:p>
      <w:pPr>
        <w:pStyle w:val="Heading2"/>
        <w:spacing w:after="120" w:before="240"/>
      </w:pPr>
      <w:r>
        <w:rPr>
          <w:rFonts w:ascii="Arial" w:cs="Arial" w:eastAsia="Arial" w:hAnsi="Arial"/>
          <w:b/>
          <w:bCs/>
          <w:color w:val="2E75B6"/>
          <w:sz w:val="26"/>
          <w:szCs w:val="26"/>
        </w:rPr>
        <w:t xml:space="preserve">2.2  Curvature–exchange field</w:t>
      </w:r>
    </w:p>
    <w:p>
      <w:pPr>
        <w:spacing w:after="120"/>
        <w:jc w:val="left"/>
      </w:pPr>
      <w:r>
        <w:rPr>
          <w:rFonts w:ascii="Arial" w:cs="Arial" w:eastAsia="Arial" w:hAnsi="Arial"/>
          <w:b w:val="false"/>
          <w:bCs w:val="false"/>
          <w:color w:val="000000"/>
          <w:sz w:val="22"/>
          <w:szCs w:val="22"/>
        </w:rPr>
        <w:t xml:space="preserve">A scalar Γ = F[ψ, g] encodes curvature–motion exchange. ψ is a fundamental motion field whose linear modes correspond to radiation-like behaviour and whose nonlinear localised configurations form stable matter-like structures. A secondary scalar Γ emerges dynamically as a curvature–memory field. The present work requires only: (i) the emergent metric from gradient covariance of ψ, and (ii) a curvature–exchange field Γ coupling to macroscopic transport.</w:t>
      </w:r>
    </w:p>
    <w:p>
      <w:pPr>
        <w:pStyle w:val="Heading1"/>
        <w:spacing w:after="160" w:before="320"/>
      </w:pPr>
      <w:r>
        <w:rPr>
          <w:rFonts w:ascii="Arial" w:cs="Arial" w:eastAsia="Arial" w:hAnsi="Arial"/>
          <w:b/>
          <w:bCs/>
          <w:color w:val="1F3864"/>
          <w:sz w:val="32"/>
          <w:szCs w:val="32"/>
        </w:rPr>
        <w:t xml:space="preserve">3.  Transport Equation and Background Law</w:t>
      </w:r>
    </w:p>
    <w:p>
      <w:pPr>
        <w:spacing w:after="120"/>
        <w:jc w:val="left"/>
      </w:pPr>
      <w:r>
        <w:rPr>
          <w:rFonts w:ascii="Arial" w:cs="Arial" w:eastAsia="Arial" w:hAnsi="Arial"/>
          <w:b w:val="false"/>
          <w:bCs w:val="false"/>
          <w:color w:val="000000"/>
          <w:sz w:val="22"/>
          <w:szCs w:val="22"/>
        </w:rPr>
        <w:t xml:space="preserve">The transport equation is:</w:t>
      </w:r>
    </w:p>
    <w:p>
      <w:pPr>
        <w:spacing w:after="100" w:before="100"/>
        <w:jc w:val="center"/>
      </w:pPr>
      <w:r>
        <w:rPr>
          <w:rFonts w:ascii="Arial" w:cs="Arial" w:eastAsia="Arial" w:hAnsi="Arial"/>
          <w:color w:val="1a1a1a"/>
          <w:sz w:val="22"/>
          <w:szCs w:val="22"/>
        </w:rPr>
        <w:t xml:space="preserve">uμ ∇μχ + χ/τΓ = Γ0/4</w:t>
      </w:r>
    </w:p>
    <w:p>
      <w:pPr>
        <w:spacing w:after="120"/>
        <w:jc w:val="left"/>
      </w:pPr>
      <w:r>
        <w:rPr>
          <w:rFonts w:ascii="Arial" w:cs="Arial" w:eastAsia="Arial" w:hAnsi="Arial"/>
          <w:b w:val="false"/>
          <w:bCs w:val="false"/>
          <w:color w:val="000000"/>
          <w:sz w:val="22"/>
          <w:szCs w:val="22"/>
        </w:rPr>
        <w:t xml:space="preserve">In the stationary disk limit:</w:t>
      </w:r>
    </w:p>
    <w:p>
      <w:pPr>
        <w:spacing w:after="100" w:before="100"/>
        <w:jc w:val="center"/>
      </w:pPr>
      <w:r>
        <w:rPr>
          <w:rFonts w:ascii="Arial" w:cs="Arial" w:eastAsia="Arial" w:hAnsi="Arial"/>
          <w:color w:val="1a1a1a"/>
          <w:sz w:val="22"/>
          <w:szCs w:val="22"/>
        </w:rPr>
        <w:t xml:space="preserve">vΓ dχ/dr + χ/τΓ = Γ0/4</w:t>
      </w:r>
    </w:p>
    <w:p>
      <w:pPr>
        <w:spacing w:after="120"/>
        <w:jc w:val="left"/>
      </w:pPr>
      <w:r>
        <w:rPr>
          <w:rFonts w:ascii="Arial" w:cs="Arial" w:eastAsia="Arial" w:hAnsi="Arial"/>
          <w:b w:val="false"/>
          <w:bCs w:val="false"/>
          <w:color w:val="000000"/>
          <w:sz w:val="22"/>
          <w:szCs w:val="22"/>
        </w:rPr>
        <w:t xml:space="preserve">Defining L = vΓτΓ gives the background solution:</w:t>
      </w:r>
    </w:p>
    <w:p>
      <w:pPr>
        <w:spacing w:after="100" w:before="100"/>
        <w:jc w:val="center"/>
      </w:pPr>
      <w:r>
        <w:rPr>
          <w:rFonts w:ascii="Arial" w:cs="Arial" w:eastAsia="Arial" w:hAnsi="Arial"/>
          <w:color w:val="1a1a1a"/>
          <w:sz w:val="22"/>
          <w:szCs w:val="22"/>
        </w:rPr>
        <w:t xml:space="preserve">χ(r) = (Γ0/4) L (1 − e⁻ʳᴸᴸ)</w:t>
      </w:r>
    </w:p>
    <w:p>
      <w:pPr>
        <w:spacing w:after="120"/>
        <w:jc w:val="left"/>
      </w:pPr>
      <w:r>
        <w:rPr>
          <w:rFonts w:ascii="Arial" w:cs="Arial" w:eastAsia="Arial" w:hAnsi="Arial"/>
          <w:b w:val="false"/>
          <w:bCs w:val="false"/>
          <w:color w:val="000000"/>
          <w:sz w:val="22"/>
          <w:szCs w:val="22"/>
        </w:rPr>
        <w:t xml:space="preserve">Mapping to observables via V²(r) = V̅²har(r) + χ(r), using the photometric closure L = k(j̅har/V̅har,hmr) with k ≈ 0.9, and the cosmological normalisation Γ0 = cH₀/(8π), yields the zero-parameter background galaxy law. Working constants: H₀ = 67.9 km/s/Mpc, Γ0 ≈ 809.956 km²/s²/kpc.</w:t>
      </w:r>
    </w:p>
    <w:p>
      <w:pPr>
        <w:pStyle w:val="Heading1"/>
        <w:spacing w:after="160" w:before="320"/>
      </w:pPr>
      <w:r>
        <w:rPr>
          <w:rFonts w:ascii="Arial" w:cs="Arial" w:eastAsia="Arial" w:hAnsi="Arial"/>
          <w:b/>
          <w:bCs/>
          <w:color w:val="1F3864"/>
          <w:sz w:val="32"/>
          <w:szCs w:val="32"/>
        </w:rPr>
        <w:t xml:space="preserve">4.  LTG Sector (Closed)</w:t>
      </w:r>
    </w:p>
    <w:p>
      <w:pPr>
        <w:pStyle w:val="Heading2"/>
        <w:spacing w:after="120" w:before="240"/>
      </w:pPr>
      <w:r>
        <w:rPr>
          <w:rFonts w:ascii="Arial" w:cs="Arial" w:eastAsia="Arial" w:hAnsi="Arial"/>
          <w:b/>
          <w:bCs/>
          <w:color w:val="2E75B6"/>
          <w:sz w:val="26"/>
          <w:szCs w:val="26"/>
        </w:rPr>
        <w:t xml:space="preserve">4.1  Photometric closure</w:t>
      </w:r>
    </w:p>
    <w:p>
      <w:pPr>
        <w:spacing w:after="120"/>
        <w:jc w:val="left"/>
      </w:pPr>
      <w:r>
        <w:rPr>
          <w:rFonts w:ascii="Arial" w:cs="Arial" w:eastAsia="Arial" w:hAnsi="Arial"/>
          <w:b w:val="false"/>
          <w:bCs w:val="false"/>
          <w:color w:val="000000"/>
          <w:sz w:val="22"/>
          <w:szCs w:val="22"/>
        </w:rPr>
        <w:t xml:space="preserve">For exponential disks, j̅har = 2hVφα, giving Lpred = 2kh ≈ 1.8h. This closure stabilises the scale law. The lag variable |ln(h/L)| collapses to a constant under photometric closure and loses independent physical meaning.</w:t>
      </w:r>
    </w:p>
    <w:p>
      <w:pPr>
        <w:pStyle w:val="Heading2"/>
        <w:spacing w:after="120" w:before="240"/>
      </w:pPr>
      <w:r>
        <w:rPr>
          <w:rFonts w:ascii="Arial" w:cs="Arial" w:eastAsia="Arial" w:hAnsi="Arial"/>
          <w:b/>
          <w:bCs/>
          <w:color w:val="2E75B6"/>
          <w:sz w:val="26"/>
          <w:szCs w:val="26"/>
        </w:rPr>
        <w:t xml:space="preserve">4.2  Transport memory law</w:t>
      </w:r>
    </w:p>
    <w:p>
      <w:pPr>
        <w:spacing w:after="120"/>
        <w:jc w:val="left"/>
      </w:pPr>
      <w:r>
        <w:rPr>
          <w:rFonts w:ascii="Arial" w:cs="Arial" w:eastAsia="Arial" w:hAnsi="Arial"/>
          <w:b w:val="false"/>
          <w:bCs w:val="false"/>
          <w:color w:val="000000"/>
          <w:sz w:val="22"/>
          <w:szCs w:val="22"/>
        </w:rPr>
        <w:t xml:space="preserve">The governing variable is: memory_load = (1 − fgas)(Router / h). The effective transport scale is:</w:t>
      </w:r>
    </w:p>
    <w:p>
      <w:pPr>
        <w:spacing w:after="100" w:before="100"/>
        <w:jc w:val="center"/>
      </w:pPr>
      <w:r>
        <w:rPr>
          <w:rFonts w:ascii="Arial" w:cs="Arial" w:eastAsia="Arial" w:hAnsi="Arial"/>
          <w:color w:val="1a1a1a"/>
          <w:sz w:val="22"/>
          <w:szCs w:val="22"/>
        </w:rPr>
        <w:t xml:space="preserve">Leff = Lpred [1 + S (1 − exp(−memory_load / S))],   S = (k/π)(Router / h)</w:t>
      </w:r>
    </w:p>
    <w:p>
      <w:pPr>
        <w:pStyle w:val="Heading2"/>
        <w:spacing w:after="120" w:before="240"/>
      </w:pPr>
      <w:r>
        <w:rPr>
          <w:rFonts w:ascii="Arial" w:cs="Arial" w:eastAsia="Arial" w:hAnsi="Arial"/>
          <w:b/>
          <w:bCs/>
          <w:color w:val="2E75B6"/>
          <w:sz w:val="26"/>
          <w:szCs w:val="26"/>
        </w:rPr>
        <w:t xml:space="preserve">4.3  Complete LTG law</w:t>
      </w:r>
    </w:p>
    <w:p>
      <w:pPr>
        <w:spacing w:after="100" w:before="100"/>
        <w:jc w:val="center"/>
      </w:pPr>
      <w:r>
        <w:rPr>
          <w:rFonts w:ascii="Arial" w:cs="Arial" w:eastAsia="Arial" w:hAnsi="Arial"/>
          <w:color w:val="1a1a1a"/>
          <w:sz w:val="22"/>
          <w:szCs w:val="22"/>
        </w:rPr>
        <w:t xml:space="preserve">V²(r) = V̅²har(r) + (Γ0) × Leff × [1 − exp(−(r/Leff)q)]</w:t>
      </w:r>
    </w:p>
    <w:p>
      <w:pPr>
        <w:spacing w:after="120"/>
        <w:jc w:val="left"/>
      </w:pPr>
      <w:r>
        <w:rPr>
          <w:rFonts w:ascii="Arial" w:cs="Arial" w:eastAsia="Arial" w:hAnsi="Arial"/>
          <w:b w:val="false"/>
          <w:bCs w:val="false"/>
          <w:color w:val="000000"/>
          <w:sz w:val="22"/>
          <w:szCs w:val="22"/>
        </w:rPr>
        <w:t xml:space="preserve">with q = 1 + nout (or q ≈ 0.77 globally). Performance on SPARC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800"/>
        <w:gridCol w:w="1760"/>
      </w:tblGrid>
      <w:tr>
        <w:tc>
          <w:tcPr>
            <w:tcW w:type="dxa" w:w="36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Sample</w:t>
            </w:r>
          </w:p>
        </w:tc>
        <w:tc>
          <w:tcPr>
            <w:tcW w:type="dxa" w:w="1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n</w:t>
            </w:r>
          </w:p>
        </w:tc>
        <w:tc>
          <w:tcPr>
            <w:tcW w:type="dxa" w:w="28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Model</w:t>
            </w:r>
          </w:p>
        </w:tc>
        <w:tc>
          <w:tcPr>
            <w:tcW w:type="dxa" w:w="17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Median RMSE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Clean LTGs (b &lt; 0.1)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Memory law, 0 params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20.60 km/s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All LTGs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Memory law, 0 params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29.44 km/s</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5.  LTG/ETG Population Gate</w:t>
      </w:r>
    </w:p>
    <w:p>
      <w:pPr>
        <w:spacing w:after="120"/>
        <w:jc w:val="left"/>
      </w:pPr>
      <w:r>
        <w:rPr>
          <w:rFonts w:ascii="Arial" w:cs="Arial" w:eastAsia="Arial" w:hAnsi="Arial"/>
          <w:b w:val="false"/>
          <w:bCs w:val="false"/>
          <w:color w:val="000000"/>
          <w:sz w:val="22"/>
          <w:szCs w:val="22"/>
        </w:rPr>
        <w:t xml:space="preserve">ETGs are classified as such if ALL THREE hold simultaneously:</w:t>
      </w:r>
    </w:p>
    <w:p>
      <w:pPr>
        <w:spacing w:after="100" w:before="100"/>
        <w:jc w:val="center"/>
      </w:pPr>
      <w:r>
        <w:rPr>
          <w:rFonts w:ascii="Arial" w:cs="Arial" w:eastAsia="Arial" w:hAnsi="Arial"/>
          <w:color w:val="1a1a1a"/>
          <w:sz w:val="22"/>
          <w:szCs w:val="22"/>
        </w:rPr>
        <w:t xml:space="preserve">n̅obs &lt; 0  ;  fbulge,outer &gt; 0.155  ;  Δn &lt; 0.24</w:t>
      </w:r>
    </w:p>
    <w:p>
      <w:pPr>
        <w:spacing w:after="120"/>
        <w:jc w:val="left"/>
      </w:pPr>
      <w:r>
        <w:rPr>
          <w:rFonts w:ascii="Arial" w:cs="Arial" w:eastAsia="Arial" w:hAnsi="Arial"/>
          <w:b w:val="false"/>
          <w:bCs w:val="false"/>
          <w:color w:val="000000"/>
          <w:sz w:val="22"/>
          <w:szCs w:val="22"/>
        </w:rPr>
        <w:t xml:space="preserve">Performance: ETG recall 16/16, LTG specificity 170/175, overall accuracy ≈ 97.4%. All results verified from raw files.</w:t>
      </w:r>
    </w:p>
    <w:p>
      <w:pPr>
        <w:pStyle w:val="Heading1"/>
        <w:spacing w:after="160" w:before="320"/>
      </w:pPr>
      <w:r>
        <w:rPr>
          <w:rFonts w:ascii="Arial" w:cs="Arial" w:eastAsia="Arial" w:hAnsi="Arial"/>
          <w:b/>
          <w:bCs/>
          <w:color w:val="1F3864"/>
          <w:sz w:val="32"/>
          <w:szCs w:val="32"/>
        </w:rPr>
        <w:t xml:space="preserve">6.  ETG Response Sector — Overview</w:t>
      </w:r>
    </w:p>
    <w:p>
      <w:pPr>
        <w:spacing w:after="120"/>
        <w:jc w:val="left"/>
      </w:pPr>
      <w:r>
        <w:rPr>
          <w:rFonts w:ascii="Arial" w:cs="Arial" w:eastAsia="Arial" w:hAnsi="Arial"/>
          <w:b w:val="false"/>
          <w:bCs w:val="false"/>
          <w:color w:val="000000"/>
          <w:sz w:val="22"/>
          <w:szCs w:val="22"/>
        </w:rPr>
        <w:t xml:space="preserve">ETGs fail the LTG law in two independent ways simultaneously. They form a multi-family, multi-sign response sector. The complete ETG classification is organised by the four-condition intersection structure described in §7.</w:t>
      </w:r>
    </w:p>
    <w:p>
      <w:pPr>
        <w:spacing w:after="120"/>
        <w:jc w:val="left"/>
      </w:pPr>
      <w:r>
        <w:rPr>
          <w:rFonts w:ascii="Arial" w:cs="Arial" w:eastAsia="Arial" w:hAnsi="Arial"/>
          <w:b w:val="false"/>
          <w:bCs w:val="false"/>
          <w:color w:val="000000"/>
          <w:sz w:val="22"/>
          <w:szCs w:val="22"/>
        </w:rPr>
        <w:t xml:space="preserve">The five ETG families, organised by support signature ΔV²(r) = V²obs(r) − V̅²har(r):</w:t>
      </w:r>
    </w:p>
    <w:p>
      <w:pPr>
        <w:spacing w:after="120"/>
        <w:jc w:val="left"/>
      </w:pPr>
      <w:r>
        <w:rPr>
          <w:rFonts w:ascii="Arial" w:cs="Arial" w:eastAsia="Arial" w:hAnsi="Arial"/>
          <w:b w:val="false"/>
          <w:bCs w:val="false"/>
          <w:color w:val="000000"/>
          <w:sz w:val="22"/>
          <w:szCs w:val="22"/>
        </w:rPr>
        <w:t xml:space="preserve">H+ galaxies (single-channel): NGC2685, NGC3626, NGC3941 — sign-changing (ΔV²inn &lt; 0, ΔV²out &gt; 0), all four conditions satisfied.</w:t>
      </w:r>
    </w:p>
    <w:p>
      <w:pPr>
        <w:spacing w:after="120"/>
        <w:jc w:val="left"/>
      </w:pPr>
      <w:r>
        <w:rPr>
          <w:rFonts w:ascii="Arial" w:cs="Arial" w:eastAsia="Arial" w:hAnsi="Arial"/>
          <w:b w:val="false"/>
          <w:bCs w:val="false"/>
          <w:color w:val="000000"/>
          <w:sz w:val="22"/>
          <w:szCs w:val="22"/>
        </w:rPr>
        <w:t xml:space="preserve">H+ galaxy (two-channel): NGC4203 — sign-changing, outer capacity exceeded; two-channel required.</w:t>
      </w:r>
    </w:p>
    <w:p>
      <w:pPr>
        <w:spacing w:after="120"/>
        <w:jc w:val="left"/>
      </w:pPr>
      <w:r>
        <w:rPr>
          <w:rFonts w:ascii="Arial" w:cs="Arial" w:eastAsia="Arial" w:hAnsi="Arial"/>
          <w:b w:val="false"/>
          <w:bCs w:val="false"/>
          <w:color w:val="000000"/>
          <w:sz w:val="22"/>
          <w:szCs w:val="22"/>
        </w:rPr>
        <w:t xml:space="preserve">Boundary (class B): NGC3838 — profile-close to H+, inner/outer-feasible, sign-wrong only.</w:t>
      </w:r>
    </w:p>
    <w:p>
      <w:pPr>
        <w:spacing w:after="120"/>
        <w:jc w:val="left"/>
      </w:pPr>
      <w:r>
        <w:rPr>
          <w:rFonts w:ascii="Arial" w:cs="Arial" w:eastAsia="Arial" w:hAnsi="Arial"/>
          <w:b w:val="false"/>
          <w:bCs w:val="false"/>
          <w:color w:val="000000"/>
          <w:sz w:val="22"/>
          <w:szCs w:val="22"/>
        </w:rPr>
        <w:t xml:space="preserve">Class C: NGC4262 — profile-close, inner-feasible, sign-wrong and outer-wrong.</w:t>
      </w:r>
    </w:p>
    <w:p>
      <w:pPr>
        <w:spacing w:after="120"/>
        <w:jc w:val="left"/>
      </w:pPr>
      <w:r>
        <w:rPr>
          <w:rFonts w:ascii="Arial" w:cs="Arial" w:eastAsia="Arial" w:hAnsi="Arial"/>
          <w:b w:val="false"/>
          <w:bCs w:val="false"/>
          <w:color w:val="000000"/>
          <w:sz w:val="22"/>
          <w:szCs w:val="22"/>
        </w:rPr>
        <w:t xml:space="preserve">D1 (outer-capacity fail): NGC2824, NGC2859, NGC2974 — u &gt; 1, Umax &gt; U*.</w:t>
      </w:r>
    </w:p>
    <w:p>
      <w:pPr>
        <w:spacing w:after="120"/>
        <w:jc w:val="left"/>
      </w:pPr>
      <w:r>
        <w:rPr>
          <w:rFonts w:ascii="Arial" w:cs="Arial" w:eastAsia="Arial" w:hAnsi="Arial"/>
          <w:b w:val="false"/>
          <w:bCs w:val="false"/>
          <w:color w:val="000000"/>
          <w:sz w:val="22"/>
          <w:szCs w:val="22"/>
        </w:rPr>
        <w:t xml:space="preserve">D2 (double fail): NGC3945, NGC3998, NGC4278, NGC5582* — both u &gt; 1 and Umax &lt; U*.</w:t>
      </w:r>
    </w:p>
    <w:p>
      <w:pPr>
        <w:spacing w:after="120"/>
        <w:jc w:val="left"/>
      </w:pPr>
      <w:r>
        <w:rPr>
          <w:rFonts w:ascii="Arial" w:cs="Arial" w:eastAsia="Arial" w:hAnsi="Arial"/>
          <w:b w:val="false"/>
          <w:bCs w:val="false"/>
          <w:color w:val="000000"/>
          <w:sz w:val="22"/>
          <w:szCs w:val="22"/>
        </w:rPr>
        <w:t xml:space="preserve">E (wrong profile family): NGC3522, NGC6798, UGC6176 — outer/inner-feasible, large Δ, sign-wrong.</w:t>
      </w:r>
    </w:p>
    <w:p>
      <w:pPr>
        <w:spacing w:after="80" w:before="80"/>
      </w:pPr>
      <w:r>
        <w:rPr>
          <w:rFonts w:ascii="Arial" w:cs="Arial" w:eastAsia="Arial" w:hAnsi="Arial"/>
          <w:color w:val="555555"/>
          <w:sz w:val="20"/>
          <w:szCs w:val="20"/>
        </w:rPr>
        <w:t xml:space="preserve">*NGC5582: S &lt; 1.70 threshold miss. S = Q14/Δ = 1.647, Umax = 0.178 &lt; U* = 0.202.</w:t>
      </w:r>
    </w:p>
    <w:p>
      <w:pPr>
        <w:pStyle w:val="Heading1"/>
        <w:spacing w:after="160" w:before="320"/>
      </w:pPr>
      <w:r>
        <w:rPr>
          <w:rFonts w:ascii="Arial" w:cs="Arial" w:eastAsia="Arial" w:hAnsi="Arial"/>
          <w:b/>
          <w:bCs/>
          <w:color w:val="1F3864"/>
          <w:sz w:val="32"/>
          <w:szCs w:val="32"/>
        </w:rPr>
        <w:t xml:space="preserve">7.  Four-Condition Intersection Structure</w:t>
      </w:r>
    </w:p>
    <w:p>
      <w:pPr>
        <w:spacing w:after="120"/>
        <w:jc w:val="left"/>
      </w:pPr>
      <w:r>
        <w:rPr>
          <w:rFonts w:ascii="Arial" w:cs="Arial" w:eastAsia="Arial" w:hAnsi="Arial"/>
          <w:b w:val="false"/>
          <w:bCs w:val="false"/>
          <w:color w:val="000000"/>
          <w:sz w:val="22"/>
          <w:szCs w:val="22"/>
        </w:rPr>
        <w:t xml:space="preserve">The single-channel H+ branch is the intersection of four independent conditions. All four must hold simultaneously. This structure is verified from raw files across all 16 ETGs.</w:t>
      </w:r>
    </w:p>
    <w:p>
      <w:pPr>
        <w:pStyle w:val="Heading2"/>
        <w:spacing w:after="120" w:before="240"/>
      </w:pPr>
      <w:r>
        <w:rPr>
          <w:rFonts w:ascii="Arial" w:cs="Arial" w:eastAsia="Arial" w:hAnsi="Arial"/>
          <w:b/>
          <w:bCs/>
          <w:color w:val="2E75B6"/>
          <w:sz w:val="26"/>
          <w:szCs w:val="26"/>
        </w:rPr>
        <w:t xml:space="preserve">7.1  The four conditions</w:t>
      </w:r>
    </w:p>
    <w:p>
      <w:pPr>
        <w:spacing w:after="80" w:before="180"/>
      </w:pPr>
      <w:r>
        <w:rPr>
          <w:rFonts w:ascii="Arial" w:cs="Arial" w:eastAsia="Arial" w:hAnsi="Arial"/>
          <w:b/>
          <w:bCs/>
          <w:color w:val="2E75B6"/>
          <w:sz w:val="24"/>
          <w:szCs w:val="24"/>
        </w:rPr>
        <w:t xml:space="preserve">Condition 1 — Profile family (inner shape geometry)</w:t>
      </w:r>
    </w:p>
    <w:p>
      <w:pPr>
        <w:spacing w:after="120"/>
        <w:jc w:val="left"/>
      </w:pPr>
      <w:r>
        <w:rPr>
          <w:rFonts w:ascii="Arial" w:cs="Arial" w:eastAsia="Arial" w:hAnsi="Arial"/>
          <w:b w:val="false"/>
          <w:bCs w:val="false"/>
          <w:color w:val="000000"/>
          <w:sz w:val="22"/>
          <w:szCs w:val="22"/>
        </w:rPr>
        <w:t xml:space="preserve">Organised by (Δ, Q14) where Δ = 1 − Q12 is the half-point unfinished rise and Q14 = B(1/4) is the quarter-point completion. The viable locus: Δ ≈ 0.31–0.46, Q14 ≈ 0.19–0.26.</w:t>
      </w:r>
    </w:p>
    <w:p>
      <w:pPr>
        <w:spacing w:after="80" w:before="180"/>
      </w:pPr>
      <w:r>
        <w:rPr>
          <w:rFonts w:ascii="Arial" w:cs="Arial" w:eastAsia="Arial" w:hAnsi="Arial"/>
          <w:b/>
          <w:bCs/>
          <w:color w:val="2E75B6"/>
          <w:sz w:val="24"/>
          <w:szCs w:val="24"/>
        </w:rPr>
        <w:t xml:space="preserve">Condition 2 — Sign gate (inner baryonic amplitude)</w:t>
      </w:r>
    </w:p>
    <w:p>
      <w:pPr>
        <w:spacing w:after="100" w:before="100"/>
        <w:jc w:val="center"/>
      </w:pPr>
      <w:r>
        <w:rPr>
          <w:rFonts w:ascii="Arial" w:cs="Arial" w:eastAsia="Arial" w:hAnsi="Arial"/>
          <w:color w:val="1a1a1a"/>
          <w:sz w:val="22"/>
          <w:szCs w:val="22"/>
        </w:rPr>
        <w:t xml:space="preserve">Ωin = V̅²har(rin) / V²obs(rin) &gt; 1</w:t>
      </w:r>
    </w:p>
    <w:p>
      <w:pPr>
        <w:spacing w:after="120"/>
        <w:jc w:val="left"/>
      </w:pPr>
      <w:r>
        <w:rPr>
          <w:rFonts w:ascii="Arial" w:cs="Arial" w:eastAsia="Arial" w:hAnsi="Arial"/>
          <w:b w:val="false"/>
          <w:bCs w:val="false"/>
          <w:color w:val="000000"/>
          <w:sz w:val="22"/>
          <w:szCs w:val="22"/>
        </w:rPr>
        <w:t xml:space="preserve">At fixed profile shape, the sign gate is decided by the absolute inner baryonic normalisation, not profile shape. The NGC3838/NGC3626 control pair demonstrates this directly: near-identical H(y) profiles (H(0.3) = 1.866 for both), but V̅har(rin) = 194 vs 284 km/s splits Ωin = 0.705 vs 1.316.</w:t>
      </w:r>
    </w:p>
    <w:p>
      <w:pPr>
        <w:spacing w:after="80" w:before="180"/>
      </w:pPr>
      <w:r>
        <w:rPr>
          <w:rFonts w:ascii="Arial" w:cs="Arial" w:eastAsia="Arial" w:hAnsi="Arial"/>
          <w:b/>
          <w:bCs/>
          <w:color w:val="2E75B6"/>
          <w:sz w:val="24"/>
          <w:szCs w:val="24"/>
        </w:rPr>
        <w:t xml:space="preserve">Condition 3 — Inner feasibility (S-threshold)</w:t>
      </w:r>
    </w:p>
    <w:p>
      <w:pPr>
        <w:spacing w:after="120"/>
        <w:jc w:val="left"/>
      </w:pPr>
      <w:r>
        <w:rPr>
          <w:rFonts w:ascii="Arial" w:cs="Arial" w:eastAsia="Arial" w:hAnsi="Arial"/>
          <w:b w:val="false"/>
          <w:bCs w:val="false"/>
          <w:color w:val="000000"/>
          <w:sz w:val="22"/>
          <w:szCs w:val="22"/>
        </w:rPr>
        <w:t xml:space="preserve">The completion variable S = Q14 / Δ organises Umax(B): the maximum unfinished-rise level the inner profile can sustain at any kernel width. The log-law:</w:t>
      </w:r>
    </w:p>
    <w:p>
      <w:pPr>
        <w:spacing w:after="100" w:before="100"/>
        <w:jc w:val="center"/>
      </w:pPr>
      <w:r>
        <w:rPr>
          <w:rFonts w:ascii="Arial" w:cs="Arial" w:eastAsia="Arial" w:hAnsi="Arial"/>
          <w:color w:val="1a1a1a"/>
          <w:sz w:val="22"/>
          <w:szCs w:val="22"/>
        </w:rPr>
        <w:t xml:space="preserve">Umax(B) ≈ 0.2324 − 0.0577 ln(S),   R² = 0.852,   Spearman r(log S, Umax) = −0.982</w:t>
      </w:r>
    </w:p>
    <w:p>
      <w:pPr>
        <w:spacing w:after="120"/>
        <w:jc w:val="left"/>
      </w:pPr>
      <w:r>
        <w:rPr>
          <w:rFonts w:ascii="Arial" w:cs="Arial" w:eastAsia="Arial" w:hAnsi="Arial"/>
          <w:b w:val="false"/>
          <w:bCs w:val="false"/>
          <w:color w:val="000000"/>
          <w:sz w:val="22"/>
          <w:szCs w:val="22"/>
        </w:rPr>
        <w:t xml:space="preserve">Threshold: S ≲ 1.70 → inner-feasible (15/16 correct; NGC5582 is the one borderline miss). Single-channel calibrators: S = 0.427, 0.534, 0.829. Inner-infeasible failures: S = 2.37, 6.82, 10.07, 30.63.</w:t>
      </w:r>
    </w:p>
    <w:p>
      <w:pPr>
        <w:spacing w:after="80" w:before="180"/>
      </w:pPr>
      <w:r>
        <w:rPr>
          <w:rFonts w:ascii="Arial" w:cs="Arial" w:eastAsia="Arial" w:hAnsi="Arial"/>
          <w:b/>
          <w:bCs/>
          <w:color w:val="2E75B6"/>
          <w:sz w:val="24"/>
          <w:szCs w:val="24"/>
        </w:rPr>
        <w:t xml:space="preserve">Condition 4 — Outer capacity (dynamical load)</w:t>
      </w:r>
    </w:p>
    <w:p>
      <w:pPr>
        <w:spacing w:after="100" w:before="100"/>
        <w:jc w:val="center"/>
      </w:pPr>
      <w:r>
        <w:rPr>
          <w:rFonts w:ascii="Arial" w:cs="Arial" w:eastAsia="Arial" w:hAnsi="Arial"/>
          <w:color w:val="1a1a1a"/>
          <w:sz w:val="22"/>
          <w:szCs w:val="22"/>
        </w:rPr>
        <w:t xml:space="preserve">u = (V²obs(rout) − V̅²har(rout)) / (Γ0 rout Rmax) ≤ 1</w:t>
      </w:r>
    </w:p>
    <w:p>
      <w:pPr>
        <w:spacing w:after="120"/>
        <w:jc w:val="left"/>
      </w:pPr>
      <w:r>
        <w:rPr>
          <w:rFonts w:ascii="Arial" w:cs="Arial" w:eastAsia="Arial" w:hAnsi="Arial"/>
          <w:b w:val="false"/>
          <w:bCs w:val="false"/>
          <w:color w:val="000000"/>
          <w:sz w:val="22"/>
          <w:szCs w:val="22"/>
        </w:rPr>
        <w:t xml:space="preserve">u is a dynamical-load variable, not a profile-shape variable. The best simple predictor is Xout = V²obs(rout)/(Γ0 rout), with Pearson r(Xout, u) = 0.972.</w:t>
      </w:r>
    </w:p>
    <w:p>
      <w:pPr>
        <w:pStyle w:val="Heading2"/>
        <w:spacing w:after="120" w:before="240"/>
      </w:pPr>
      <w:r>
        <w:rPr>
          <w:rFonts w:ascii="Arial" w:cs="Arial" w:eastAsia="Arial" w:hAnsi="Arial"/>
          <w:b/>
          <w:bCs/>
          <w:color w:val="2E75B6"/>
          <w:sz w:val="26"/>
          <w:szCs w:val="26"/>
        </w:rPr>
        <w:t xml:space="preserve">7.2  Independence of the four axes</w:t>
      </w:r>
    </w:p>
    <w:p>
      <w:pPr>
        <w:spacing w:after="120"/>
        <w:jc w:val="left"/>
      </w:pPr>
      <w:r>
        <w:rPr>
          <w:rFonts w:ascii="Arial" w:cs="Arial" w:eastAsia="Arial" w:hAnsi="Arial"/>
          <w:b w:val="false"/>
          <w:bCs w:val="false"/>
          <w:color w:val="000000"/>
          <w:sz w:val="22"/>
          <w:szCs w:val="22"/>
        </w:rPr>
        <w:t xml:space="preserve">The four conditions are genuinely independent. Key cross-correlations: r(Ωin, u) = −0.274, r(S, u) = 0.375, r(log S, u) = 0.515 (all weak). Inner failure is a profile-deformation problem; outer failure is a baryonic-retention problem. They are not the same mechanism.</w:t>
      </w:r>
    </w:p>
    <w:p>
      <w:pPr>
        <w:pStyle w:val="Heading2"/>
        <w:spacing w:after="120" w:before="240"/>
      </w:pPr>
      <w:r>
        <w:rPr>
          <w:rFonts w:ascii="Arial" w:cs="Arial" w:eastAsia="Arial" w:hAnsi="Arial"/>
          <w:b/>
          <w:bCs/>
          <w:color w:val="2E75B6"/>
          <w:sz w:val="26"/>
          <w:szCs w:val="26"/>
        </w:rPr>
        <w:t xml:space="preserve">7.3  Canonical ETG decision table (all 16, verified from raw files)</w:t>
      </w:r>
    </w:p>
    <w:p>
      <w:pPr>
        <w:spacing w:after="60" w:before="60"/>
      </w:pPr>
      <w:r>
        <w:t xml:space="preserve"/>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080"/>
        <w:gridCol w:w="760"/>
        <w:gridCol w:w="760"/>
        <w:gridCol w:w="900"/>
        <w:gridCol w:w="900"/>
        <w:gridCol w:w="820"/>
        <w:gridCol w:w="820"/>
        <w:gridCol w:w="1080"/>
        <w:gridCol w:w="820"/>
      </w:tblGrid>
      <w:tr>
        <w:tc>
          <w:tcPr>
            <w:tcW w:type="dxa" w:w="108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Galaxy</w:t>
            </w:r>
          </w:p>
        </w:tc>
        <w:tc>
          <w:tcPr>
            <w:tcW w:type="dxa" w:w="7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Δ</w:t>
            </w:r>
          </w:p>
        </w:tc>
        <w:tc>
          <w:tcPr>
            <w:tcW w:type="dxa" w:w="7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Q14</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Ωin</w:t>
            </w:r>
          </w:p>
        </w:tc>
        <w:tc>
          <w:tcPr>
            <w:tcW w:type="dxa" w:w="82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w:t>
            </w:r>
          </w:p>
        </w:tc>
        <w:tc>
          <w:tcPr>
            <w:tcW w:type="dxa" w:w="82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Umax</w:t>
            </w:r>
          </w:p>
        </w:tc>
        <w:tc>
          <w:tcPr>
            <w:tcW w:type="dxa" w:w="108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Class</w:t>
            </w:r>
          </w:p>
        </w:tc>
        <w:tc>
          <w:tcPr>
            <w:tcW w:type="dxa" w:w="82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rin (kpc)</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NGC2685</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0.4552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0.1944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0.427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1.1231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0.4981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0.272</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NGC2824</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0.6161</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0.1252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0.4529</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1.3118</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0.343</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0.360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NGC2859</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0.3505</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0.3381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0.965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0.8378</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1.4878</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0.223</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0.840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NGC2974</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0.2979</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0.3027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1.016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0.6030</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3.9166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0.217</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0.850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NGC3522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0.4846</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0.1386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0.286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0.4375</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0.7395</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0.282</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NGC3626</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0.3821</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0.2040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0.534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1.3160</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0.7334</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0.243</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0.370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NGC3838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0.3760</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0.2097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0.558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0.7052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0.9133</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0.235</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0.390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NGC3941</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0.3142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0.2606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0.829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1.2246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0.7738</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0.216</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A(edge)</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0.270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NGC3945</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0.2278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0.5396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2.369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0.6882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1.6309</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0.167</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1.010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NGC3998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0.0219</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0.6722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30.63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0.4735</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2.5880</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0.088</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0.500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NGC4203</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0.0617</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0.6208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10.07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1.2757</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1.3374</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0.107</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D2 (2ch)</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0.460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NGC4262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0.3887</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0.2027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0.4159</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2.2636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0.245</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NGC4278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0.0927</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0.6327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6.824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0.5656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2.8116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0.112</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0.850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NGC5582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0.2178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0.3587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1.647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0.5539</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1.5049</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0.178</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D2*</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0.680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NGC6798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0.6899</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0.0887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0.129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0.2378</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0.7606</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0.388</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0.900</w:t>
            </w:r>
          </w:p>
        </w:tc>
      </w:tr>
      <w:tr>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UGC6176</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0.6690</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0.1655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0.247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0.2491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0.8817</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0.414</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0.170</w:t>
            </w:r>
          </w:p>
        </w:tc>
      </w:tr>
    </w:tbl>
    <w:p>
      <w:pPr>
        <w:spacing w:after="60" w:before="60"/>
      </w:pPr>
      <w:r>
        <w:t xml:space="preserve"/>
      </w:r>
    </w:p>
    <w:p>
      <w:pPr>
        <w:spacing w:after="80" w:before="80"/>
      </w:pPr>
      <w:r>
        <w:rPr>
          <w:rFonts w:ascii="Arial" w:cs="Arial" w:eastAsia="Arial" w:hAnsi="Arial"/>
          <w:color w:val="555555"/>
          <w:sz w:val="20"/>
          <w:szCs w:val="20"/>
        </w:rPr>
        <w:t xml:space="preserve">All values verified from raw ETG files. rin values for NGC2685, NGC3626, NGC3941, NGC4203 are canonical locked values. Class A = single-channel H+ calibrator. *D2 = borderline miss on S-threshold.</w:t>
      </w:r>
    </w:p>
    <w:p>
      <w:pPr>
        <w:pStyle w:val="Heading1"/>
        <w:spacing w:after="160" w:before="320"/>
      </w:pPr>
      <w:r>
        <w:rPr>
          <w:rFonts w:ascii="Arial" w:cs="Arial" w:eastAsia="Arial" w:hAnsi="Arial"/>
          <w:b/>
          <w:bCs/>
          <w:color w:val="1F3864"/>
          <w:sz w:val="32"/>
          <w:szCs w:val="32"/>
        </w:rPr>
        <w:t xml:space="preserve">8.  Inner Failure Routes</w:t>
      </w:r>
    </w:p>
    <w:p>
      <w:pPr>
        <w:spacing w:after="120"/>
        <w:jc w:val="left"/>
      </w:pPr>
      <w:r>
        <w:rPr>
          <w:rFonts w:ascii="Arial" w:cs="Arial" w:eastAsia="Arial" w:hAnsi="Arial"/>
          <w:b w:val="false"/>
          <w:bCs w:val="false"/>
          <w:color w:val="000000"/>
          <w:sz w:val="22"/>
          <w:szCs w:val="22"/>
        </w:rPr>
        <w:t xml:space="preserve">S = Q14/Δ spans three orders of magnitude across the ETG sample. The blow-up decomposes into two distinct routes, verified by decomposing ln S = ln Q14 − ln Δ relative to the single-channel calibrator baseline:</w:t>
      </w:r>
    </w:p>
    <w:p>
      <w:pPr>
        <w:spacing w:after="120"/>
        <w:jc w:val="left"/>
      </w:pPr>
      <w:r>
        <w:rPr>
          <w:rFonts w:ascii="Arial" w:cs="Arial" w:eastAsia="Arial" w:hAnsi="Arial"/>
          <w:b w:val="false"/>
          <w:bCs w:val="false"/>
          <w:color w:val="000000"/>
          <w:sz w:val="22"/>
          <w:szCs w:val="22"/>
        </w:rPr>
        <w:t xml:space="preserve">Route A — Quarter-point inflation (Δ-collapse subdominant): NGC2859 (S = 0.965), NGC3945 (S = 2.369).</w:t>
      </w:r>
    </w:p>
    <w:p>
      <w:pPr>
        <w:spacing w:after="120"/>
        <w:jc w:val="left"/>
      </w:pPr>
      <w:r>
        <w:rPr>
          <w:rFonts w:ascii="Arial" w:cs="Arial" w:eastAsia="Arial" w:hAnsi="Arial"/>
          <w:b w:val="false"/>
          <w:bCs w:val="false"/>
          <w:color w:val="000000"/>
          <w:sz w:val="22"/>
          <w:szCs w:val="22"/>
        </w:rPr>
        <w:t xml:space="preserve">Route B — Half-point collapse (Δ-collapse dominant): NGC3998 (S = 30.63), NGC4203 (S = 10.07). In both cases Δ = 1 − Q12 collapses toward zero while Q14 also rises.</w:t>
      </w:r>
    </w:p>
    <w:p>
      <w:pPr>
        <w:spacing w:after="120"/>
        <w:jc w:val="left"/>
      </w:pPr>
      <w:r>
        <w:rPr>
          <w:rFonts w:ascii="Arial" w:cs="Arial" w:eastAsia="Arial" w:hAnsi="Arial"/>
          <w:b w:val="false"/>
          <w:bCs w:val="false"/>
          <w:color w:val="000000"/>
          <w:sz w:val="22"/>
          <w:szCs w:val="22"/>
        </w:rPr>
        <w:t xml:space="preserve">Mixed (both contribute materially): NGC2974, NGC4278, NGC5582.</w:t>
      </w:r>
    </w:p>
    <w:p>
      <w:pPr>
        <w:spacing w:after="120"/>
        <w:jc w:val="left"/>
      </w:pPr>
      <w:r>
        <w:rPr>
          <w:rFonts w:ascii="Arial" w:cs="Arial" w:eastAsia="Arial" w:hAnsi="Arial"/>
          <w:b w:val="false"/>
          <w:bCs w:val="false"/>
          <w:color w:val="000000"/>
          <w:sz w:val="22"/>
          <w:szCs w:val="22"/>
        </w:rPr>
        <w:t xml:space="preserve">Supporting correlations: r(−lnΔ, Q14) = 0.922, r(−lnΔ, Q34) = 0.759, r(−lnΔ, Q90) = 0.678. The inner blow-up is not a late-only overshoot effect; the whole inner profile is pushed upward simultaneously, with the half-point collapse as the most explosive component of the ratio.</w:t>
      </w:r>
    </w:p>
    <w:p>
      <w:pPr>
        <w:pStyle w:val="Heading1"/>
        <w:spacing w:after="160" w:before="320"/>
      </w:pPr>
      <w:r>
        <w:rPr>
          <w:rFonts w:ascii="Arial" w:cs="Arial" w:eastAsia="Arial" w:hAnsi="Arial"/>
          <w:b/>
          <w:bCs/>
          <w:color w:val="1F3864"/>
          <w:sz w:val="32"/>
          <w:szCs w:val="32"/>
        </w:rPr>
        <w:t xml:space="preserve">9.  Outer Gate Structure</w:t>
      </w:r>
    </w:p>
    <w:p>
      <w:pPr>
        <w:pStyle w:val="Heading2"/>
        <w:spacing w:after="120" w:before="240"/>
      </w:pPr>
      <w:r>
        <w:rPr>
          <w:rFonts w:ascii="Arial" w:cs="Arial" w:eastAsia="Arial" w:hAnsi="Arial"/>
          <w:b/>
          <w:bCs/>
          <w:color w:val="2E75B6"/>
          <w:sz w:val="26"/>
          <w:szCs w:val="26"/>
        </w:rPr>
        <w:t xml:space="preserve">9.1  Exact outer viability boundary</w:t>
      </w:r>
    </w:p>
    <w:p>
      <w:pPr>
        <w:spacing w:after="120"/>
        <w:jc w:val="left"/>
      </w:pPr>
      <w:r>
        <w:rPr>
          <w:rFonts w:ascii="Arial" w:cs="Arial" w:eastAsia="Arial" w:hAnsi="Arial"/>
          <w:b w:val="false"/>
          <w:bCs w:val="false"/>
          <w:color w:val="000000"/>
          <w:sz w:val="22"/>
          <w:szCs w:val="22"/>
        </w:rPr>
        <w:t xml:space="preserve">Starting from the exact identity:</w:t>
      </w:r>
    </w:p>
    <w:p>
      <w:pPr>
        <w:spacing w:after="100" w:before="100"/>
        <w:jc w:val="center"/>
      </w:pPr>
      <w:r>
        <w:rPr>
          <w:rFonts w:ascii="Arial" w:cs="Arial" w:eastAsia="Arial" w:hAnsi="Arial"/>
          <w:color w:val="1a1a1a"/>
          <w:sz w:val="22"/>
          <w:szCs w:val="22"/>
        </w:rPr>
        <w:t xml:space="preserve">u = (Xout − Bout) / Rmax,   Xout = V²obs(rout) / (Γ0 rout),   Bout = V̅²har(rout) / (Γ0 rout)</w:t>
      </w:r>
    </w:p>
    <w:p>
      <w:pPr>
        <w:spacing w:after="120"/>
        <w:jc w:val="left"/>
      </w:pPr>
      <w:r>
        <w:rPr>
          <w:rFonts w:ascii="Arial" w:cs="Arial" w:eastAsia="Arial" w:hAnsi="Arial"/>
          <w:b w:val="false"/>
          <w:bCs w:val="false"/>
          <w:color w:val="000000"/>
          <w:sz w:val="22"/>
          <w:szCs w:val="22"/>
        </w:rPr>
        <w:t xml:space="preserve">with Bout = Xout(Rd + Rb), the exact viability boundary u &lt; 1 is:</w:t>
      </w:r>
    </w:p>
    <w:p>
      <w:pPr>
        <w:spacing w:after="100" w:before="100"/>
        <w:jc w:val="center"/>
      </w:pPr>
      <w:r>
        <w:rPr>
          <w:rFonts w:ascii="Arial" w:cs="Arial" w:eastAsia="Arial" w:hAnsi="Arial"/>
          <w:color w:val="1a1a1a"/>
          <w:sz w:val="22"/>
          <w:szCs w:val="22"/>
        </w:rPr>
        <w:t xml:space="preserve">Xout &lt; Rmax / (1 − Rd − Rb)</w:t>
      </w:r>
    </w:p>
    <w:p>
      <w:pPr>
        <w:spacing w:after="120"/>
        <w:jc w:val="left"/>
      </w:pPr>
      <w:r>
        <w:rPr>
          <w:rFonts w:ascii="Arial" w:cs="Arial" w:eastAsia="Arial" w:hAnsi="Arial"/>
          <w:b w:val="false"/>
          <w:bCs w:val="false"/>
          <w:color w:val="000000"/>
          <w:sz w:val="22"/>
          <w:szCs w:val="22"/>
        </w:rPr>
        <w:t xml:space="preserve">where Rd = 0.5 V²disk(rout) / V²obs(rout) and Rb = 0.7 V²bul(rout) / V²obs(rout). The disk-only reduction Xout &lt; Rmax/(1 − Rd) classifies all 16 ETGs correctly. This is a two-coordinate geometric condition, not a heuristic.</w:t>
      </w:r>
    </w:p>
    <w:p>
      <w:pPr>
        <w:pStyle w:val="Heading2"/>
        <w:spacing w:after="120" w:before="240"/>
      </w:pPr>
      <w:r>
        <w:rPr>
          <w:rFonts w:ascii="Arial" w:cs="Arial" w:eastAsia="Arial" w:hAnsi="Arial"/>
          <w:b/>
          <w:bCs/>
          <w:color w:val="2E75B6"/>
          <w:sz w:val="26"/>
          <w:szCs w:val="26"/>
        </w:rPr>
        <w:t xml:space="preserve">9.2  The radial load curve and exact boundary margin (new in v8)</w:t>
      </w:r>
    </w:p>
    <w:p>
      <w:pPr>
        <w:spacing w:after="120"/>
        <w:jc w:val="left"/>
      </w:pPr>
      <w:r>
        <w:rPr>
          <w:rFonts w:ascii="Arial" w:cs="Arial" w:eastAsia="Arial" w:hAnsi="Arial"/>
          <w:b w:val="false"/>
          <w:bCs w:val="false"/>
          <w:color w:val="000000"/>
          <w:sz w:val="22"/>
          <w:szCs w:val="22"/>
        </w:rPr>
        <w:t xml:space="preserve">The radial load is defined at every radius:</w:t>
      </w:r>
    </w:p>
    <w:p>
      <w:pPr>
        <w:spacing w:after="100" w:before="100"/>
        <w:jc w:val="center"/>
      </w:pPr>
      <w:r>
        <w:rPr>
          <w:rFonts w:ascii="Arial" w:cs="Arial" w:eastAsia="Arial" w:hAnsi="Arial"/>
          <w:color w:val="1a1a1a"/>
          <w:sz w:val="22"/>
          <w:szCs w:val="22"/>
        </w:rPr>
        <w:t xml:space="preserve">u(r) = [V²obs(r) − 0.5 V²disk(r) − 0.7 V²bul(r)] / (Γ0 r Rmax)</w:t>
      </w:r>
    </w:p>
    <w:p>
      <w:pPr>
        <w:spacing w:after="120"/>
        <w:jc w:val="left"/>
      </w:pPr>
      <w:r>
        <w:rPr>
          <w:rFonts w:ascii="Arial" w:cs="Arial" w:eastAsia="Arial" w:hAnsi="Arial"/>
          <w:b w:val="false"/>
          <w:bCs w:val="false"/>
          <w:color w:val="000000"/>
          <w:sz w:val="22"/>
          <w:szCs w:val="22"/>
        </w:rPr>
        <w:t xml:space="preserve">with Vdisk and Vbul taken from the high-resolution component files. This formula reproduces the v9 outer-table u(rout) values exactly to roundoff for all 16 ETGs (verified from raw files).</w:t>
      </w:r>
    </w:p>
    <w:p>
      <w:pPr>
        <w:spacing w:after="120"/>
        <w:jc w:val="left"/>
      </w:pPr>
      <w:r>
        <w:rPr>
          <w:rFonts w:ascii="Arial" w:cs="Arial" w:eastAsia="Arial" w:hAnsi="Arial"/>
          <w:b w:val="false"/>
          <w:bCs w:val="false"/>
          <w:color w:val="000000"/>
          <w:sz w:val="22"/>
          <w:szCs w:val="22"/>
        </w:rPr>
        <w:t xml:space="preserve">The exact algebraic identity relating the radial load to the outer boundary is:</w:t>
      </w:r>
    </w:p>
    <w:p>
      <w:pPr>
        <w:spacing w:after="100" w:before="100"/>
        <w:jc w:val="center"/>
      </w:pPr>
      <w:r>
        <w:rPr>
          <w:rFonts w:ascii="Arial" w:cs="Arial" w:eastAsia="Arial" w:hAnsi="Arial"/>
          <w:color w:val="1a1a1a"/>
          <w:sz w:val="22"/>
          <w:szCs w:val="22"/>
        </w:rPr>
        <w:t xml:space="preserve">u = Xout (1 − Rd − Rb) / Rmax = Xout / Xcrit</w:t>
      </w:r>
    </w:p>
    <w:p>
      <w:pPr>
        <w:spacing w:after="120"/>
        <w:jc w:val="left"/>
      </w:pPr>
      <w:r>
        <w:rPr>
          <w:rFonts w:ascii="Arial" w:cs="Arial" w:eastAsia="Arial" w:hAnsi="Arial"/>
          <w:b w:val="false"/>
          <w:bCs w:val="false"/>
          <w:color w:val="000000"/>
          <w:sz w:val="22"/>
          <w:szCs w:val="22"/>
        </w:rPr>
        <w:t xml:space="preserve">The outer slack variable is therefore:</w:t>
      </w:r>
    </w:p>
    <w:p>
      <w:pPr>
        <w:spacing w:after="100" w:before="100"/>
        <w:jc w:val="center"/>
      </w:pPr>
      <w:r>
        <w:rPr>
          <w:rFonts w:ascii="Arial" w:cs="Arial" w:eastAsia="Arial" w:hAnsi="Arial"/>
          <w:color w:val="1a1a1a"/>
          <w:sz w:val="22"/>
          <w:szCs w:val="22"/>
        </w:rPr>
        <w:t xml:space="preserve">δu ≡ 1 − u = (Xcrit − Xout) / Xcrit</w:t>
      </w:r>
    </w:p>
    <w:p>
      <w:pPr>
        <w:spacing w:after="120"/>
        <w:jc w:val="left"/>
      </w:pPr>
      <w:r>
        <w:rPr>
          <w:rFonts w:ascii="Arial" w:cs="Arial" w:eastAsia="Arial" w:hAnsi="Arial"/>
          <w:b w:val="false"/>
          <w:bCs w:val="false"/>
          <w:color w:val="000000"/>
          <w:sz w:val="22"/>
          <w:szCs w:val="22"/>
        </w:rPr>
        <w:t xml:space="preserve">This is exact (not approximate) and holds to roundoff for all 16 ETGs. δu is the normalised distance from the observed system to the solved outer boundary. The full δu table is given below.</w:t>
      </w:r>
    </w:p>
    <w:p>
      <w:pPr>
        <w:spacing w:after="60" w:before="60"/>
      </w:pPr>
      <w: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500"/>
        <w:gridCol w:w="1460"/>
      </w:tblGrid>
      <w:tr>
        <w:tc>
          <w:tcPr>
            <w:tcW w:type="dxa" w:w="1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Galaxy</w:t>
            </w:r>
          </w:p>
        </w:tc>
        <w:tc>
          <w:tcPr>
            <w:tcW w:type="dxa" w:w="11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Xout</w:t>
            </w:r>
          </w:p>
        </w:tc>
        <w:tc>
          <w:tcPr>
            <w:tcW w:type="dxa" w:w="11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Xcrit</w:t>
            </w:r>
          </w:p>
        </w:tc>
        <w:tc>
          <w:tcPr>
            <w:tcW w:type="dxa" w:w="15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 = Xout/Xcrit</w:t>
            </w:r>
          </w:p>
        </w:tc>
        <w:tc>
          <w:tcPr>
            <w:tcW w:type="dxa" w:w="14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δu = 1−u</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NGC2685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1.0249</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2.0576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0.4981</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+0.5019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NGC2824</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4.2190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3.2161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1.3118</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−0.3118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NGC2859</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3.9063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2.6255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1.4878</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−0.4878</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NGC2974</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9.7415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2.4872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3.9166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−2.9166</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NGC3522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1.7415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2.3550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0.7395</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+0.2605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NGC3626</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2.6473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3.6095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0.7334</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+0.2666</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NGC3838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1.8579</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2.0343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0.9133</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+0.0867</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NGC3941</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2.3075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2.9821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0.7738</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+0.2262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4.8259</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2.9590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1.6309</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−0.6309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NGC3998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5.5674</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2.1512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2.5880</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−1.5880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NGC4203</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3.3136</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2.4777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1.3374</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−0.3374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NGC4262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5.0106</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2.2135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2.2636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−1.2636</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NGC4278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7.2244</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2.5695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2.8116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−1.8116</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NGC5582</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2.8725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1.9088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1.5049</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−0.5049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NGC6798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1.6428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2.1599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0.7606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+0.2394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UGC6176</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2.2398</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2.5403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0.8817</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+0.1183</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9.3  Two viable outer routes and the crossing structure (new in v8)</w:t>
      </w:r>
    </w:p>
    <w:p>
      <w:pPr>
        <w:spacing w:after="120"/>
        <w:jc w:val="left"/>
      </w:pPr>
      <w:r>
        <w:rPr>
          <w:rFonts w:ascii="Arial" w:cs="Arial" w:eastAsia="Arial" w:hAnsi="Arial"/>
          <w:b w:val="false"/>
          <w:bCs w:val="false"/>
          <w:color w:val="000000"/>
          <w:sz w:val="22"/>
          <w:szCs w:val="22"/>
        </w:rPr>
        <w:t xml:space="preserve">For each outer-viable ETG, the outermost downward crossing of u(r) = 1 was identified from the raw files. Results confirm two structurally distinct viable outer routes:</w:t>
      </w:r>
    </w:p>
    <w:p>
      <w:pPr>
        <w:spacing w:after="120"/>
        <w:jc w:val="left"/>
      </w:pPr>
      <w:r>
        <w:rPr>
          <w:rFonts w:ascii="Arial" w:cs="Arial" w:eastAsia="Arial" w:hAnsi="Arial"/>
          <w:b w:val="false"/>
          <w:bCs w:val="false"/>
          <w:color w:val="000000"/>
          <w:sz w:val="22"/>
          <w:szCs w:val="22"/>
        </w:rPr>
        <w:t xml:space="preserve">Route 1 — Low-load (NGC2685): crosses u = 1 at r/rout ≈ 0.49. By rout the system sits deep inside the viable region (δu = 0.502). No reliance on baryonic cancellation.</w:t>
      </w:r>
    </w:p>
    <w:p>
      <w:pPr>
        <w:spacing w:after="120"/>
        <w:jc w:val="left"/>
      </w:pPr>
      <w:r>
        <w:rPr>
          <w:rFonts w:ascii="Arial" w:cs="Arial" w:eastAsia="Arial" w:hAnsi="Arial"/>
          <w:b w:val="false"/>
          <w:bCs w:val="false"/>
          <w:color w:val="000000"/>
          <w:sz w:val="22"/>
          <w:szCs w:val="22"/>
        </w:rPr>
        <w:t xml:space="preserve">Route 2 — Disk-buffered (NGC3626, NGC3838, NGC3522, NGC3941, NGC6798, UGC6176): crossing occurs late, at r/rout in the range 0.78–0.96. The observed rout sits only 5–28% beyond the threshold crossing. Viability is boundary-mediated through disk cancellation (Rd).</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800"/>
        <w:gridCol w:w="1300"/>
        <w:gridCol w:w="1060"/>
      </w:tblGrid>
      <w:tr>
        <w:tc>
          <w:tcPr>
            <w:tcW w:type="dxa" w:w="1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Galaxy</w:t>
            </w:r>
          </w:p>
        </w:tc>
        <w:tc>
          <w:tcPr>
            <w:tcW w:type="dxa" w:w="1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rout</w:t>
            </w:r>
          </w:p>
        </w:tc>
        <w:tc>
          <w:tcPr>
            <w:tcW w:type="dxa" w:w="1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u(rout)</w:t>
            </w:r>
          </w:p>
        </w:tc>
        <w:tc>
          <w:tcPr>
            <w:tcW w:type="dxa" w:w="18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Outermost u=1 crossing</w:t>
            </w:r>
          </w:p>
        </w:tc>
        <w:tc>
          <w:tcPr>
            <w:tcW w:type="dxa" w:w="13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r_cross/rout</w:t>
            </w:r>
          </w:p>
        </w:tc>
        <w:tc>
          <w:tcPr>
            <w:tcW w:type="dxa" w:w="10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δu</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NGC2685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24.98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0.4981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12.22</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0.489</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0.5019</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NGC3522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10.38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0.7395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8.94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0.861</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0.2605</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NGC3626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13.32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0.7334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11.24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0.843</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0.2666</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NGC3838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16.80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0.9133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16.01</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0.953</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0.0867</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11.72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0.7738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9.94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0.848</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0.2262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NGC6798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27.13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0.7606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21.23</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0.783</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0.2394</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UGC6176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11.43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0.8817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10.65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0.932</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0.1183</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The branch split is cleanly confirmed: δu = 0.502 for the low-load system vs 0.087–0.267 for the buffered set. The outer control variable δu is the single exact scalar organising both routes.</w:t>
      </w:r>
    </w:p>
    <w:p>
      <w:pPr>
        <w:pStyle w:val="Heading2"/>
        <w:spacing w:after="120" w:before="240"/>
      </w:pPr>
      <w:r>
        <w:rPr>
          <w:rFonts w:ascii="Arial" w:cs="Arial" w:eastAsia="Arial" w:hAnsi="Arial"/>
          <w:b/>
          <w:bCs/>
          <w:color w:val="2E75B6"/>
          <w:sz w:val="26"/>
          <w:szCs w:val="26"/>
        </w:rPr>
        <w:t xml:space="preserve">9.4  Buffered branch radial profile structure (new in v8)</w:t>
      </w:r>
    </w:p>
    <w:p>
      <w:pPr>
        <w:spacing w:after="120"/>
        <w:jc w:val="left"/>
      </w:pPr>
      <w:r>
        <w:rPr>
          <w:rFonts w:ascii="Arial" w:cs="Arial" w:eastAsia="Arial" w:hAnsi="Arial"/>
          <w:b w:val="false"/>
          <w:bCs w:val="false"/>
          <w:color w:val="000000"/>
          <w:sz w:val="22"/>
          <w:szCs w:val="22"/>
        </w:rPr>
        <w:t xml:space="preserve">Buffered outer-viable ETGs share a common rescaled radial approach profile near the u = 1 threshold. When radius is scaled by the outermost crossing radius r_{u=1}, the six buffered galaxies collapse tightly in the neighbourhood of the threshold. On the all-six shared window 0.92 ≤ x = r/r_{u=1} ≤ 1.04, the common constrained quadratic local law is:</w:t>
      </w:r>
    </w:p>
    <w:p>
      <w:pPr>
        <w:spacing w:after="100" w:before="100"/>
        <w:jc w:val="center"/>
      </w:pPr>
      <w:r>
        <w:rPr>
          <w:rFonts w:ascii="Arial" w:cs="Arial" w:eastAsia="Arial" w:hAnsi="Arial"/>
          <w:color w:val="1a1a1a"/>
          <w:sz w:val="22"/>
          <w:szCs w:val="22"/>
        </w:rPr>
        <w:t xml:space="preserve">u(x) ≈ 1 − 1.588 (x−1) + 1.392 (x−1)²</w:t>
      </w:r>
    </w:p>
    <w:p>
      <w:pPr>
        <w:spacing w:after="120"/>
        <w:jc w:val="left"/>
      </w:pPr>
      <w:r>
        <w:rPr>
          <w:rFonts w:ascii="Arial" w:cs="Arial" w:eastAsia="Arial" w:hAnsi="Arial"/>
          <w:b w:val="false"/>
          <w:bCs w:val="false"/>
          <w:color w:val="000000"/>
          <w:sz w:val="22"/>
          <w:szCs w:val="22"/>
        </w:rPr>
        <w:t xml:space="preserve">Per-galaxy RMSE against this common law: NGC3522 = 0.013, NGC3626 = 0.002, NGC3838 = 0.012, NGC3941 = 0.009, NGC6798 = 0.023, UGC6176 = 0.005. The collapse is real but not exact; there is a residual one-mode structure (PC1 explains 99.87% of residual variance).</w:t>
      </w:r>
    </w:p>
    <w:p>
      <w:pPr>
        <w:spacing w:after="120"/>
        <w:jc w:val="left"/>
      </w:pPr>
      <w:r>
        <w:rPr>
          <w:rFonts w:ascii="Arial" w:cs="Arial" w:eastAsia="Arial" w:hAnsi="Arial"/>
          <w:b w:val="false"/>
          <w:bCs w:val="false"/>
          <w:color w:val="000000"/>
          <w:sz w:val="22"/>
          <w:szCs w:val="22"/>
        </w:rPr>
        <w:t xml:space="preserve">The dominant residual is a steepness mode: NGC3522 and NGC3838 are steeper-than-mean through the threshold; NGC3941 and NGC6798 are shallower. Individual quadratic local-slope coefficients (c1) range from −1.05 (NGC6798, shallowest) to −1.87 (NGC3522, steepest). NGC6798 is the shallow extreme of the same mode, not a separate branch (confirmed by 5-galaxy projection: mode-shape correlation 0.9994, NGC6798 residual variance explained by 5-gal mode = 99.63%).</w:t>
      </w:r>
    </w:p>
    <w:p>
      <w:pPr>
        <w:spacing w:after="120"/>
        <w:jc w:val="left"/>
      </w:pPr>
      <w:r>
        <w:rPr>
          <w:rFonts w:ascii="Arial" w:cs="Arial" w:eastAsia="Arial" w:hAnsi="Arial"/>
          <w:b w:val="false"/>
          <w:bCs w:val="false"/>
          <w:color w:val="000000"/>
          <w:sz w:val="22"/>
          <w:szCs w:val="22"/>
        </w:rPr>
        <w:t xml:space="preserve">The best empirical scalar organiser of the residual mode amplitude is Z = log(Rb/δu) + αS where S = Q14/Δ is the inner completion variable and α ≈ 0.30 (functional LOO ≈ 0.0017 on the shared window, verified from raw files). This improves on log(Rb/δu) alone (LOO = 0.00412) and on log(Rb·x_cross/δu) (LOO = 0.00374). The canonical reproducible pair(Rb, δu) LOO is 0.00539. The combined scalar beats the pair, confirming the mode is effectively one-dimensional in outer variables plus an inner shape correction. The inner correction is anchored by NGC3941 (highest S in the buffered set); the result survives rank-order and clipped-S robustness tests.</w:t>
      </w:r>
    </w:p>
    <w:p>
      <w:pPr>
        <w:spacing w:after="80" w:before="80"/>
      </w:pPr>
      <w:r>
        <w:rPr>
          <w:rFonts w:ascii="Arial" w:cs="Arial" w:eastAsia="Arial" w:hAnsi="Arial"/>
          <w:color w:val="555555"/>
          <w:sz w:val="20"/>
          <w:szCs w:val="20"/>
        </w:rPr>
        <w:t xml:space="preserve">Note: The pair(Rb, δu) LOO value cited in earlier drafts as 0.022 cannot be reproduced from any consistent implementation; the canonical value is 0.00539. All LOO values in this section are verified from raw files using the canonical functional LOO implementation.</w:t>
      </w:r>
    </w:p>
    <w:p>
      <w:pPr>
        <w:pStyle w:val="Heading2"/>
        <w:spacing w:after="120" w:before="240"/>
      </w:pPr>
      <w:r>
        <w:rPr>
          <w:rFonts w:ascii="Arial" w:cs="Arial" w:eastAsia="Arial" w:hAnsi="Arial"/>
          <w:b/>
          <w:bCs/>
          <w:color w:val="2E75B6"/>
          <w:sz w:val="26"/>
          <w:szCs w:val="26"/>
        </w:rPr>
        <w:t xml:space="preserve">9.5  Near-boundary margins (disk-only, Xcrit−Xout)</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tblGrid>
      <w:tr>
        <w:tc>
          <w:tcPr>
            <w:tcW w:type="dxa" w:w="18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Galaxy</w:t>
            </w:r>
          </w:p>
        </w:tc>
        <w:tc>
          <w:tcPr>
            <w:tcW w:type="dxa" w:w="14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Margin</w:t>
            </w:r>
          </w:p>
        </w:tc>
        <w:tc>
          <w:tcPr>
            <w:tcW w:type="dxa" w:w="14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Side</w:t>
            </w:r>
          </w:p>
        </w:tc>
        <w:tc>
          <w:tcPr>
            <w:tcW w:type="dxa" w:w="27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Note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NGC3626</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+0.012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tightest viable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UGC6176</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+0.021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NGC3838</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+0.030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sign-wrong control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NGC3522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+0.089</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wrong profile family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NGC5582</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−1.044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closest fail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NGC4203</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−1.184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two-channel 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NGC2824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−1.604</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NGC2859</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−1.640</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non-viable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9.6  Cancellation sector</w:t>
      </w:r>
    </w:p>
    <w:p>
      <w:pPr>
        <w:spacing w:after="120"/>
        <w:jc w:val="left"/>
      </w:pPr>
      <w:r>
        <w:rPr>
          <w:rFonts w:ascii="Arial" w:cs="Arial" w:eastAsia="Arial" w:hAnsi="Arial"/>
          <w:b w:val="false"/>
          <w:bCs w:val="false"/>
          <w:color w:val="000000"/>
          <w:sz w:val="22"/>
          <w:szCs w:val="22"/>
        </w:rPr>
        <w:t xml:space="preserve">The outer cancellation ratio R = Bout/Xout decomposes exactly as R = Rd + Rb. Across all 16 ETGs: r(Rd, R) = 0.905, r(Rb, R) = 0.544. In the moderate/high-load subset (Xout &gt; 2): r(Rd, R) = 0.925, r(Rb, R) = 0.529. The cancellation sector is effectively disk-carried in the regime where it matters.</w:t>
      </w:r>
    </w:p>
    <w:p>
      <w:pPr>
        <w:spacing w:after="120"/>
        <w:jc w:val="left"/>
      </w:pPr>
      <w:r>
        <w:rPr>
          <w:rFonts w:ascii="Arial" w:cs="Arial" w:eastAsia="Arial" w:hAnsi="Arial"/>
          <w:b w:val="false"/>
          <w:bCs w:val="false"/>
          <w:color w:val="000000"/>
          <w:sz w:val="22"/>
          <w:szCs w:val="22"/>
        </w:rPr>
        <w:t xml:space="preserve">The outer bulge component Vbul(r) follows a Keplerian tail (Vbul ∝ r^{−1/2}, log-slope = −0.500 to 4 decimal places) for all six buffered ETGs at their outer edges. This is a common structural property of the buffered branch, not a coincidence of any individual galaxy.</w:t>
      </w:r>
    </w:p>
    <w:p>
      <w:pPr>
        <w:pStyle w:val="Heading1"/>
        <w:spacing w:after="160" w:before="320"/>
      </w:pPr>
      <w:r>
        <w:rPr>
          <w:rFonts w:ascii="Arial" w:cs="Arial" w:eastAsia="Arial" w:hAnsi="Arial"/>
          <w:b/>
          <w:bCs/>
          <w:color w:val="1F3864"/>
          <w:sz w:val="32"/>
          <w:szCs w:val="32"/>
        </w:rPr>
        <w:t xml:space="preserve">10.  Outer Chain Reduction</w:t>
      </w:r>
    </w:p>
    <w:p>
      <w:pPr>
        <w:pStyle w:val="Heading2"/>
        <w:spacing w:after="120" w:before="240"/>
      </w:pPr>
      <w:r>
        <w:rPr>
          <w:rFonts w:ascii="Arial" w:cs="Arial" w:eastAsia="Arial" w:hAnsi="Arial"/>
          <w:b/>
          <w:bCs/>
          <w:color w:val="2E75B6"/>
          <w:sz w:val="26"/>
          <w:szCs w:val="26"/>
        </w:rPr>
        <w:t xml:space="preserve">10.1  Stage-4 disk force law</w:t>
      </w:r>
    </w:p>
    <w:p>
      <w:pPr>
        <w:spacing w:after="120"/>
        <w:jc w:val="left"/>
      </w:pPr>
      <w:r>
        <w:rPr>
          <w:rFonts w:ascii="Arial" w:cs="Arial" w:eastAsia="Arial" w:hAnsi="Arial"/>
          <w:b w:val="false"/>
          <w:bCs w:val="false"/>
          <w:color w:val="000000"/>
          <w:sz w:val="22"/>
          <w:szCs w:val="22"/>
        </w:rPr>
        <w:t xml:space="preserve">From the exact identity Rd = (0.5/Γ0 Xout) × V²disk(rout)/rout, the disk-only viability boundary is equivalent to:</w:t>
      </w:r>
    </w:p>
    <w:p>
      <w:pPr>
        <w:spacing w:after="100" w:before="100"/>
        <w:jc w:val="center"/>
      </w:pPr>
      <w:r>
        <w:rPr>
          <w:rFonts w:ascii="Arial" w:cs="Arial" w:eastAsia="Arial" w:hAnsi="Arial"/>
          <w:color w:val="1a1a1a"/>
          <w:sz w:val="22"/>
          <w:szCs w:val="22"/>
        </w:rPr>
        <w:t xml:space="preserve">Xout &lt; Rmax + (0.5/Γ0) × V²disk(rout)/rout</w:t>
      </w:r>
    </w:p>
    <w:p>
      <w:pPr>
        <w:spacing w:after="120"/>
        <w:jc w:val="left"/>
      </w:pPr>
      <w:r>
        <w:rPr>
          <w:rFonts w:ascii="Arial" w:cs="Arial" w:eastAsia="Arial" w:hAnsi="Arial"/>
          <w:b w:val="false"/>
          <w:bCs w:val="false"/>
          <w:color w:val="000000"/>
          <w:sz w:val="22"/>
          <w:szCs w:val="22"/>
        </w:rPr>
        <w:t xml:space="preserve">The gate disk-force term is organised empirically by a density-plus-geometry law. Log-log fit results (full ETG sample, verified from raw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1700"/>
        <w:gridCol w:w="1960"/>
      </w:tblGrid>
      <w:tr>
        <w:tc>
          <w:tcPr>
            <w:tcW w:type="dxa" w:w="25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Sample</w:t>
            </w:r>
          </w:p>
        </w:tc>
        <w:tc>
          <w:tcPr>
            <w:tcW w:type="dxa" w:w="15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Intercept</w:t>
            </w:r>
          </w:p>
        </w:tc>
        <w:tc>
          <w:tcPr>
            <w:tcW w:type="dxa" w:w="17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a (density)</w:t>
            </w:r>
          </w:p>
        </w:tc>
        <w:tc>
          <w:tcPr>
            <w:tcW w:type="dxa" w:w="17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b (geometry)</w:t>
            </w:r>
          </w:p>
        </w:tc>
        <w:tc>
          <w:tcPr>
            <w:tcW w:type="dxa" w:w="19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R²</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(n=16)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4.91</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0.78</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1.61</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0.856</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Xout &gt; 2 (n=12)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5.17</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0.69</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1.55</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0.876</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10.2  Ideal exponential benchmark</w:t>
      </w:r>
    </w:p>
    <w:p>
      <w:pPr>
        <w:spacing w:after="120"/>
        <w:jc w:val="left"/>
      </w:pPr>
      <w:r>
        <w:rPr>
          <w:rFonts w:ascii="Arial" w:cs="Arial" w:eastAsia="Arial" w:hAnsi="Arial"/>
          <w:b w:val="false"/>
          <w:bCs w:val="false"/>
          <w:color w:val="000000"/>
          <w:sz w:val="22"/>
          <w:szCs w:val="22"/>
        </w:rPr>
        <w:t xml:space="preserve">For a razor-thin exponential disk, the exact Freeman disk rotation law gives H_exp(z) ∝ z^{3.4} over the ETG gate range 1.0 ≲ R/R90 ≲ 2.4 (exponent confirmed as 3.376 from direct evaluation). The empirical ETG exponents b ≈ 1.6–1.7 are materially softer. The correction factor C(z) ≡ Hreal(z)/Hexp(z) falls systematically with z.</w:t>
      </w:r>
    </w:p>
    <w:p>
      <w:pPr>
        <w:pStyle w:val="Heading2"/>
        <w:spacing w:after="120" w:before="240"/>
      </w:pPr>
      <w:r>
        <w:rPr>
          <w:rFonts w:ascii="Arial" w:cs="Arial" w:eastAsia="Arial" w:hAnsi="Arial"/>
          <w:b/>
          <w:bCs/>
          <w:color w:val="2E75B6"/>
          <w:sz w:val="26"/>
          <w:szCs w:val="26"/>
        </w:rPr>
        <w:t xml:space="preserve">10.3  Real-profile kernel law</w:t>
      </w:r>
    </w:p>
    <w:p>
      <w:pPr>
        <w:spacing w:after="120"/>
        <w:jc w:val="left"/>
      </w:pPr>
      <w:r>
        <w:rPr>
          <w:rFonts w:ascii="Arial" w:cs="Arial" w:eastAsia="Arial" w:hAnsi="Arial"/>
          <w:b w:val="false"/>
          <w:bCs w:val="false"/>
          <w:color w:val="000000"/>
          <w:sz w:val="22"/>
          <w:szCs w:val="22"/>
        </w:rPr>
        <w:t xml:space="preserve">Log-log fits of Hreal(z, η) against z = rout/R90 and η = Σdisk(rout)/⟨Σdisk⟩0.8-1.0 (full ETG sample):</w:t>
      </w:r>
    </w:p>
    <w:p>
      <w:pPr>
        <w:spacing w:after="100" w:before="100"/>
        <w:jc w:val="center"/>
      </w:pPr>
      <w:r>
        <w:rPr>
          <w:rFonts w:ascii="Arial" w:cs="Arial" w:eastAsia="Arial" w:hAnsi="Arial"/>
          <w:color w:val="1a1a1a"/>
          <w:sz w:val="22"/>
          <w:szCs w:val="22"/>
        </w:rPr>
        <w:t xml:space="preserve">log Hreal = 1.695 + 2.003 log(z) − 0.918 log(η),   R² = 0.931</w:t>
      </w:r>
    </w:p>
    <w:p>
      <w:pPr>
        <w:spacing w:after="120"/>
        <w:jc w:val="left"/>
      </w:pPr>
      <w:r>
        <w:rPr>
          <w:rFonts w:ascii="Arial" w:cs="Arial" w:eastAsia="Arial" w:hAnsi="Arial"/>
          <w:b w:val="false"/>
          <w:bCs w:val="false"/>
          <w:color w:val="000000"/>
          <w:sz w:val="22"/>
          <w:szCs w:val="22"/>
        </w:rPr>
        <w:t xml:space="preserve">High-load subset (Xout &gt; 2, n=12): log Hreal = 1.737 + 2.239 log(z) − 0.583 log(η), R² = 0.930. K constants: Kfull = 0.03060, Khl = 0.03372 (verified from raw files).</w:t>
      </w:r>
    </w:p>
    <w:p>
      <w:pPr>
        <w:pStyle w:val="Heading2"/>
        <w:spacing w:after="120" w:before="240"/>
      </w:pPr>
      <w:r>
        <w:rPr>
          <w:rFonts w:ascii="Arial" w:cs="Arial" w:eastAsia="Arial" w:hAnsi="Arial"/>
          <w:b/>
          <w:bCs/>
          <w:color w:val="2E75B6"/>
          <w:sz w:val="26"/>
          <w:szCs w:val="26"/>
        </w:rPr>
        <w:t xml:space="preserve">10.4  The complete outer chain</w:t>
      </w:r>
    </w:p>
    <w:p>
      <w:pPr>
        <w:spacing w:after="120"/>
        <w:jc w:val="left"/>
      </w:pPr>
      <w:r>
        <w:rPr>
          <w:rFonts w:ascii="Arial" w:cs="Arial" w:eastAsia="Arial" w:hAnsi="Arial"/>
          <w:b w:val="false"/>
          <w:bCs w:val="false"/>
          <w:color w:val="000000"/>
          <w:sz w:val="22"/>
          <w:szCs w:val="22"/>
        </w:rPr>
        <w:t xml:space="preserve">Stage 1: Xout — dominates the empirical outer gate globally.</w:t>
      </w:r>
    </w:p>
    <w:p>
      <w:pPr>
        <w:spacing w:after="120"/>
        <w:jc w:val="left"/>
      </w:pPr>
      <w:r>
        <w:rPr>
          <w:rFonts w:ascii="Arial" w:cs="Arial" w:eastAsia="Arial" w:hAnsi="Arial"/>
          <w:b w:val="false"/>
          <w:bCs w:val="false"/>
          <w:color w:val="000000"/>
          <w:sz w:val="22"/>
          <w:szCs w:val="22"/>
        </w:rPr>
        <w:t xml:space="preserve">Stage 2: Bout/Xout = Rd + Rb — residual cancellation sector, effectively disk-only for non-low-load systems.</w:t>
      </w:r>
    </w:p>
    <w:p>
      <w:pPr>
        <w:spacing w:after="120"/>
        <w:jc w:val="left"/>
      </w:pPr>
      <w:r>
        <w:rPr>
          <w:rFonts w:ascii="Arial" w:cs="Arial" w:eastAsia="Arial" w:hAnsi="Arial"/>
          <w:b w:val="false"/>
          <w:bCs w:val="false"/>
          <w:color w:val="000000"/>
          <w:sz w:val="22"/>
          <w:szCs w:val="22"/>
        </w:rPr>
        <w:t xml:space="preserve">Stage 3: Rd = 0.5 V²disk(rout) / V²obs(rout) — disk-carried cancellation. AUC = 0.964 for buffered-branch identification.</w:t>
      </w:r>
    </w:p>
    <w:p>
      <w:pPr>
        <w:spacing w:after="120"/>
        <w:jc w:val="left"/>
      </w:pPr>
      <w:r>
        <w:rPr>
          <w:rFonts w:ascii="Arial" w:cs="Arial" w:eastAsia="Arial" w:hAnsi="Arial"/>
          <w:b w:val="false"/>
          <w:bCs w:val="false"/>
          <w:color w:val="000000"/>
          <w:sz w:val="22"/>
          <w:szCs w:val="22"/>
        </w:rPr>
        <w:t xml:space="preserve">Stage 4: V²disk(rout)/rout ∝ ⟨Σdisk⟩^a × z^b — local outer disk density and gate-position geometry.</w:t>
      </w:r>
    </w:p>
    <w:p>
      <w:pPr>
        <w:pStyle w:val="Heading1"/>
        <w:spacing w:after="160" w:before="320"/>
      </w:pPr>
      <w:r>
        <w:rPr>
          <w:rFonts w:ascii="Arial" w:cs="Arial" w:eastAsia="Arial" w:hAnsi="Arial"/>
          <w:b/>
          <w:bCs/>
          <w:color w:val="1F3864"/>
          <w:sz w:val="32"/>
          <w:szCs w:val="32"/>
        </w:rPr>
        <w:t xml:space="preserve">11.  Joint (S, u_out) Population Map (new in v8)</w:t>
      </w:r>
    </w:p>
    <w:p>
      <w:pPr>
        <w:spacing w:after="120"/>
        <w:jc w:val="left"/>
      </w:pPr>
      <w:r>
        <w:rPr>
          <w:rFonts w:ascii="Arial" w:cs="Arial" w:eastAsia="Arial" w:hAnsi="Arial"/>
          <w:b w:val="false"/>
          <w:bCs w:val="false"/>
          <w:color w:val="000000"/>
          <w:sz w:val="22"/>
          <w:szCs w:val="22"/>
        </w:rPr>
        <w:t xml:space="preserve">Using the LTG-compatible inner operator and the outer load formula applied to all 175 SPARC LTGs and the 16 ETGs, the full joint (S, u_out) map confirms the population structure. Valid S values were obtained for 157–158 LTGs.</w:t>
      </w:r>
    </w:p>
    <w:p>
      <w:pPr>
        <w:pStyle w:val="Heading2"/>
        <w:spacing w:after="120" w:before="240"/>
      </w:pPr>
      <w:r>
        <w:rPr>
          <w:rFonts w:ascii="Arial" w:cs="Arial" w:eastAsia="Arial" w:hAnsi="Arial"/>
          <w:b/>
          <w:bCs/>
          <w:color w:val="2E75B6"/>
          <w:sz w:val="26"/>
          <w:szCs w:val="26"/>
        </w:rPr>
        <w:t xml:space="preserve">11.1  LTG quadrant counts (158 valid)</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tblGrid>
      <w:tr>
        <w:tc>
          <w:tcPr>
            <w:tcW w:type="dxa" w:w="3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Region</w:t>
            </w:r>
          </w:p>
        </w:tc>
        <w:tc>
          <w:tcPr>
            <w:tcW w:type="dxa" w:w="2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LTGs</w:t>
            </w:r>
          </w:p>
        </w:tc>
        <w:tc>
          <w:tcPr>
            <w:tcW w:type="dxa" w:w="23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ETGs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 &lt; 1.7, u_out &lt; 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132</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7</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 &lt; 1.7, u_out ≥ 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 ≥ 1.7, u_out &lt; 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 ≥ 1.7, u_out ≥ 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The ETG-exclusive empty quadrant is S ≥ 1.7, u_out &lt; 1: no ETGs occupy this region. The weak positive LTG coupling Pearson(log S, u_out) = +0.22 is confirmed from raw files. The viable H+ ETGs (NGC2685, NGC3626, NGC3941) sit inside the ordinary LTG occupied band in the (S, u_out) plane, with LTG nearest-neighbour distances 0.024–0.039.</w:t>
      </w:r>
    </w:p>
    <w:p>
      <w:pPr>
        <w:pStyle w:val="Heading2"/>
        <w:spacing w:after="120" w:before="240"/>
      </w:pPr>
      <w:r>
        <w:rPr>
          <w:rFonts w:ascii="Arial" w:cs="Arial" w:eastAsia="Arial" w:hAnsi="Arial"/>
          <w:b/>
          <w:bCs/>
          <w:color w:val="2E75B6"/>
          <w:sz w:val="26"/>
          <w:szCs w:val="26"/>
        </w:rPr>
        <w:t xml:space="preserve">11.2  Inner–outer factorisation</w:t>
      </w:r>
    </w:p>
    <w:p>
      <w:pPr>
        <w:spacing w:after="120"/>
        <w:jc w:val="left"/>
      </w:pPr>
      <w:r>
        <w:rPr>
          <w:rFonts w:ascii="Arial" w:cs="Arial" w:eastAsia="Arial" w:hAnsi="Arial"/>
          <w:b w:val="false"/>
          <w:bCs w:val="false"/>
          <w:color w:val="000000"/>
          <w:sz w:val="22"/>
          <w:szCs w:val="22"/>
        </w:rPr>
        <w:t xml:space="preserve">The inner (S) and outer (u_out) sectors are structurally factorised. Confirmed correlations: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960"/>
      </w:tblGrid>
      <w:tr>
        <w:tc>
          <w:tcPr>
            <w:tcW w:type="dxa" w:w="3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Pair</w:t>
            </w:r>
          </w:p>
        </w:tc>
        <w:tc>
          <w:tcPr>
            <w:tcW w:type="dxa" w:w="24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Pearson</w:t>
            </w:r>
          </w:p>
        </w:tc>
        <w:tc>
          <w:tcPr>
            <w:tcW w:type="dxa" w:w="29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Spearman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log S vs log z</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+0.023</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−0.021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log S vs log η</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−0.326</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−0.132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log S vs log Hreal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+0.075</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−0.065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log S vs log Xout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+0.534</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+0.618</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Only the S–Xout link is non-trivial (Pearson 0.534): inner-deformed galaxies tend toward higher outer load, but the cancellation mechanism remains separate. No kernel variable (z, η, Hreal) correlates with S beyond noise.</w:t>
      </w:r>
    </w:p>
    <w:p>
      <w:pPr>
        <w:pStyle w:val="Heading1"/>
        <w:spacing w:after="160" w:before="320"/>
      </w:pPr>
      <w:r>
        <w:rPr>
          <w:rFonts w:ascii="Arial" w:cs="Arial" w:eastAsia="Arial" w:hAnsi="Arial"/>
          <w:b/>
          <w:bCs/>
          <w:color w:val="1F3864"/>
          <w:sz w:val="32"/>
          <w:szCs w:val="32"/>
        </w:rPr>
        <w:t xml:space="preserve">12.  LTG Outer Route Structure (new in v8)</w:t>
      </w:r>
    </w:p>
    <w:p>
      <w:pPr>
        <w:spacing w:after="120"/>
        <w:jc w:val="left"/>
      </w:pPr>
      <w:r>
        <w:rPr>
          <w:rFonts w:ascii="Arial" w:cs="Arial" w:eastAsia="Arial" w:hAnsi="Arial"/>
          <w:b w:val="false"/>
          <w:bCs w:val="false"/>
          <w:color w:val="000000"/>
          <w:sz w:val="22"/>
          <w:szCs w:val="22"/>
        </w:rPr>
        <w:t xml:space="preserve">Applying the same u(r) radial analysis to all 175 LTGs confirms that the same low-load / buffered route split exists in the LTG population.</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360"/>
      </w:tblGrid>
      <w:tr>
        <w:tc>
          <w:tcPr>
            <w:tcW w:type="dxa" w:w="3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Route</w:t>
            </w:r>
          </w:p>
        </w:tc>
        <w:tc>
          <w:tcPr>
            <w:tcW w:type="dxa" w:w="18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Count</w:t>
            </w:r>
          </w:p>
        </w:tc>
        <w:tc>
          <w:tcPr>
            <w:tcW w:type="dxa" w:w="23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Median u_out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Low-load (no downward crossing)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81</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0.346</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Buffered (has downward crossing)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77</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0.568</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Outer-infeasible (u_out ≥ 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The LTG buffered branch is structurally broader than the ETG buffered branch. Median crossing position x_cross = r_{u=1}/rout = 0.496 (IQR 0.32–0.62) vs the ETG buffered set where x_cross ranges 0.78–0.96. Near-threshold clinging (x_cross &gt; 0.75) occurs in only 10–11 LTGs, vs all six ETG buffered cases.</w:t>
      </w:r>
    </w:p>
    <w:p>
      <w:pPr>
        <w:spacing w:after="120"/>
        <w:jc w:val="left"/>
      </w:pPr>
      <w:r>
        <w:rPr>
          <w:rFonts w:ascii="Arial" w:cs="Arial" w:eastAsia="Arial" w:hAnsi="Arial"/>
          <w:b w:val="false"/>
          <w:bCs w:val="false"/>
          <w:color w:val="000000"/>
          <w:sz w:val="22"/>
          <w:szCs w:val="22"/>
        </w:rPr>
        <w:t xml:space="preserve">The leading boundary-approach signal in the LTG buffered population is outer gas fraction: Pearson(f_gas,out, δu) = +0.416, Pearson(f_gas,out, x_cross) = −0.377 (both verified from raw files, n=77). Gas-richer buffered LTGs sit farther from the threshold and cross earlier. The inner completion variable Δ provides an independent secondary signal: the best tested compact organiser of LTG buffered boundary approach is f_gas,out − 0.869 Δ (LOO = 0.150, permutation p = 0.008, α stable across LOO folds: range 0.724–1.071, std = 0.047). This scalar is structurally distinct from the ETG K result: outer gas fraction replaces outer bulge fraction as the primary driver, and the coefficient is confirmed from raw files. Near-threshold buffered LTGs (x_cross &gt; 0.75) have lower median outer gas fraction (0.057) than the rest (0.082). Note: two galaxies (UGC03580, x_cross = 0.008; UGC11820, x_cross = 0.076) have spurious inner crossings and should be excluded from functional residual analysis of the LTG buffered branch (clean sample: N=75).</w:t>
      </w:r>
    </w:p>
    <w:p>
      <w:pPr>
        <w:spacing w:after="120"/>
        <w:jc w:val="left"/>
      </w:pPr>
      <w:r>
        <w:rPr>
          <w:rFonts w:ascii="Arial" w:cs="Arial" w:eastAsia="Arial" w:hAnsi="Arial"/>
          <w:b w:val="false"/>
          <w:bCs w:val="false"/>
          <w:color w:val="000000"/>
          <w:sz w:val="22"/>
          <w:szCs w:val="22"/>
        </w:rPr>
        <w:t xml:space="preserve">No comparable signal from Rb, Rd, or outer disk surface brightness alone in the full LTG buffered sample.</w:t>
      </w:r>
    </w:p>
    <w:p>
      <w:pPr>
        <w:pStyle w:val="Heading2"/>
        <w:spacing w:after="120" w:before="240"/>
      </w:pPr>
      <w:r>
        <w:rPr>
          <w:rFonts w:ascii="Arial" w:cs="Arial" w:eastAsia="Arial" w:hAnsi="Arial"/>
          <w:b/>
          <w:bCs/>
          <w:color w:val="2E75B6"/>
          <w:sz w:val="26"/>
          <w:szCs w:val="26"/>
        </w:rPr>
        <w:t xml:space="preserve">12.2  LTG buffered branch regime split (new in v10)</w:t>
      </w:r>
    </w:p>
    <w:p>
      <w:pPr>
        <w:spacing w:after="160"/>
      </w:pPr>
      <w:r>
        <w:t xml:space="preserve">Priority O (LTG H+ candidates) is closed. Raw recomputation from SPARC ROTMOD files gives Ω_in = 0.609 for NGC2841 and Ω_in = 1.212 for NGC4157 under the canonical definition Ω_in = V²bar(h)/V²obs(h) with full baryonic numerator. NGC2841 fails the sign gate (Ω_in &lt; 1 at every radius; max Ω = 0.659 at R[0]); it is rejected. NGC4157 passes the numerical gate but is not an H+ object: it is a central-deficit crossing object (u(R[0]) = −1.07, profile rises through u = 1 from below then immediately decays), and it is the strongest local-shape outlier in the clean LTG buffered sample (Mahalanobis D² = 25.4, rank 1 of 75). No confirmed LTG H+ objects exist.</w:t>
      </w:r>
    </w:p>
    <w:p>
      <w:pPr>
        <w:spacing w:after="160"/>
      </w:pPr>
      <w:r>
        <w:t xml:space="preserve">The LTG buffered branch (N = 77) splits into two structural regimes based on crossing geometry. Of the 77 buffered galaxies, 52 have an upward-crossing structure (u(r) dips below 1, rises back through 1, then makes the final downward crossing) and 25 have a straight-down outer approach (monotonic descent through u = 1). These counts are verified from raw ROTMOD files. Crossing-window shape statistics confirm the split: straight-down objects are nearly perfectly single-mode (PC1 explains 99.95% of crossing-window variance), while upward-crossing objects carry the heavy-tailed anomalies (PC1 = 96.79%). The 15 central-deficit objects (u(R[0]) &lt; 0) are a subset of the 52 upward-crossing galaxies.</w:t>
      </w:r>
    </w:p>
    <w:p>
      <w:pPr>
        <w:spacing w:after="160"/>
      </w:pPr>
      <w:r>
        <w:t xml:space="preserve">The regime is predictable from existing variables. The best separator is g_sep = −u(R0) + 0.35 S_inner (AUC = 0.912, verified from raw files). Initial load u(R0) is the dominant single predictor (AUC = 0.842); S_inner adds a modest boost. Outer variables (x_cross, h/r_out) do not predict regime membership. Residual performance differs significantly: straight-down objects have worse outer residuals than upward-crossing objects (global RMSE Welch p ≈ 0.01). The outer error of straight-down objects correlates with accumulated memory load and crossing position (g = memory_load × x_cross, Pearson = +0.782 within straight-down group). This is an amplitude scaling problem: the LTG law underestimates L_eff for late-crossing, high-memory-load systems.</w:t>
      </w:r>
    </w:p>
    <w:p>
      <w:pPr>
        <w:spacing w:after="160"/>
      </w:pPr>
      <w:r>
        <w:t xml:space="preserve">Priority I (Q12 drivers) is closed. Across the strict LTG inner set (N = 124, h/r_out ≤ 0.3168, h ≥ R[0], Δ &gt; 0), Q12 is primarily organised by Q14: Q12 ≈ 0.317 + 0.811 Q14 (R² = 0.768, verified). Bulge fraction adds negligible explanatory power beyond Q14 (ΔR² &lt; 0.001). A weak secondary correction from initial load (Q12 ≈ 0.305 + 0.832 Q14 + 0.016 signed-log[u(R0)], p ≈ 0.01) is present but does not alter the dominant structure. The buffered/non-buffered intercept difference (ΔQ12 ≈ +0.024) is not independently significant after strict filtering (p = 0.115). No separate buffered inner law is required.</w:t>
      </w:r>
    </w:p>
    <w:p>
      <w:pPr>
        <w:pStyle w:val="Heading1"/>
        <w:spacing w:after="160" w:before="320"/>
      </w:pPr>
      <w:r>
        <w:rPr>
          <w:rFonts w:ascii="Arial" w:cs="Arial" w:eastAsia="Arial" w:hAnsi="Arial"/>
          <w:b/>
          <w:bCs/>
          <w:color w:val="1F3864"/>
          <w:sz w:val="32"/>
          <w:szCs w:val="32"/>
        </w:rPr>
        <w:t xml:space="preserve">13.  H+ Branch Mathematics</w:t>
      </w:r>
    </w:p>
    <w:p>
      <w:pPr>
        <w:pStyle w:val="Heading2"/>
        <w:spacing w:after="120" w:before="240"/>
      </w:pPr>
      <w:r>
        <w:rPr>
          <w:rFonts w:ascii="Arial" w:cs="Arial" w:eastAsia="Arial" w:hAnsi="Arial"/>
          <w:b/>
          <w:bCs/>
          <w:color w:val="2E75B6"/>
          <w:sz w:val="26"/>
          <w:szCs w:val="26"/>
        </w:rPr>
        <w:t xml:space="preserve">13.1  Sign gate and suppression structure</w:t>
      </w:r>
    </w:p>
    <w:p>
      <w:pPr>
        <w:spacing w:after="120"/>
        <w:jc w:val="left"/>
      </w:pPr>
      <w:r>
        <w:rPr>
          <w:rFonts w:ascii="Arial" w:cs="Arial" w:eastAsia="Arial" w:hAnsi="Arial"/>
          <w:b w:val="false"/>
          <w:bCs w:val="false"/>
          <w:color w:val="000000"/>
          <w:sz w:val="22"/>
          <w:szCs w:val="22"/>
        </w:rPr>
        <w:t xml:space="preserve">For H+ galaxies (Ωin &gt; 1), the suppression integral Gsupp must be computed via the integration-by-parts (IBP) form:</w:t>
      </w:r>
    </w:p>
    <w:p>
      <w:pPr>
        <w:spacing w:after="100" w:before="100"/>
        <w:jc w:val="center"/>
      </w:pPr>
      <w:r>
        <w:rPr>
          <w:rFonts w:ascii="Arial" w:cs="Arial" w:eastAsia="Arial" w:hAnsi="Arial"/>
          <w:color w:val="1a1a1a"/>
          <w:sz w:val="22"/>
          <w:szCs w:val="22"/>
        </w:rPr>
        <w:t xml:space="preserve">Gsupp = V̅²har(rin) · κ*,   κ* = 1 − (1/xB) ∫₀¹ exp(−(1−y)/xB) B(y) dy</w:t>
      </w:r>
    </w:p>
    <w:p>
      <w:pPr>
        <w:spacing w:after="120"/>
        <w:jc w:val="left"/>
      </w:pPr>
      <w:r>
        <w:rPr>
          <w:rFonts w:ascii="Arial" w:cs="Arial" w:eastAsia="Arial" w:hAnsi="Arial"/>
          <w:b w:val="false"/>
          <w:bCs w:val="false"/>
          <w:color w:val="000000"/>
          <w:sz w:val="22"/>
          <w:szCs w:val="22"/>
        </w:rPr>
        <w:t xml:space="preserve">where B(y) = V̅²har(rin y)/V̅²har(rin) and xB = LB/rin. The exact algebraic decomposition:</w:t>
      </w:r>
    </w:p>
    <w:p>
      <w:pPr>
        <w:spacing w:after="100" w:before="100"/>
        <w:jc w:val="center"/>
      </w:pPr>
      <w:r>
        <w:rPr>
          <w:rFonts w:ascii="Arial" w:cs="Arial" w:eastAsia="Arial" w:hAnsi="Arial"/>
          <w:color w:val="1a1a1a"/>
          <w:sz w:val="22"/>
          <w:szCs w:val="22"/>
        </w:rPr>
        <w:t xml:space="preserve">κ* = exp(−1/xB) + U,   U = (1/xB) ∫₀¹ exp(−(1−y)/xB)[1 − B(y)] dy</w:t>
      </w:r>
    </w:p>
    <w:p>
      <w:pPr>
        <w:pStyle w:val="Heading2"/>
        <w:spacing w:after="120" w:before="240"/>
      </w:pPr>
      <w:r>
        <w:rPr>
          <w:rFonts w:ascii="Arial" w:cs="Arial" w:eastAsia="Arial" w:hAnsi="Arial"/>
          <w:b/>
          <w:bCs/>
          <w:color w:val="2E75B6"/>
          <w:sz w:val="26"/>
          <w:szCs w:val="26"/>
        </w:rPr>
        <w:t xml:space="preserve">13.2  The J-branch and amplitude cancellation</w:t>
      </w:r>
    </w:p>
    <w:p>
      <w:pPr>
        <w:spacing w:after="120"/>
        <w:jc w:val="left"/>
      </w:pPr>
      <w:r>
        <w:rPr>
          <w:rFonts w:ascii="Arial" w:cs="Arial" w:eastAsia="Arial" w:hAnsi="Arial"/>
          <w:b w:val="false"/>
          <w:bCs w:val="false"/>
          <w:color w:val="000000"/>
          <w:sz w:val="22"/>
          <w:szCs w:val="22"/>
        </w:rPr>
        <w:t xml:space="preserve">Defining Δ = 1 − Q12, H(y) = (1 − B(y))/Δ, and substituting xB = AΔ:</w:t>
      </w:r>
    </w:p>
    <w:p>
      <w:pPr>
        <w:spacing w:after="100" w:before="100"/>
        <w:jc w:val="center"/>
      </w:pPr>
      <w:r>
        <w:rPr>
          <w:rFonts w:ascii="Arial" w:cs="Arial" w:eastAsia="Arial" w:hAnsi="Arial"/>
          <w:color w:val="1a1a1a"/>
          <w:sz w:val="22"/>
          <w:szCs w:val="22"/>
        </w:rPr>
        <w:t xml:space="preserve">U = J(A)/A,   J(A) = ∫₀¹ exp(−(1−y)/(AΔ)) H(y) dy</w:t>
      </w:r>
    </w:p>
    <w:p>
      <w:pPr>
        <w:spacing w:after="120"/>
        <w:jc w:val="left"/>
      </w:pPr>
      <w:r>
        <w:rPr>
          <w:rFonts w:ascii="Arial" w:cs="Arial" w:eastAsia="Arial" w:hAnsi="Arial"/>
          <w:b w:val="false"/>
          <w:bCs w:val="false"/>
          <w:color w:val="000000"/>
          <w:sz w:val="22"/>
          <w:szCs w:val="22"/>
        </w:rPr>
        <w:t xml:space="preserve">The substitution xB ∝ Δ is the unique scaling that removes the explicit deficit amplitude from the U prefactor, reducing U to a kernel-weighted integral of the normalised profile shape H(y).</w:t>
      </w:r>
    </w:p>
    <w:p>
      <w:pPr>
        <w:pStyle w:val="Heading2"/>
        <w:spacing w:after="120" w:before="240"/>
      </w:pPr>
      <w:r>
        <w:rPr>
          <w:rFonts w:ascii="Arial" w:cs="Arial" w:eastAsia="Arial" w:hAnsi="Arial"/>
          <w:b/>
          <w:bCs/>
          <w:color w:val="2E75B6"/>
          <w:sz w:val="26"/>
          <w:szCs w:val="26"/>
        </w:rPr>
        <w:t xml:space="preserve">13.3  Branch invariants (verified from raw files)</w:t>
      </w:r>
    </w:p>
    <w:p>
      <w:pPr>
        <w:spacing w:after="60" w:before="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gridCol w:w="900"/>
        <w:gridCol w:w="900"/>
        <w:gridCol w:w="900"/>
        <w:gridCol w:w="900"/>
      </w:tblGrid>
      <w:tr>
        <w:tc>
          <w:tcPr>
            <w:tcW w:type="dxa" w:w="13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Galaxy</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rin</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Q12</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Q14</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Ωin</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Umax</w:t>
            </w:r>
          </w:p>
        </w:tc>
        <w:tc>
          <w:tcPr>
            <w:tcW w:type="dxa" w:w="9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xloc</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NGC2685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0.5448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0.1944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1.1231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0.4981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0.272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1.5478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NGC3626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0.370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0.6179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0.2040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1.3160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0.7334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0.243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1.3026</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NGC3941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0.270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0.6858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0.2606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1.2246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0.7738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0.216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1.0128</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NGC4203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0.460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0.9384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0.6208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1.2757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1.3374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0.107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Single-channel calibrators: U* = 0.201803 (mean; CV = 0.00% by construction), Aloc = 3.344 (CV = 2.56%). Branch law: xB ≈ 3.34(1 − Q12), LB ≈ 3.34 rin(1 − Q12).</w:t>
      </w:r>
    </w:p>
    <w:p>
      <w:pPr>
        <w:pStyle w:val="Heading2"/>
        <w:spacing w:after="120" w:before="240"/>
      </w:pPr>
      <w:r>
        <w:rPr>
          <w:rFonts w:ascii="Arial" w:cs="Arial" w:eastAsia="Arial" w:hAnsi="Arial"/>
          <w:b/>
          <w:bCs/>
          <w:color w:val="2E75B6"/>
          <w:sz w:val="26"/>
          <w:szCs w:val="26"/>
        </w:rPr>
        <w:t xml:space="preserve">13.4  Feasibility conditions</w:t>
      </w:r>
    </w:p>
    <w:p>
      <w:pPr>
        <w:spacing w:after="120"/>
        <w:jc w:val="left"/>
      </w:pPr>
      <w:r>
        <w:rPr>
          <w:rFonts w:ascii="Arial" w:cs="Arial" w:eastAsia="Arial" w:hAnsi="Arial"/>
          <w:b w:val="false"/>
          <w:bCs w:val="false"/>
          <w:color w:val="000000"/>
          <w:sz w:val="22"/>
          <w:szCs w:val="22"/>
        </w:rPr>
        <w:t xml:space="preserve">Two simultaneous conditions required for single-channel viability: (1) Outer capacity: u ≤ 1. (2) Inner kernel capacity: U* ≤ Umax(B). NGC4203 violates BOTH independently: u = 1.337 &gt; 1 and Umax = 0.107 &lt; 0.202. Its failure is structural, not borderline.</w:t>
      </w:r>
    </w:p>
    <w:p>
      <w:pPr>
        <w:pStyle w:val="Heading2"/>
        <w:spacing w:after="120" w:before="240"/>
      </w:pPr>
      <w:r>
        <w:rPr>
          <w:rFonts w:ascii="Arial" w:cs="Arial" w:eastAsia="Arial" w:hAnsi="Arial"/>
          <w:b/>
          <w:bCs/>
          <w:color w:val="2E75B6"/>
          <w:sz w:val="26"/>
          <w:szCs w:val="26"/>
        </w:rPr>
        <w:t xml:space="preserve">13.5  Canonical pipeline</w:t>
      </w:r>
    </w:p>
    <w:p>
      <w:pPr>
        <w:spacing w:after="120"/>
        <w:jc w:val="left"/>
      </w:pPr>
      <w:r>
        <w:rPr>
          <w:rFonts w:ascii="Arial" w:cs="Arial" w:eastAsia="Arial" w:hAnsi="Arial"/>
          <w:b w:val="false"/>
          <w:bCs w:val="false"/>
          <w:color w:val="000000"/>
          <w:sz w:val="22"/>
          <w:szCs w:val="22"/>
        </w:rPr>
        <w:t xml:space="preserve">For any single-channel H+ galaxy: find xloc = high root of U(xB; B) = U* = 0.201803, then set LB = xloc × rin. No global disk fitting, no external h, no dependence on disk decomposition conventions.</w:t>
      </w:r>
    </w:p>
    <w:p>
      <w:pPr>
        <w:pStyle w:val="Heading1"/>
        <w:spacing w:after="160" w:before="320"/>
      </w:pPr>
      <w:r>
        <w:rPr>
          <w:rFonts w:ascii="Arial" w:cs="Arial" w:eastAsia="Arial" w:hAnsi="Arial"/>
          <w:b/>
          <w:bCs/>
          <w:color w:val="1F3864"/>
          <w:sz w:val="32"/>
          <w:szCs w:val="32"/>
        </w:rPr>
        <w:t xml:space="preserve">14.  S-law Across LTGs and ETGs (new in v8)</w:t>
      </w:r>
    </w:p>
    <w:p>
      <w:pPr>
        <w:spacing w:after="120"/>
        <w:jc w:val="left"/>
      </w:pPr>
      <w:r>
        <w:rPr>
          <w:rFonts w:ascii="Arial" w:cs="Arial" w:eastAsia="Arial" w:hAnsi="Arial"/>
          <w:b w:val="false"/>
          <w:bCs w:val="false"/>
          <w:color w:val="000000"/>
          <w:sz w:val="22"/>
          <w:szCs w:val="22"/>
        </w:rPr>
        <w:t xml:space="preserve">The S → Umax law confirmed for LTGs (N=141, admissibility rule: h/r_out ≤ 0.3168, h ≥ R_innermost, Δ &gt; 0; verified from raw files):</w:t>
      </w:r>
    </w:p>
    <w:p>
      <w:pPr>
        <w:spacing w:after="100" w:before="100"/>
        <w:jc w:val="center"/>
      </w:pPr>
      <w:r>
        <w:rPr>
          <w:rFonts w:ascii="Arial" w:cs="Arial" w:eastAsia="Arial" w:hAnsi="Arial"/>
          <w:color w:val="1a1a1a"/>
          <w:sz w:val="22"/>
          <w:szCs w:val="22"/>
        </w:rPr>
        <w:t xml:space="preserve">Umax ≈ 0.2393 − 0.0718 ln(S),   R² = 0.923</w:t>
      </w:r>
    </w:p>
    <w:p>
      <w:pPr>
        <w:spacing w:after="120"/>
        <w:jc w:val="left"/>
      </w:pPr>
      <w:r>
        <w:rPr>
          <w:rFonts w:ascii="Arial" w:cs="Arial" w:eastAsia="Arial" w:hAnsi="Arial"/>
          <w:b w:val="false"/>
          <w:bCs w:val="false"/>
          <w:color w:val="000000"/>
          <w:sz w:val="22"/>
          <w:szCs w:val="22"/>
        </w:rPr>
        <w:t xml:space="preserve">The threshold S &lt; 1.70 ⇔ inner-feasible applies at 135/141 (95.7%) of LTGs. High-S LTGs (S ≥ 1.70): 16 LTGs, all 16 infeasible (16/16). The law is structurally the same as the ETG version; the ETG result is not a special-case artefact.</w:t>
      </w:r>
    </w:p>
    <w:p>
      <w:pPr>
        <w:spacing w:after="120"/>
        <w:jc w:val="left"/>
      </w:pPr>
      <w:r>
        <w:rPr>
          <w:rFonts w:ascii="Arial" w:cs="Arial" w:eastAsia="Arial" w:hAnsi="Arial"/>
          <w:b w:val="false"/>
          <w:bCs w:val="false"/>
          <w:color w:val="000000"/>
          <w:sz w:val="22"/>
          <w:szCs w:val="22"/>
        </w:rPr>
        <w:t xml:space="preserve">Population medians (verified from raw files):</w:t>
      </w:r>
    </w:p>
    <w:p>
      <w:pPr>
        <w:spacing w:after="60" w:before="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tblGrid>
      <w:tr>
        <w:tc>
          <w:tcPr>
            <w:tcW w:type="dxa" w:w="3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Statistic</w:t>
            </w:r>
          </w:p>
        </w:tc>
        <w:tc>
          <w:tcPr>
            <w:tcW w:type="dxa" w:w="2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ETG (n=16)</w:t>
            </w:r>
          </w:p>
        </w:tc>
        <w:tc>
          <w:tcPr>
            <w:tcW w:type="dxa" w:w="21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LTG (n=141)</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Q12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0.637</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0.514</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Q14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0.235</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0.254</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Δ = 1−Q12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0.363</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0.486</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0.694</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0.517</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frac(Δ &lt; 0.2)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0.188</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0.078</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frac(S &gt; 1.7)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0.250</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0.113</w:t>
            </w:r>
          </w:p>
        </w:tc>
      </w:tr>
    </w:tbl>
    <w:p>
      <w:pPr>
        <w:spacing w:after="60" w:before="60"/>
      </w:pPr>
      <w:r>
        <w:t xml:space="preserve"/>
      </w:r>
    </w:p>
    <w:p>
      <w:pPr>
        <w:spacing w:after="120"/>
        <w:jc w:val="left"/>
      </w:pPr>
      <w:r>
        <w:rPr>
          <w:rFonts w:ascii="Arial" w:cs="Arial" w:eastAsia="Arial" w:hAnsi="Arial"/>
          <w:b w:val="false"/>
          <w:bCs w:val="false"/>
          <w:color w:val="000000"/>
          <w:sz w:val="22"/>
          <w:szCs w:val="22"/>
        </w:rPr>
        <w:t xml:space="preserve">ETGs are shifted toward smaller Δ (higher Q12), not toward larger Q14. The ETG/LTG difference is primarily a population-position effect in the (Δ, Q14) plane, not a different law. ETGs are ∼2.2× more likely than LTGs to have S &gt; 1.7.</w:t>
      </w:r>
    </w:p>
    <w:p>
      <w:pPr>
        <w:pStyle w:val="Heading1"/>
        <w:spacing w:after="160" w:before="320"/>
      </w:pPr>
      <w:r>
        <w:rPr>
          <w:rFonts w:ascii="Arial" w:cs="Arial" w:eastAsia="Arial" w:hAnsi="Arial"/>
          <w:b/>
          <w:bCs/>
          <w:color w:val="1F3864"/>
          <w:sz w:val="32"/>
          <w:szCs w:val="32"/>
        </w:rPr>
        <w:t xml:space="preserve">15.  Falsification Controls</w:t>
      </w:r>
    </w:p>
    <w:p>
      <w:pPr>
        <w:pStyle w:val="Heading2"/>
        <w:spacing w:after="120" w:before="240"/>
      </w:pPr>
      <w:r>
        <w:rPr>
          <w:rFonts w:ascii="Arial" w:cs="Arial" w:eastAsia="Arial" w:hAnsi="Arial"/>
          <w:b/>
          <w:bCs/>
          <w:color w:val="2E75B6"/>
          <w:sz w:val="26"/>
          <w:szCs w:val="26"/>
        </w:rPr>
        <w:t xml:space="preserve">15.1  Sign gate isolation: NGC3838 vs NGC3626</w:t>
      </w:r>
    </w:p>
    <w:p>
      <w:pPr>
        <w:spacing w:after="120"/>
        <w:jc w:val="left"/>
      </w:pPr>
      <w:r>
        <w:rPr>
          <w:rFonts w:ascii="Arial" w:cs="Arial" w:eastAsia="Arial" w:hAnsi="Arial"/>
          <w:b w:val="false"/>
          <w:bCs w:val="false"/>
          <w:color w:val="000000"/>
          <w:sz w:val="22"/>
          <w:szCs w:val="22"/>
        </w:rPr>
        <w:t xml:space="preserve">Both galaxies are in the viable profile locus, both are outer-feasible, both are inner-feasible. H(0.3) = 1.8664 vs 1.8668 — near-identical normalised deficit shapes. The split is entirely due to absolute inner baryonic amplitude: V̅har(rin) = 194 km/s (Ωin = 0.705) vs 284 km/s (Ωin = 1.316).</w:t>
      </w:r>
    </w:p>
    <w:p>
      <w:pPr>
        <w:pStyle w:val="Heading2"/>
        <w:spacing w:after="120" w:before="240"/>
      </w:pPr>
      <w:r>
        <w:rPr>
          <w:rFonts w:ascii="Arial" w:cs="Arial" w:eastAsia="Arial" w:hAnsi="Arial"/>
          <w:b/>
          <w:bCs/>
          <w:color w:val="2E75B6"/>
          <w:sz w:val="26"/>
          <w:szCs w:val="26"/>
        </w:rPr>
        <w:t xml:space="preserve">15.2  Outer demand isolation: NGC4203 vs NGC3626</w:t>
      </w:r>
    </w:p>
    <w:p>
      <w:pPr>
        <w:spacing w:after="120"/>
        <w:jc w:val="left"/>
      </w:pPr>
      <w:r>
        <w:rPr>
          <w:rFonts w:ascii="Arial" w:cs="Arial" w:eastAsia="Arial" w:hAnsi="Arial"/>
          <w:b w:val="false"/>
          <w:bCs w:val="false"/>
          <w:color w:val="000000"/>
          <w:sz w:val="22"/>
          <w:szCs w:val="22"/>
        </w:rPr>
        <w:t xml:space="preserve">Both H+ (Ωin &gt; 1). NGC4203 has collapsed Δ = 0.062 (vs 0.382), Q14 = 0.621 (vs 0.204), S = 10.07 (vs 0.534), back-half overshoot, and u = 1.337 &gt; 1. It is not the same class with bigger u; it is a different structural regime.</w:t>
      </w:r>
    </w:p>
    <w:p>
      <w:pPr>
        <w:pStyle w:val="Heading2"/>
        <w:spacing w:after="120" w:before="240"/>
      </w:pPr>
      <w:r>
        <w:rPr>
          <w:rFonts w:ascii="Arial" w:cs="Arial" w:eastAsia="Arial" w:hAnsi="Arial"/>
          <w:b/>
          <w:bCs/>
          <w:color w:val="2E75B6"/>
          <w:sz w:val="26"/>
          <w:szCs w:val="26"/>
        </w:rPr>
        <w:t xml:space="preserve">15.3  Disk-buffered outer isolation: NGC3941 vs UGC6176</w:t>
      </w:r>
    </w:p>
    <w:p>
      <w:pPr>
        <w:spacing w:after="120"/>
        <w:jc w:val="left"/>
      </w:pPr>
      <w:r>
        <w:rPr>
          <w:rFonts w:ascii="Arial" w:cs="Arial" w:eastAsia="Arial" w:hAnsi="Arial"/>
          <w:b w:val="false"/>
          <w:bCs w:val="false"/>
          <w:color w:val="000000"/>
          <w:sz w:val="22"/>
          <w:szCs w:val="22"/>
        </w:rPr>
        <w:t xml:space="preserve">Xout = 2.308 vs 2.240 (nearly identical). fbul = 0.086 vs 0.086 (identical). fdisk = 0.318 vs 0.222. The outer disk term is the sole separator. Confirmed: the outer disk log-slope −0.500 is a shared property of all six buffered ETGs at their outer edges.</w:t>
      </w:r>
    </w:p>
    <w:p>
      <w:pPr>
        <w:pStyle w:val="Heading1"/>
        <w:spacing w:after="160" w:before="320"/>
      </w:pPr>
      <w:r>
        <w:rPr>
          <w:rFonts w:ascii="Arial" w:cs="Arial" w:eastAsia="Arial" w:hAnsi="Arial"/>
          <w:b/>
          <w:bCs/>
          <w:color w:val="1F3864"/>
          <w:sz w:val="32"/>
          <w:szCs w:val="32"/>
        </w:rPr>
        <w:t xml:space="preserve">16.  Framework Hierarchy</w:t>
      </w:r>
    </w:p>
    <w:p>
      <w:pPr>
        <w:spacing w:after="120"/>
        <w:jc w:val="left"/>
      </w:pPr>
      <w:r>
        <w:rPr>
          <w:rFonts w:ascii="Arial" w:cs="Arial" w:eastAsia="Arial" w:hAnsi="Arial"/>
          <w:b w:val="false"/>
          <w:bCs w:val="false"/>
          <w:color w:val="000000"/>
          <w:sz w:val="22"/>
          <w:szCs w:val="22"/>
        </w:rPr>
        <w:t xml:space="preserve">Level 1 — Background transport (Γ0, L, q)</w:t>
      </w:r>
    </w:p>
    <w:p>
      <w:pPr>
        <w:spacing w:after="120"/>
        <w:jc w:val="left"/>
      </w:pPr>
      <w:r>
        <w:rPr>
          <w:rFonts w:ascii="Arial" w:cs="Arial" w:eastAsia="Arial" w:hAnsi="Arial"/>
          <w:b w:val="false"/>
          <w:bCs w:val="false"/>
          <w:color w:val="000000"/>
          <w:sz w:val="22"/>
          <w:szCs w:val="22"/>
        </w:rPr>
        <w:t xml:space="preserve">Level 2 — Photometric closure (Lpred = 2kh)</w:t>
      </w:r>
    </w:p>
    <w:p>
      <w:pPr>
        <w:spacing w:after="120"/>
        <w:jc w:val="left"/>
      </w:pPr>
      <w:r>
        <w:rPr>
          <w:rFonts w:ascii="Arial" w:cs="Arial" w:eastAsia="Arial" w:hAnsi="Arial"/>
          <w:b w:val="false"/>
          <w:bCs w:val="false"/>
          <w:color w:val="000000"/>
          <w:sz w:val="22"/>
          <w:szCs w:val="22"/>
        </w:rPr>
        <w:t xml:space="preserve">Level 3 — Memory saturation (Leff, zero parameters)</w:t>
      </w:r>
    </w:p>
    <w:p>
      <w:pPr>
        <w:spacing w:after="120"/>
        <w:jc w:val="left"/>
      </w:pPr>
      <w:r>
        <w:rPr>
          <w:rFonts w:ascii="Arial" w:cs="Arial" w:eastAsia="Arial" w:hAnsi="Arial"/>
          <w:b w:val="false"/>
          <w:bCs w:val="false"/>
          <w:color w:val="000000"/>
          <w:sz w:val="22"/>
          <w:szCs w:val="22"/>
        </w:rPr>
        <w:t xml:space="preserve">Level 4 — Response shape (q = 1 + nout)</w:t>
      </w:r>
    </w:p>
    <w:p>
      <w:pPr>
        <w:spacing w:after="120"/>
        <w:jc w:val="left"/>
      </w:pPr>
      <w:r>
        <w:rPr>
          <w:rFonts w:ascii="Arial" w:cs="Arial" w:eastAsia="Arial" w:hAnsi="Arial"/>
          <w:b w:val="false"/>
          <w:bCs w:val="false"/>
          <w:color w:val="000000"/>
          <w:sz w:val="22"/>
          <w:szCs w:val="22"/>
        </w:rPr>
        <w:t xml:space="preserve">Level 5 — LTG/ETG population separation</w:t>
      </w:r>
    </w:p>
    <w:p>
      <w:pPr>
        <w:spacing w:after="120"/>
        <w:jc w:val="left"/>
      </w:pPr>
      <w:r>
        <w:rPr>
          <w:rFonts w:ascii="Arial" w:cs="Arial" w:eastAsia="Arial" w:hAnsi="Arial"/>
          <w:b w:val="false"/>
          <w:bCs w:val="false"/>
          <w:color w:val="000000"/>
          <w:sz w:val="22"/>
          <w:szCs w:val="22"/>
        </w:rPr>
        <w:t xml:space="preserve">Level 6 — ETG four-condition intersection (Δ, Q14, Ωin, u)</w:t>
      </w:r>
    </w:p>
    <w:p>
      <w:pPr>
        <w:spacing w:after="120"/>
        <w:jc w:val="left"/>
      </w:pPr>
      <w:r>
        <w:rPr>
          <w:rFonts w:ascii="Arial" w:cs="Arial" w:eastAsia="Arial" w:hAnsi="Arial"/>
          <w:b w:val="false"/>
          <w:bCs w:val="false"/>
          <w:color w:val="000000"/>
          <w:sz w:val="22"/>
          <w:szCs w:val="22"/>
        </w:rPr>
        <w:t xml:space="preserve">Level 7 — ETG sign-changing H+ sector (gate, suppression, outer capacity, branch law)</w:t>
      </w:r>
    </w:p>
    <w:p>
      <w:pPr>
        <w:spacing w:after="120"/>
        <w:jc w:val="left"/>
      </w:pPr>
      <w:r>
        <w:rPr>
          <w:rFonts w:ascii="Arial" w:cs="Arial" w:eastAsia="Arial" w:hAnsi="Arial"/>
          <w:b w:val="false"/>
          <w:bCs w:val="false"/>
          <w:color w:val="000000"/>
          <w:sz w:val="22"/>
          <w:szCs w:val="22"/>
        </w:rPr>
        <w:t xml:space="preserve">Level 8 — Outer chain reduction (Xout, Rd, Stage-4 disk force law)</w:t>
      </w:r>
    </w:p>
    <w:p>
      <w:pPr>
        <w:spacing w:after="120"/>
        <w:jc w:val="left"/>
      </w:pPr>
      <w:r>
        <w:rPr>
          <w:rFonts w:ascii="Arial" w:cs="Arial" w:eastAsia="Arial" w:hAnsi="Arial"/>
          <w:b w:val="false"/>
          <w:bCs w:val="false"/>
          <w:color w:val="000000"/>
          <w:sz w:val="22"/>
          <w:szCs w:val="22"/>
        </w:rPr>
        <w:t xml:space="preserve">Level 9 — Radial threshold structure (u(r) law, δu = 1−u, buffered profile collapse)  [new in v8]</w:t>
      </w:r>
    </w:p>
    <w:p>
      <w:pPr>
        <w:spacing w:after="120"/>
        <w:jc w:val="left"/>
      </w:pPr>
      <w:r>
        <w:rPr>
          <w:rFonts w:ascii="Arial" w:cs="Arial" w:eastAsia="Arial" w:hAnsi="Arial"/>
          <w:b w:val="false"/>
          <w:bCs w:val="false"/>
          <w:color w:val="000000"/>
          <w:sz w:val="22"/>
          <w:szCs w:val="22"/>
        </w:rPr>
        <w:t xml:space="preserve">Level 10 — Joint (S, u_out) population map; LTG outer route split; LTG boundary law f_gas − 0.869 Δ; LTG buffered regime split (52 upward-crossing / 25 straight-down); Q12–Q14 inner law  [new in v8/v9/v10]</w:t>
      </w:r>
    </w:p>
    <w:p>
      <w:pPr>
        <w:pStyle w:val="Heading1"/>
        <w:spacing w:after="160" w:before="320"/>
      </w:pPr>
      <w:r>
        <w:rPr>
          <w:rFonts w:ascii="Arial" w:cs="Arial" w:eastAsia="Arial" w:hAnsi="Arial"/>
          <w:b/>
          <w:bCs/>
          <w:color w:val="1F3864"/>
          <w:sz w:val="32"/>
          <w:szCs w:val="32"/>
        </w:rPr>
        <w:t xml:space="preserve">17.  Derived vs Empirical Status</w:t>
      </w:r>
    </w:p>
    <w:p>
      <w:pPr>
        <w:pStyle w:val="Heading2"/>
        <w:spacing w:after="120" w:before="240"/>
      </w:pPr>
      <w:r>
        <w:rPr>
          <w:rFonts w:ascii="Arial" w:cs="Arial" w:eastAsia="Arial" w:hAnsi="Arial"/>
          <w:b/>
          <w:bCs/>
          <w:color w:val="2E75B6"/>
          <w:sz w:val="26"/>
          <w:szCs w:val="26"/>
        </w:rPr>
        <w:t xml:space="preserve">Derived</w:t>
      </w:r>
    </w:p>
    <w:p>
      <w:pPr>
        <w:spacing w:after="120"/>
        <w:jc w:val="left"/>
      </w:pPr>
      <w:r>
        <w:rPr>
          <w:rFonts w:ascii="Arial" w:cs="Arial" w:eastAsia="Arial" w:hAnsi="Arial"/>
          <w:b w:val="false"/>
          <w:bCs w:val="false"/>
          <w:color w:val="000000"/>
          <w:sz w:val="22"/>
          <w:szCs w:val="22"/>
        </w:rPr>
        <w:t xml:space="preserve">Transport equation and background law; photometric closure; memory-load structure; suppression operator form; H+ sign-change mechanism (kernel-geometry argument); exact outer viability boundary Xout &lt; Rmax/(1 − Rd − Rb); exact identity δu = (Xcrit − Xout)/Xcrit; structural form of the Stage-4 disk force law (Σ × H(z) decomposition).</w:t>
      </w:r>
    </w:p>
    <w:p>
      <w:pPr>
        <w:pStyle w:val="Heading2"/>
        <w:spacing w:after="120" w:before="240"/>
      </w:pPr>
      <w:r>
        <w:rPr>
          <w:rFonts w:ascii="Arial" w:cs="Arial" w:eastAsia="Arial" w:hAnsi="Arial"/>
          <w:b/>
          <w:bCs/>
          <w:color w:val="2E75B6"/>
          <w:sz w:val="26"/>
          <w:szCs w:val="26"/>
        </w:rPr>
        <w:t xml:space="preserve">Empirical (verified from raw files)</w:t>
      </w:r>
    </w:p>
    <w:p>
      <w:pPr>
        <w:spacing w:after="120"/>
        <w:jc w:val="left"/>
      </w:pPr>
      <w:r>
        <w:rPr>
          <w:rFonts w:ascii="Arial" w:cs="Arial" w:eastAsia="Arial" w:hAnsi="Arial"/>
          <w:b w:val="false"/>
          <w:bCs w:val="false"/>
          <w:color w:val="000000"/>
          <w:sz w:val="22"/>
          <w:szCs w:val="22"/>
        </w:rPr>
        <w:t xml:space="preserve">q ≈ 0.77 global; Rmax = 1.758948; C = 0.459411; U* = 0.201803 (CV = 0.00% by construction); Aloc = 3.344 (CV = 2.56%, 3-galaxy calibration); Stage-4 exponents a ≈ 0.78, b ≈ 1.61 (full sample); buffered profile collapse coefficients u(x) ≈ 1 − 1.588(x−1) + 1.392(x−1)² on shared window [0.92, 1.04]; outer bulge Keplerian tail log-slope = −0.500 for all buffered ETGs; ETG residual mode organiser Z = log(Rb/δu) + 0.30 S (LOO = 0.0017); LTG buffered boundary law f_gas,out − 0.869 Δ (LOO = 0.150, permutation p = 0.008); Pearson(f_gas,out, δu) = +0.416 for buffered LTGs. New in v10: LTG buffered split 52 upward-crossing / 25 straight-down (verified from raw files); regime classifier AUC = 0.912 for g_sep = −u(R0) + 0.35 S_inner; Q12–Q14 law intercept = 0.317, slope = 0.811, R² = 0.768 (N=124 strict inner set, verified); straight-down outer error scalar g = memory_load × x_cross (Pearson = +0.782, straight-down group); L_eff = 1.8h(1 + S_mem) where S_mem = (0.9/π)(r_out/h).</w:t>
      </w:r>
    </w:p>
    <w:p>
      <w:pPr>
        <w:pStyle w:val="Heading2"/>
        <w:spacing w:after="120" w:before="240"/>
      </w:pPr>
      <w:r>
        <w:rPr>
          <w:rFonts w:ascii="Arial" w:cs="Arial" w:eastAsia="Arial" w:hAnsi="Arial"/>
          <w:b/>
          <w:bCs/>
          <w:color w:val="2E75B6"/>
          <w:sz w:val="26"/>
          <w:szCs w:val="26"/>
        </w:rPr>
        <w:t xml:space="preserve">Not locked / open</w:t>
      </w:r>
    </w:p>
    <w:p>
      <w:pPr>
        <w:spacing w:after="120"/>
        <w:jc w:val="left"/>
      </w:pPr>
      <w:r>
        <w:rPr>
          <w:rFonts w:ascii="Arial" w:cs="Arial" w:eastAsia="Arial" w:hAnsi="Arial"/>
          <w:b w:val="false"/>
          <w:bCs w:val="false"/>
          <w:color w:val="000000"/>
          <w:sz w:val="22"/>
          <w:szCs w:val="22"/>
        </w:rPr>
        <w:t xml:space="preserve">Stage-4 exponents not yet derived from first principles. ETG residual mode coefficient α ≈ 0.30 in Z = log(Rb/δu) + αS is stable across robustness tests but anchored by NGC3941 (n=6); not lock-grade as a coefficient law. Straight-down LTG outer error scalar g = memory_load × x_cross is confirmed as an explanatory variable (Pearson = +0.782, straight-down group) but a correction law is not yet locked (LOO-safe improvement ≈ 10–16% on outer MAE, R_b-based scalar not reproducible from ROTMOD files alone).</w:t>
      </w:r>
    </w:p>
    <w:p>
      <w:pPr>
        <w:pStyle w:val="Heading2"/>
        <w:spacing w:after="120" w:before="240"/>
      </w:pPr>
      <w:r>
        <w:rPr>
          <w:rFonts w:ascii="Arial" w:cs="Arial" w:eastAsia="Arial" w:hAnsi="Arial"/>
          <w:b/>
          <w:bCs/>
          <w:color w:val="2E75B6"/>
          <w:sz w:val="26"/>
          <w:szCs w:val="26"/>
        </w:rPr>
        <w:t xml:space="preserve">Open theoretical targets</w:t>
      </w:r>
    </w:p>
    <w:p>
      <w:pPr>
        <w:spacing w:after="120"/>
        <w:jc w:val="left"/>
      </w:pPr>
      <w:r>
        <w:rPr>
          <w:rFonts w:ascii="Arial" w:cs="Arial" w:eastAsia="Arial" w:hAnsi="Arial"/>
          <w:b w:val="false"/>
          <w:bCs w:val="false"/>
          <w:color w:val="000000"/>
          <w:sz w:val="22"/>
          <w:szCs w:val="22"/>
        </w:rPr>
        <w:t xml:space="preserve">A. First-principles derivation of λB and branch coefficient A ≈ 3.34.</w:t>
      </w:r>
    </w:p>
    <w:p>
      <w:pPr>
        <w:spacing w:after="120"/>
        <w:jc w:val="left"/>
      </w:pPr>
      <w:r>
        <w:rPr>
          <w:rFonts w:ascii="Arial" w:cs="Arial" w:eastAsia="Arial" w:hAnsi="Arial"/>
          <w:b w:val="false"/>
          <w:bCs w:val="false"/>
          <w:color w:val="000000"/>
          <w:sz w:val="22"/>
          <w:szCs w:val="22"/>
        </w:rPr>
        <w:t xml:space="preserve">B. Extension beyond 3-galaxy single-channel calibration.</w:t>
      </w:r>
    </w:p>
    <w:p>
      <w:pPr>
        <w:spacing w:after="120"/>
        <w:jc w:val="left"/>
      </w:pPr>
      <w:r>
        <w:rPr>
          <w:rFonts w:ascii="Arial" w:cs="Arial" w:eastAsia="Arial" w:hAnsi="Arial"/>
          <w:b w:val="false"/>
          <w:bCs w:val="false"/>
          <w:color w:val="000000"/>
          <w:sz w:val="22"/>
          <w:szCs w:val="22"/>
        </w:rPr>
        <w:t xml:space="preserve">C. Physical mechanism connecting λexc to transport dynamics on the single-channel branch.</w:t>
      </w:r>
    </w:p>
    <w:p>
      <w:pPr>
        <w:spacing w:after="120"/>
        <w:jc w:val="left"/>
      </w:pPr>
      <w:r>
        <w:rPr>
          <w:rFonts w:ascii="Arial" w:cs="Arial" w:eastAsia="Arial" w:hAnsi="Arial"/>
          <w:b w:val="false"/>
          <w:bCs w:val="false"/>
          <w:color w:val="000000"/>
          <w:sz w:val="22"/>
          <w:szCs w:val="22"/>
        </w:rPr>
        <w:t xml:space="preserve">D. Priority O closed: NGC2841 rejected (Ω_in = 0.609, fails sign gate at all radii). NGC4157 is a central-deficit crossing object, not an H+ candidate. No confirmed LTG H+ objects. Confirm independent second two-channel H+ galaxy to verify NGC4203 solution.</w:t>
      </w:r>
    </w:p>
    <w:p>
      <w:pPr>
        <w:spacing w:after="120"/>
        <w:jc w:val="left"/>
      </w:pPr>
      <w:r>
        <w:rPr>
          <w:rFonts w:ascii="Arial" w:cs="Arial" w:eastAsia="Arial" w:hAnsi="Arial"/>
          <w:b w:val="false"/>
          <w:bCs w:val="false"/>
          <w:color w:val="000000"/>
          <w:sz w:val="22"/>
          <w:szCs w:val="22"/>
        </w:rPr>
        <w:t xml:space="preserve">E. Derivation of Stage-4 exponents from ETG disk profile structure.</w:t>
      </w:r>
    </w:p>
    <w:p>
      <w:pPr>
        <w:spacing w:after="120"/>
        <w:jc w:val="left"/>
      </w:pPr>
      <w:r>
        <w:rPr>
          <w:rFonts w:ascii="Arial" w:cs="Arial" w:eastAsia="Arial" w:hAnsi="Arial"/>
          <w:b w:val="false"/>
          <w:bCs w:val="false"/>
          <w:color w:val="000000"/>
          <w:sz w:val="22"/>
          <w:szCs w:val="22"/>
        </w:rPr>
        <w:t xml:space="preserve">F. Analytic derivation of buffered profile local slope c1 ≈ −1.59 from disk kernel geometry.</w:t>
      </w:r>
    </w:p>
    <w:p>
      <w:pPr>
        <w:spacing w:after="120"/>
        <w:jc w:val="left"/>
      </w:pPr>
      <w:r>
        <w:rPr>
          <w:rFonts w:ascii="Arial" w:cs="Arial" w:eastAsia="Arial" w:hAnsi="Arial"/>
          <w:b w:val="false"/>
          <w:bCs w:val="false"/>
          <w:color w:val="000000"/>
          <w:sz w:val="22"/>
          <w:szCs w:val="22"/>
        </w:rPr>
        <w:t xml:space="preserve">G. Physical mechanism connecting inner completion S to the buffered ETG residual mode (best current form: Z = log(Rb/δu) + 0.30 S; empirically confirmed, mechanism unconfirmed).</w:t>
      </w:r>
    </w:p>
    <w:p>
      <w:pPr>
        <w:spacing w:after="120"/>
        <w:jc w:val="left"/>
      </w:pPr>
      <w:r>
        <w:rPr>
          <w:rFonts w:ascii="Arial" w:cs="Arial" w:eastAsia="Arial" w:hAnsi="Arial"/>
          <w:b w:val="false"/>
          <w:bCs w:val="false"/>
          <w:color w:val="000000"/>
          <w:sz w:val="22"/>
          <w:szCs w:val="22"/>
        </w:rPr>
        <w:t xml:space="preserve">H. IllustrisTNG/EAGLE test.</w:t>
      </w:r>
    </w:p>
    <w:p>
      <w:pPr>
        <w:spacing w:after="120"/>
        <w:jc w:val="left"/>
      </w:pPr>
      <w:r>
        <w:rPr>
          <w:rFonts w:ascii="Arial" w:cs="Arial" w:eastAsia="Arial" w:hAnsi="Arial"/>
          <w:b w:val="false"/>
          <w:bCs w:val="false"/>
          <w:color w:val="000000"/>
          <w:sz w:val="22"/>
          <w:szCs w:val="22"/>
        </w:rPr>
        <w:t xml:space="preserve">I. Priority I closed: Q12 is primarily organised by Q14 (R² = 0.768). Bulge fraction adds negligible power beyond Q14. A weak signed-log initial-load correction exists (p ≈ 0.01) but does not alter the dominant structure. No separate buffered inner law confirmed. CLOSED.</w:t>
      </w:r>
    </w:p>
    <w:p>
      <w:pPr>
        <w:spacing w:after="120"/>
        <w:jc w:val="left"/>
      </w:pPr>
      <w:r>
        <w:rPr>
          <w:rFonts w:ascii="Arial" w:cs="Arial" w:eastAsia="Arial" w:hAnsi="Arial"/>
          <w:b w:val="false"/>
          <w:bCs w:val="false"/>
          <w:color w:val="000000"/>
          <w:sz w:val="22"/>
          <w:szCs w:val="22"/>
        </w:rPr>
        <w:t xml:space="preserve">J. LTG N=141 sample rule: confirmed as h/r_out ≤ 0.3168 (global log-linear SBdisk fit), boundary galaxies UGCA444 (in) / UGC07608 (out). CLOSED.</w:t>
      </w:r>
    </w:p>
    <w:p>
      <w:pPr>
        <w:pStyle w:val="Heading1"/>
        <w:spacing w:after="160" w:before="320"/>
      </w:pPr>
      <w:r>
        <w:rPr>
          <w:rFonts w:ascii="Arial" w:cs="Arial" w:eastAsia="Arial" w:hAnsi="Arial"/>
          <w:b/>
          <w:bCs/>
          <w:color w:val="1F3864"/>
          <w:sz w:val="32"/>
          <w:szCs w:val="32"/>
        </w:rPr>
        <w:t xml:space="preserve">18.  Results Summary</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000"/>
        <w:gridCol w:w="1600"/>
        <w:gridCol w:w="1860"/>
      </w:tblGrid>
      <w:tr>
        <w:tc>
          <w:tcPr>
            <w:tcW w:type="dxa" w:w="22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Population</w:t>
            </w:r>
          </w:p>
        </w:tc>
        <w:tc>
          <w:tcPr>
            <w:tcW w:type="dxa" w:w="7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n</w:t>
            </w:r>
          </w:p>
        </w:tc>
        <w:tc>
          <w:tcPr>
            <w:tcW w:type="dxa" w:w="20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Model</w:t>
            </w:r>
          </w:p>
        </w:tc>
        <w:tc>
          <w:tcPr>
            <w:tcW w:type="dxa" w:w="160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Metric</w:t>
            </w:r>
          </w:p>
        </w:tc>
        <w:tc>
          <w:tcPr>
            <w:tcW w:type="dxa" w:w="1860"/>
            <w:tcBorders>
              <w:top w:val="single" w:color="2E75B6" w:sz="1"/>
              <w:left w:val="single" w:color="2E75B6" w:sz="1"/>
              <w:bottom w:val="single" w:color="2E75B6" w:sz="1"/>
              <w:right w:val="single" w:color="2E75B6" w:sz="1"/>
            </w:tcBorders>
            <w:shd w:fill="DDEEFF" w:val="clear"/>
            <w:tcMar>
              <w:top w:type="dxa" w:w="60"/>
              <w:left w:type="dxa" w:w="120"/>
              <w:bottom w:type="dxa" w:w="60"/>
              <w:right w:type="dxa" w:w="120"/>
            </w:tcMar>
          </w:tcPr>
          <w:p>
            <w:r>
              <w:rPr>
                <w:rFonts w:ascii="Arial" w:cs="Arial" w:eastAsia="Arial" w:hAnsi="Arial"/>
                <w:b/>
                <w:bCs/>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Clean LTGs (b&lt;0.1)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Memory law, 0 params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RMSE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20.60 km/s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All LTGs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Memory law, 0 params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RMSE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29.44 km/s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 ETGs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 kernel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RMSE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≈8.89 km/s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Main ETGs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Main kernel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RMSE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≈34–41 km/s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 single-channel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Two-channel + suppression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Median RMSE</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≈5.2 km/s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LTG/ETG gate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191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Three-condition classifier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Accuracy</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97.4%</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Outer gate (16 ETGs)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Xout &lt; Rmax/(1−Rd)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Classification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16/16</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Buffered-branch (AUC)</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Rd alone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AUC</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0.964</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Stage-4 disk force (R²)</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⟨Σ⟩d × z^b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R² (full/hi-load)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0.856 / 0.876</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LTG outer routes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u(r) crossing analysis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Low-load / buffered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81 / 77</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LTG outer infeasible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u(r_out) ≥ 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Count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19.  Conclusion</w:t>
      </w:r>
    </w:p>
    <w:p>
      <w:pPr>
        <w:spacing w:after="120"/>
        <w:jc w:val="left"/>
      </w:pPr>
      <w:r>
        <w:rPr>
          <w:rFonts w:ascii="Arial" w:cs="Arial" w:eastAsia="Arial" w:hAnsi="Arial"/>
          <w:b w:val="false"/>
          <w:bCs w:val="false"/>
          <w:color w:val="000000"/>
          <w:sz w:val="22"/>
          <w:szCs w:val="22"/>
        </w:rPr>
        <w:t xml:space="preserve">The MTS framework yields a transport-response law for disk galaxies with cosmological normalisation, photometric scale closure, zero-parameter memory correction, and emergent response branching. LTGs follow a closed first-order law (median RMSE 20.60 km/s, zero free parameters). ETGs form a multi-family, multi-sign response sector with a layered structure.</w:t>
      </w:r>
    </w:p>
    <w:p>
      <w:pPr>
        <w:spacing w:after="120"/>
        <w:jc w:val="left"/>
      </w:pPr>
      <w:r>
        <w:rPr>
          <w:rFonts w:ascii="Arial" w:cs="Arial" w:eastAsia="Arial" w:hAnsi="Arial"/>
          <w:b w:val="false"/>
          <w:bCs w:val="false"/>
          <w:color w:val="000000"/>
          <w:sz w:val="22"/>
          <w:szCs w:val="22"/>
        </w:rPr>
        <w:t xml:space="preserve">The ETG sector is governed by a four-condition intersection: profile family, sign gate, inner feasibility (S ≲ 1.70, 15/16 correct), and outer capacity (u ≤ 1). The outer gate factorises exactly into a load coordinate Xout and a disk-carried cancellation coordinate Rd. The viability boundary Xout &lt; Rmax/(1 − Rd) classifies all 16 ETGs correctly.</w:t>
      </w:r>
    </w:p>
    <w:p>
      <w:pPr>
        <w:spacing w:after="120"/>
        <w:jc w:val="left"/>
      </w:pPr>
      <w:r>
        <w:rPr>
          <w:rFonts w:ascii="Arial" w:cs="Arial" w:eastAsia="Arial" w:hAnsi="Arial"/>
          <w:b w:val="false"/>
          <w:bCs w:val="false"/>
          <w:color w:val="000000"/>
          <w:sz w:val="22"/>
          <w:szCs w:val="22"/>
        </w:rPr>
        <w:t xml:space="preserve">New results in v8/v9: (1) The exact outer control variable δu = 1 − u = (Xcrit − Xout)/Xcrit is confirmed for all 16 ETGs. (2) Buffered outer-viable ETGs share a common rescaled radial approach profile near u = 1, with a one-mode residual structure organised by Z = log(Rb/δu) + 0.30 S (LOO = 0.0017, verified). (3) The joint (S, u_out) plane maps 175 SPARC galaxies and confirms the ETG-exclusive empty quadrant S ≥ 1.7, u_out &lt; 1. (4) LTGs show the same low-load / buffered outer route split (81/77), with boundary approach organised by f_gas,out − 0.869 Δ (permutation p = 0.008). (5) The S → Umax law is confirmed in LTGs (R² = 0.923, N=141), establishing it as a general cross-type result. (6) The LTG inner admissibility rule is confirmed as h/r_out ≤ 0.3168 (Priority J closed). Updated in v10: (7) Priority O closed: NGC2841 fails Ω_in &gt; 1 (Ω_in = 0.609 from raw files); NGC4157 is a central-deficit crossing object, not an H+ candidate. No confirmed LTG H+ objects. (8) The LTG buffered branch splits into 52 upward-crossing and 25 straight-down objects, predictable from u(R0) and S_inner (AUC = 0.912). Straight-down outer error is controlled by g = memory_load × x_cross (Pearson = +0.782). (9) Priority I closed: Q12 is primarily organised by Q14 (R² = 0.768, N=124 strict inner set). No separate buffered inner law is required.</w:t>
      </w:r>
    </w:p>
    <w:p>
      <w:pPr>
        <w:pStyle w:val="Heading1"/>
        <w:spacing w:after="160" w:before="320"/>
      </w:pPr>
      <w:r>
        <w:rPr>
          <w:rFonts w:ascii="Arial" w:cs="Arial" w:eastAsia="Arial" w:hAnsi="Arial"/>
          <w:b/>
          <w:bCs/>
          <w:color w:val="1F3864"/>
          <w:sz w:val="32"/>
          <w:szCs w:val="32"/>
        </w:rPr>
        <w:t xml:space="preserve">20.  Methods and Data</w:t>
      </w:r>
    </w:p>
    <w:p>
      <w:pPr>
        <w:spacing w:after="120"/>
        <w:jc w:val="left"/>
      </w:pPr>
      <w:r>
        <w:rPr>
          <w:rFonts w:ascii="Arial" w:cs="Arial" w:eastAsia="Arial" w:hAnsi="Arial"/>
          <w:b w:val="false"/>
          <w:bCs w:val="false"/>
          <w:color w:val="000000"/>
          <w:sz w:val="22"/>
          <w:szCs w:val="22"/>
        </w:rPr>
        <w:t xml:space="preserve">Data: SPARC ROTMOD files (Lelli et al. 2016, 175 galaxies). ETG rotation curves from ATLAS3D (16 galaxies). ETG photometric decompositions: Laurikainen et al. 2011, MNRAS 418:1452 (NIRS0S atlas). High-resolution bulge/disk component profiles used for all inner-branch and outer-chain computations.</w:t>
      </w:r>
    </w:p>
    <w:p>
      <w:pPr>
        <w:spacing w:after="120"/>
        <w:jc w:val="left"/>
      </w:pPr>
      <w:r>
        <w:rPr>
          <w:rFonts w:ascii="Arial" w:cs="Arial" w:eastAsia="Arial" w:hAnsi="Arial"/>
          <w:b w:val="false"/>
          <w:bCs w:val="false"/>
          <w:color w:val="000000"/>
          <w:sz w:val="22"/>
          <w:szCs w:val="22"/>
        </w:rPr>
        <w:t xml:space="preserve">Baryonic convention: V̅²har = V²gas + 0.5 V²disk + 0.7 V²bul; M/Ldisk = 0.5, M/Lbul = 0.7.</w:t>
      </w:r>
    </w:p>
    <w:p>
      <w:pPr>
        <w:spacing w:after="120"/>
        <w:jc w:val="left"/>
      </w:pPr>
      <w:r>
        <w:rPr>
          <w:rFonts w:ascii="Arial" w:cs="Arial" w:eastAsia="Arial" w:hAnsi="Arial"/>
          <w:b w:val="false"/>
          <w:bCs w:val="false"/>
          <w:color w:val="000000"/>
          <w:sz w:val="22"/>
          <w:szCs w:val="22"/>
        </w:rPr>
        <w:t xml:space="preserve">File conventions: ROTMOD files: comments='#'. Bulge/disk component files: comments='!'. G_supp must use the IBP form; derivative-based form underestimates 10–15% on coarse grids.</w:t>
      </w:r>
    </w:p>
    <w:p>
      <w:pPr>
        <w:spacing w:after="120"/>
        <w:jc w:val="left"/>
      </w:pPr>
      <w:r>
        <w:rPr>
          <w:rFonts w:ascii="Arial" w:cs="Arial" w:eastAsia="Arial" w:hAnsi="Arial"/>
          <w:b w:val="false"/>
          <w:bCs w:val="false"/>
          <w:color w:val="000000"/>
          <w:sz w:val="22"/>
          <w:szCs w:val="22"/>
        </w:rPr>
        <w:t xml:space="preserve">Canonical rin values: NGC2685 = 0.310, NGC3626 = 0.370, NGC3941 = 0.270, NGC4203 = 0.460 kpc (locked). All other ETGs use first rotmod row.</w:t>
      </w:r>
    </w:p>
    <w:p>
      <w:pPr>
        <w:spacing w:after="120"/>
        <w:jc w:val="left"/>
      </w:pPr>
      <w:r>
        <w:rPr>
          <w:rFonts w:ascii="Arial" w:cs="Arial" w:eastAsia="Arial" w:hAnsi="Arial"/>
          <w:b w:val="false"/>
          <w:bCs w:val="false"/>
          <w:color w:val="000000"/>
          <w:sz w:val="22"/>
          <w:szCs w:val="22"/>
        </w:rPr>
        <w:t xml:space="preserve">Framework constants: Γ0 = 809.956 km²/s²/kpc; Rmax = 1.758948; C = 0.459411; U* = 0.201803; p = 0.03.</w:t>
      </w:r>
    </w:p>
    <w:p>
      <w:pPr>
        <w:spacing w:after="120"/>
        <w:jc w:val="left"/>
      </w:pPr>
      <w:r>
        <w:rPr>
          <w:rFonts w:ascii="Arial" w:cs="Arial" w:eastAsia="Arial" w:hAnsi="Arial"/>
          <w:b w:val="false"/>
          <w:bCs w:val="false"/>
          <w:color w:val="000000"/>
          <w:sz w:val="22"/>
          <w:szCs w:val="22"/>
        </w:rPr>
        <w:t xml:space="preserve">Evaluation: RMSE = √(mean[(Vmodel − Vobs)²]).</w:t>
      </w:r>
    </w:p>
    <w:p>
      <w:pPr>
        <w:spacing w:after="120"/>
        <w:jc w:val="left"/>
      </w:pPr>
      <w:r>
        <w:rPr>
          <w:rFonts w:ascii="Arial" w:cs="Arial" w:eastAsia="Arial" w:hAnsi="Arial"/>
          <w:b w:val="false"/>
          <w:bCs w:val="false"/>
          <w:color w:val="000000"/>
          <w:sz w:val="22"/>
          <w:szCs w:val="22"/>
        </w:rPr>
        <w:t xml:space="preserve">All tables: verified from raw ETG and LTG files. No numbers are taken from fitted models without raw-file confirmation. Numbers marked [UNVERIFIED] or flagged in the open-items list should not be cited without further checking.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2026-04-22T22:15:20.072Z</dcterms:created>
  <dcterms:modified xsi:type="dcterms:W3CDTF">2026-04-22T22:15:20.073Z</dcterms:modified>
</cp:coreProperties>
</file>

<file path=docProps/custom.xml><?xml version="1.0" encoding="utf-8"?>
<Properties xmlns="http://schemas.openxmlformats.org/officeDocument/2006/custom-properties" xmlns:vt="http://schemas.openxmlformats.org/officeDocument/2006/docPropsVTypes"/>
</file>