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MTS Galaxy Law</w:t>
      </w:r>
    </w:p>
    <w:p>
      <w:pPr>
        <w:jc w:val="center"/>
      </w:pPr>
      <w:r>
        <w:rPr>
          <w:b/>
          <w:bCs/>
        </w:rPr>
        <w:t xml:space="preserve">The Motion–Timespace (MTS) Galaxy Law:</w:t>
      </w:r>
    </w:p>
    <w:p>
      <w:pPr>
        <w:spacing w:after="180"/>
        <w:jc w:val="center"/>
      </w:pPr>
      <w:r>
        <w:rPr>
          <w:b/>
          <w:bCs/>
        </w:rPr>
        <w:t xml:space="preserve">A Transport–Response Framework for Disk Galaxies</w:t>
      </w:r>
    </w:p>
    <w:p>
      <w:pPr>
        <w:spacing w:after="240"/>
        <w:jc w:val="center"/>
      </w:pPr>
      <w:r>
        <w:rPr>
          <w:i/>
          <w:iCs/>
        </w:rPr>
        <w:t xml:space="preserve">Version 16  —  post-verification draft incorporating Experiments 1–15 + EXP06–EXP48B (geometry audit, membership lock, PC1 scope, shape probe, R85 geometry audit, Priority L robustness table, inv_sqrt curvature scalar, Stage-4 R85 preference, three-variable Priority L diagnostic)</w:t>
      </w:r>
    </w:p>
    <w:p>
      <w:pPr>
        <w:pStyle w:val="Heading1"/>
      </w:pPr>
      <w:r>
        <w:rPr>
          <w:b/>
          <w:bCs/>
        </w:rPr>
        <w:t xml:space="preserve">Abstract</w:t>
      </w:r>
    </w:p>
    <w:p>
      <w:pPr>
        <w:spacing w:after="120"/>
      </w:pPr>
      <w:r>
        <w:t xml:space="preserve">We present a transport-based derivation of galaxy rotation curves within the Motion–Timespace (MTS) framework. A curvature–exchange field, emerging from a coarse-grained microscopic motion field ψ, drives a support field whose radial transport produces a closed-form rotation law. The resulting background law is cosmologically normalised and contains no free parameters.</w:t>
      </w:r>
    </w:p>
    <w:p>
      <w:pPr>
        <w:spacing w:after="120"/>
      </w:pPr>
      <w:r>
        <w:t xml:space="preserve">First-order corrections arise from structural deviations — specifically gas depletion and bulge concentration. The governing variable is an integrated transport memory, producing a zero-parameter saturating modification of the effective transport scale. Residuals reorganise into distinct response families characterised by different radial kernels.</w:t>
      </w:r>
    </w:p>
    <w:p>
      <w:pPr>
        <w:spacing w:after="120"/>
      </w:pPr>
      <w:r>
        <w:t xml:space="preserve">Late-type galaxies (LTGs) follow a unified transport law with memory-driven corrections. The LTG buffered branch splits into 52 upward-crossing and 25 single-crossing outer-approach objects, predictable from initial load u(R₀) and inner concentration Sᴵₙₙₑʳ (AUC = 0.912 on valid-inner subset N = 55). Single-crossing outer error is organised by a two-scalar model using g = memory_load × x_cross and the memory-law gap L_gap = L_sat − L_exact (LOO RMSE ≈ 10 km/s, severity Spearman = 0.888, top-5 exact identification with 5/5 overlap stable across all seven robustness guard rows). An additional CDC-low-load route (N = 17) is identified and characterised.</w:t>
      </w:r>
    </w:p>
    <w:p>
      <w:pPr>
        <w:spacing w:after="120"/>
      </w:pPr>
      <w:r>
        <w:t xml:space="preserve">Early-type galaxies (ETGs) form a multi-family, multi-sign response sector governed by a layered four-condition intersection structure. The outer gate factorises exactly into a load coordinate X_out and a disk-carried cancellation coordinate R_d, with the viable single-channel H+ branch admitting a full structural reduction to a density-plus-geometry disk-force kernel law (K_full = 0.03060, K_hl = 0.03372, verified). A universal completion-ratio law U_max ≈ 0.23–0.24 − 0.058 ln(S) (R² ≈ 0.85–0.92) organises inner feasibility across both galaxy types.</w:t>
      </w:r>
    </w:p>
    <w:p>
      <w:pPr>
        <w:spacing w:after="120"/>
      </w:pPr>
      <w:r>
        <w:t xml:space="preserve">The crossing-window slope satisfies the parameter-free geometric identity c₁ = −δu/(1 − x_cross) with Pearson r = 0.998 and Spearman = 1.000 (Priority K, closed). ETG disk-buffered crossing-window curvature follows A ≈ k(1 − x_cross), k ≈ 1.03–1.08 (R² = 0.82–0.97), stable under all tested curvature definitions. LTG single-crossing curvature is controlled by retained load: A ≈ −2.67 + 2.74/√u₀.₇₅ (R² = 0.78, strict N=19), a structurally distinct regime from ETG interval-geometry control. The Stage-4 disk-force law empirically prefers the enclosed-mass radius R₈₅ in all clean high-load route-conditioned rows; the strongest row is HL11-minus-NGC3998 with r_out/R₈₅: R² = 0.965, LOO = 0.156 log units, stable in 8/11 jackknife leave-outs (NGC3626-sensitive).</w:t>
      </w:r>
    </w:p>
    <w:p>
      <w:pPr>
        <w:spacing w:after="120"/>
      </w:pPr>
      <w:r>
        <w:rPr>
          <w:i/>
          <w:iCs/>
        </w:rPr>
        <w:t xml:space="preserve">Performance note: Current-formula global performance under the exact gas-dependent memory law: all LTGs (N=175) median RMSE = 17.15 km/s, mean = 21.90 km/s.</w:t>
      </w:r>
    </w:p>
    <w:p>
      <w:pPr>
        <w:pStyle w:val="Heading1"/>
      </w:pPr>
      <w:r>
        <w:rPr>
          <w:b/>
          <w:bCs/>
        </w:rPr>
        <w:t xml:space="preserve">1.  Introduction</w:t>
      </w:r>
    </w:p>
    <w:p>
      <w:pPr>
        <w:spacing w:after="120"/>
      </w:pPr>
      <w:r>
        <w:t xml:space="preserve">Galaxy rotation curves exhibit systematic deviations from baryonic expectations. Existing approaches either introduce additional matter components (dark matter haloes) or modify gravitational dynamics (MOND and variants). The Motion–Timespace (MTS) framework treats galaxy dynamics as a macroscopic transport response to a cosmological curvature–motion background, requiring neither dark matter nor modified gravity.</w:t>
      </w:r>
    </w:p>
    <w:p>
      <w:pPr>
        <w:spacing w:after="120"/>
      </w:pPr>
      <w:r>
        <w:t xml:space="preserve">This work derives the galaxy law within the MTS framework, tests it directly against raw rotation curve data from the SPARC catalogue, and identifies the minimal correction structure required by observations. The LTG sector admits a closed first-order description. The ETG sector requires a structurally distinct layered treatment whose outer gate can be written as an exact geometric condition in the (X_out, R_d) plane.</w:t>
      </w:r>
    </w:p>
    <w:p>
      <w:pPr>
        <w:pStyle w:val="Heading1"/>
      </w:pPr>
      <w:r>
        <w:rPr>
          <w:b/>
          <w:bCs/>
        </w:rPr>
        <w:t xml:space="preserve">2.  The MTS Framework</w:t>
      </w:r>
    </w:p>
    <w:p>
      <w:pPr>
        <w:pStyle w:val="Heading2"/>
      </w:pPr>
      <w:r>
        <w:rPr>
          <w:b/>
          <w:bCs/>
        </w:rPr>
        <w:t xml:space="preserve">2.1  Emergent geometry</w:t>
      </w:r>
    </w:p>
    <w:p>
      <w:pPr>
        <w:spacing w:after="120"/>
      </w:pPr>
      <w:r>
        <w:t xml:space="preserve">A scalar field ψ defines an emergent metric via coarse-grained gradient covariance: </w:t>
      </w:r>
      <w:r>
        <w:rPr>
          <w:b/>
          <w:bCs/>
        </w:rPr>
        <w:t xml:space="preserve">g</w:t>
      </w:r>
      <w:r>
        <w:t xml:space="preserve">μν = ημν + ⟨∂μψ, ∂νψ⟩</w:t>
      </w:r>
    </w:p>
    <w:p>
      <w:pPr>
        <w:pStyle w:val="Heading2"/>
      </w:pPr>
      <w:r>
        <w:rPr>
          <w:b/>
          <w:bCs/>
        </w:rPr>
        <w:t xml:space="preserve">2.2  Curvature–exchange field</w:t>
      </w:r>
    </w:p>
    <w:p>
      <w:pPr>
        <w:spacing w:after="120"/>
      </w:pPr>
      <w:r>
        <w:t xml:space="preserve">A scalar Γ = F[ψ, g] encodes curvature–motion exchange. The present work requires only: (i) the emergent metric from gradient covariance of ψ, and (ii) a curvature–exchange field Γ coupling to macroscopic transport.</w:t>
      </w:r>
    </w:p>
    <w:p>
      <w:pPr>
        <w:pStyle w:val="Heading1"/>
      </w:pPr>
      <w:r>
        <w:rPr>
          <w:b/>
          <w:bCs/>
        </w:rPr>
        <w:t xml:space="preserve">3.  Transport Equation and Background Law</w:t>
      </w:r>
    </w:p>
    <w:p>
      <w:pPr>
        <w:spacing w:after="120"/>
      </w:pPr>
      <w:r>
        <w:t xml:space="preserve">The transport equation is: uμ ∇μχ + χ/τΓ = Γ0/4</w:t>
      </w:r>
    </w:p>
    <w:p>
      <w:pPr>
        <w:spacing w:after="120"/>
      </w:pPr>
      <w:r>
        <w:t xml:space="preserve">In the stationary disk limit, with L = vΓτΓ, the background solution is: χ(r) = (Γ0/4) L [1 − exp(−r/L)]</w:t>
      </w:r>
    </w:p>
    <w:p>
      <w:pPr>
        <w:spacing w:after="120"/>
      </w:pPr>
      <w:r>
        <w:t xml:space="preserve">Mapping to observables via V²(r) = V̄²_bar(r) + χ(r) and the cosmological normalisation Γ0 = cH₀/(8π) yields the zero-parameter background galaxy law.</w:t>
      </w:r>
    </w:p>
    <w:p>
      <w:pPr>
        <w:spacing w:after="120"/>
      </w:pPr>
      <w:r>
        <w:rPr>
          <w:b/>
          <w:bCs/>
        </w:rPr>
        <w:t xml:space="preserve">Working constants (all locked, verified from raw files):</w:t>
      </w:r>
    </w:p>
    <w:p>
      <w:pPr>
        <w:spacing w:after="120"/>
      </w:pPr>
      <w:r>
        <w:rPr>
          <w:rFonts w:ascii="Courier New" w:cs="Courier New" w:eastAsia="Courier New" w:hAnsi="Courier New"/>
          <w:sz w:val="20"/>
          <w:szCs w:val="20"/>
        </w:rPr>
        <w:t xml:space="preserve">Γ0 = 809.956 km²/s²/kpc     R_max = 1.758948     q = 0.77 (global exponent)</w:t>
      </w:r>
    </w:p>
    <w:p>
      <w:pPr>
        <w:pStyle w:val="Heading1"/>
      </w:pPr>
      <w:r>
        <w:rPr>
          <w:b/>
          <w:bCs/>
        </w:rPr>
        <w:t xml:space="preserve">4.  LTG Sector</w:t>
      </w:r>
    </w:p>
    <w:p>
      <w:pPr>
        <w:pStyle w:val="Heading2"/>
      </w:pPr>
      <w:r>
        <w:rPr>
          <w:b/>
          <w:bCs/>
        </w:rPr>
        <w:t xml:space="preserve">4.1  Photometric closure</w:t>
      </w:r>
    </w:p>
    <w:p>
      <w:pPr>
        <w:spacing w:after="120"/>
      </w:pPr>
      <w:r>
        <w:t xml:space="preserve">For exponential disks, j̄_har = 2hV_φα, giving L_pred = 2kh ≈ 1.8h.</w:t>
      </w:r>
    </w:p>
    <w:p>
      <w:pPr>
        <w:pStyle w:val="Heading2"/>
      </w:pPr>
      <w:r>
        <w:rPr>
          <w:b/>
          <w:bCs/>
        </w:rPr>
        <w:t xml:space="preserve">4.2  Transport memory law</w:t>
      </w:r>
    </w:p>
    <w:p>
      <w:pPr>
        <w:spacing w:after="120"/>
      </w:pPr>
      <w:r>
        <w:t xml:space="preserve">The governing variable is memory_load = (1 − f_gas)(R_out / h). The effective transport scale is:</w:t>
      </w:r>
    </w:p>
    <w:p>
      <w:pPr>
        <w:spacing w:after="120"/>
      </w:pPr>
      <w:r>
        <w:rPr>
          <w:rFonts w:ascii="Courier New" w:cs="Courier New" w:eastAsia="Courier New" w:hAnsi="Courier New"/>
          <w:sz w:val="20"/>
          <w:szCs w:val="20"/>
        </w:rPr>
        <w:t xml:space="preserve">L_eff = 1.8h [ 1 + S_mem ( 1 − exp(−memory_load / S_mem) ) ]</w:t>
      </w:r>
    </w:p>
    <w:p>
      <w:pPr>
        <w:spacing w:after="120"/>
      </w:pPr>
      <w:r>
        <w:rPr>
          <w:rFonts w:ascii="Courier New" w:cs="Courier New" w:eastAsia="Courier New" w:hAnsi="Courier New"/>
          <w:sz w:val="20"/>
          <w:szCs w:val="20"/>
        </w:rPr>
        <w:t xml:space="preserve">S_mem = (0.9/π)(R_out / h)</w:t>
      </w:r>
    </w:p>
    <w:p>
      <w:pPr>
        <w:spacing w:after="120"/>
      </w:pPr>
      <w:r>
        <w:t xml:space="preserve">This is the canonical exact gas-dependent memory law. The saturated approximation is not used for headline statistics.</w:t>
      </w:r>
    </w:p>
    <w:p>
      <w:pPr>
        <w:spacing w:after="120"/>
      </w:pPr>
      <w:r>
        <w:rPr>
          <w:b/>
          <w:bCs/>
        </w:rPr>
        <w:t xml:space="preserve">Gas fraction convention (v18 locked): </w:t>
      </w:r>
      <w:r>
        <w:t xml:space="preserve">f_gas is computed as V²_gas / (V²_gas + 0.5V²_disk + 0.7V²_bul) evaluated at r_out. This is the baryonic gas fraction, not the total-rotation fraction V²_gas/V²_obs. These two definitions differ by a factor of up to ~8 for gas-rich systems.</w:t>
      </w:r>
    </w:p>
    <w:p>
      <w:pPr>
        <w:pStyle w:val="Heading2"/>
      </w:pPr>
      <w:r>
        <w:rPr>
          <w:b/>
          <w:bCs/>
        </w:rPr>
        <w:t xml:space="preserve">4.3  Complete LTG law</w:t>
      </w:r>
    </w:p>
    <w:p>
      <w:pPr>
        <w:spacing w:after="120"/>
      </w:pPr>
      <w:r>
        <w:rPr>
          <w:rFonts w:ascii="Courier New" w:cs="Courier New" w:eastAsia="Courier New" w:hAnsi="Courier New"/>
          <w:sz w:val="20"/>
          <w:szCs w:val="20"/>
        </w:rPr>
        <w:t xml:space="preserve">V²(r) = V̄²_bar(r) + Γ0 × L_eff × [1 − exp(−(r/L_eff)ᵡ]</w:t>
      </w:r>
    </w:p>
    <w:p>
      <w:pPr>
        <w:spacing w:after="120"/>
      </w:pPr>
      <w:r>
        <w:t xml:space="preserve">where V̄²_bar = V²_gas + 0.5 V²_disk + 0.7 V²_bul, q = 0.77, Γ0 = 809.956.</w:t>
      </w:r>
    </w:p>
    <w:p>
      <w:pPr>
        <w:pStyle w:val="Heading2"/>
      </w:pPr>
      <w:r>
        <w:rPr>
          <w:b/>
          <w:bCs/>
        </w:rPr>
        <w:t xml:space="preserve">4.4  LTG global performance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2200"/>
        <w:gridCol w:w="1700"/>
        <w:gridCol w:w="1700"/>
      </w:tblGrid>
      <w:tr>
        <w:tc>
          <w:tcPr>
            <w:tcW w:type="dxa" w:w="2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Sample</w:t>
            </w:r>
          </w:p>
        </w:tc>
        <w:tc>
          <w:tcPr>
            <w:tcW w:type="dxa" w:w="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2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Model</w:t>
            </w:r>
          </w:p>
        </w:tc>
        <w:tc>
          <w:tcPr>
            <w:tcW w:type="dxa" w:w="1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Median RMSE</w:t>
            </w:r>
          </w:p>
        </w:tc>
        <w:tc>
          <w:tcPr>
            <w:tcW w:type="dxa" w:w="1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Mean RMSE</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All LTGs</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Exact memory law</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17.15 km/s</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21.90 km/s</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Buffered upward-crossing</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52</w:t>
            </w:r>
          </w:p>
        </w:tc>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Exact memory law</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21.28 km/s</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22.94 km/s</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Buffered single-crossing</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25</w:t>
            </w:r>
          </w:p>
        </w:tc>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Exact memory law</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27.59 km/s</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37.50 km/s</w:t>
            </w:r>
          </w:p>
        </w:tc>
      </w:tr>
    </w:tbl>
    <w:p>
      <w:pPr>
        <w:spacing w:after="60"/>
      </w:pPr>
      <w:r>
        <w:t xml:space="preserve"/>
      </w:r>
    </w:p>
    <w:p>
      <w:pPr>
        <w:pStyle w:val="Heading1"/>
      </w:pPr>
      <w:r>
        <w:rPr>
          <w:b/>
          <w:bCs/>
        </w:rPr>
        <w:t xml:space="preserve">5.  LTG Outer Route Structure</w:t>
      </w:r>
    </w:p>
    <w:p>
      <w:pPr>
        <w:pStyle w:val="Heading2"/>
      </w:pPr>
      <w:r>
        <w:rPr>
          <w:b/>
          <w:bCs/>
        </w:rPr>
        <w:t xml:space="preserve">5.1  The outer load variable</w:t>
      </w:r>
    </w:p>
    <w:p>
      <w:pPr>
        <w:spacing w:after="120"/>
      </w:pPr>
      <w:r>
        <w:rPr>
          <w:rFonts w:ascii="Courier New" w:cs="Courier New" w:eastAsia="Courier New" w:hAnsi="Courier New"/>
          <w:sz w:val="20"/>
          <w:szCs w:val="20"/>
        </w:rPr>
        <w:t xml:space="preserve">u(r) = [V²_obs(r) − 0.5 V²_disk(r) − 0.7 V²_bul(r)] / (Γ0 r R_max)</w:t>
      </w:r>
    </w:p>
    <w:p>
      <w:pPr>
        <w:spacing w:after="120"/>
      </w:pPr>
      <w:r>
        <w:t xml:space="preserve">The outer gate criterion is u(r_out) &lt; 1. Route classification uses fine-grid interpolation with 10,000 radial points.</w:t>
      </w:r>
    </w:p>
    <w:p>
      <w:pPr>
        <w:pStyle w:val="Heading2"/>
      </w:pPr>
      <w:r>
        <w:rPr>
          <w:b/>
          <w:bCs/>
        </w:rPr>
        <w:t xml:space="preserve">5.2  Route counts (all verified from raw files)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4500"/>
      </w:tblGrid>
      <w:tr>
        <w:tc>
          <w:tcPr>
            <w:tcW w:type="dxa" w:w="3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Route</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Count</w:t>
            </w:r>
          </w:p>
        </w:tc>
        <w:tc>
          <w:tcPr>
            <w:tcW w:type="dxa" w:w="4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Note</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Low-load (u_out &lt; 1, no downward crossing)</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Buffered — upward-crossing</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52</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u(r) dips below 1, rises, then final descent</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Buffered — single-crossing</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25</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No upward recrossing through u = 1</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Outer-infeasible (u_out ≥ 1)</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Total</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4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bl>
    <w:p>
      <w:pPr>
        <w:spacing w:after="60"/>
      </w:pPr>
      <w:r>
        <w:t xml:space="preserve"/>
      </w:r>
    </w:p>
    <w:p>
      <w:pPr>
        <w:spacing w:after="120"/>
      </w:pPr>
      <w:r>
        <w:t xml:space="preserve">Total galaxies with u(R₀) &lt; 0: 39 (15 CDC-upward, 17 CDC-low-load, 7 outer-infeasible).</w:t>
      </w:r>
    </w:p>
    <w:p>
      <w:pPr>
        <w:pStyle w:val="Heading2"/>
      </w:pPr>
      <w:r>
        <w:rPr>
          <w:b/>
          <w:bCs/>
        </w:rPr>
        <w:t xml:space="preserve">5.3  Buffered regime split and classifier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300"/>
      </w:tblGrid>
      <w:tr>
        <w:tc>
          <w:tcPr>
            <w:tcW w:type="dxa" w:w="3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Predictor</w:t>
            </w:r>
          </w:p>
        </w:tc>
        <w:tc>
          <w:tcPr>
            <w:tcW w:type="dxa" w:w="1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AUC</w:t>
            </w:r>
          </w:p>
        </w:tc>
        <w:tc>
          <w:tcPr>
            <w:tcW w:type="dxa" w:w="4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Note</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−u(R₀)</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0.842</w:t>
            </w:r>
          </w:p>
        </w:tc>
        <w:tc>
          <w:tcPr>
            <w:tcW w:type="dxa" w:w="4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Dominant single predictor</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g_sep = −u(R₀) + 0.35 S_inner</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0.912</w:t>
            </w:r>
          </w:p>
        </w:tc>
        <w:tc>
          <w:tcPr>
            <w:tcW w:type="dxa" w:w="4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Best scalar, N=55 valid-inner subset</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g4 = −u(R₀) + 0.30S + 0.20(1−f_gas)</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0.931</w:t>
            </w:r>
          </w:p>
        </w:tc>
        <w:tc>
          <w:tcPr>
            <w:tcW w:type="dxa" w:w="4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N=55 valid-inner subset</w:t>
            </w:r>
          </w:p>
        </w:tc>
      </w:tr>
    </w:tbl>
    <w:p>
      <w:pPr>
        <w:spacing w:after="60"/>
      </w:pPr>
      <w:r>
        <w:t xml:space="preserve"/>
      </w:r>
    </w:p>
    <w:p>
      <w:pPr>
        <w:pStyle w:val="Heading2"/>
      </w:pPr>
      <w:r>
        <w:rPr>
          <w:b/>
          <w:bCs/>
        </w:rPr>
        <w:t xml:space="preserve">5.4  Single-crossing outer error model (Priority L)</w:t>
      </w:r>
    </w:p>
    <w:p>
      <w:pPr>
        <w:spacing w:after="120"/>
      </w:pPr>
      <w:r>
        <w:t xml:space="preserve">For the 25 single-crossing objects, outer error is organised by two independent scalars:</w:t>
      </w:r>
    </w:p>
    <w:p>
      <w:pPr>
        <w:spacing w:after="120"/>
      </w:pPr>
      <w:r>
        <w:rPr>
          <w:rFonts w:ascii="Courier New" w:cs="Courier New" w:eastAsia="Courier New" w:hAnsi="Courier New"/>
          <w:sz w:val="20"/>
          <w:szCs w:val="20"/>
        </w:rPr>
        <w:t xml:space="preserve">g = memory_load × x_cross_norm,   memory_load = (1 − f_gas)(r_out/h)</w:t>
      </w:r>
    </w:p>
    <w:p>
      <w:pPr>
        <w:spacing w:after="120"/>
      </w:pPr>
      <w:r>
        <w:rPr>
          <w:rFonts w:ascii="Courier New" w:cs="Courier New" w:eastAsia="Courier New" w:hAnsi="Courier New"/>
          <w:sz w:val="20"/>
          <w:szCs w:val="20"/>
        </w:rPr>
        <w:t xml:space="preserve">L_gap = L_sat − L_exact</w:t>
      </w:r>
    </w:p>
    <w:p>
      <w:pPr>
        <w:spacing w:after="120"/>
      </w:pPr>
      <w:r>
        <w:rPr>
          <w:b/>
          <w:bCs/>
        </w:rPr>
        <w:t xml:space="preserve">Canonical model (locked, paper-ready):</w:t>
      </w:r>
    </w:p>
    <w:p>
      <w:pPr>
        <w:spacing w:after="120"/>
      </w:pPr>
      <w:r>
        <w:rPr>
          <w:rFonts w:ascii="Courier New" w:cs="Courier New" w:eastAsia="Courier New" w:hAnsi="Courier New"/>
          <w:sz w:val="20"/>
          <w:szCs w:val="20"/>
        </w:rPr>
        <w:t xml:space="preserve">outer_MAE ≈ −10.315 + 8.645 g + 10.508 L_gap</w:t>
      </w:r>
    </w:p>
    <w:p>
      <w:pPr>
        <w:spacing w:after="120"/>
      </w:pPr>
      <w:r>
        <w:t xml:space="preserve">Applicability: h ≥ R[0]; exact gas-dependent L_eff; outer MAE over R ≥ x_cross. Canonical membership: strict N=19, clean N=18 (strict minus UGC03580).</w:t>
      </w:r>
    </w:p>
    <w:p>
      <w:pPr>
        <w:spacing w:after="120"/>
      </w:pPr>
      <w:r>
        <w:rPr>
          <w:b/>
          <w:bCs/>
        </w:rPr>
        <w:t xml:space="preserve">Strict N=19 membership: </w:t>
      </w:r>
      <w:r>
        <w:t xml:space="preserve">F579-V1, NGC1705, NGC2403, NGC2841, NGC2998, NGC3953, NGC4183, NGC4214, NGC5371, NGC5907, NGC6674, UGC02259, UGC02885, UGC03580, UGC04325, UGC05721, UGC06786, UGC08490, UGC12506.</w:t>
      </w:r>
    </w:p>
    <w:p>
      <w:pPr>
        <w:pStyle w:val="Heading3"/>
      </w:pPr>
      <w:r>
        <w:rPr>
          <w:b/>
          <w:bCs/>
        </w:rPr>
        <w:t xml:space="preserve">5.4.1  Robustness table (EXP41)</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
        <w:gridCol w:w="800"/>
        <w:gridCol w:w="1400"/>
        <w:gridCol w:w="1300"/>
        <w:gridCol w:w="1000"/>
      </w:tblGrid>
      <w:tr>
        <w:tc>
          <w:tcPr>
            <w:tcW w:type="dxa" w:w="3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Guard</w:t>
            </w:r>
          </w:p>
        </w:tc>
        <w:tc>
          <w:tcPr>
            <w:tcW w:type="dxa" w:w="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R²</w:t>
            </w:r>
          </w:p>
        </w:tc>
        <w:tc>
          <w:tcPr>
            <w:tcW w:type="dxa" w:w="1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LOO RMSE</w:t>
            </w:r>
          </w:p>
        </w:tc>
        <w:tc>
          <w:tcPr>
            <w:tcW w:type="dxa" w:w="1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Spearman</w:t>
            </w:r>
          </w:p>
        </w:tc>
        <w:tc>
          <w:tcPr>
            <w:tcW w:type="dxa" w:w="1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Top-5 LOO</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N=19</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0.874</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10.057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0.888</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Clean −UGC03580</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0.870</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10.480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0.887</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n_outer≥2</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0.891</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10.328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0.929</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Clean n_outer≥2</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0.888</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10.824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0.924</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−NGC3953</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0.877</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10.487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0.889</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−UGC04325</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0.887</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9.913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0.920</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Strict −both 1-pt</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0.891</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10.328 km/s</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0.929</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r>
    </w:tbl>
    <w:p>
      <w:pPr>
        <w:spacing w:after="60"/>
      </w:pPr>
      <w:r>
        <w:t xml:space="preserve"/>
      </w:r>
    </w:p>
    <w:p>
      <w:pPr>
        <w:spacing w:after="120"/>
      </w:pPr>
      <w:r>
        <w:t xml:space="preserve">Top-5 actual: NGC2841, NGC6674, UGC02885, UGC06786, UGC12506 (unchanged across all guards). Jackknife g coefficient: 7.64–9.29. Jackknife L_gap coefficient: 9.39–11.10.</w:t>
      </w:r>
    </w:p>
    <w:p>
      <w:pPr>
        <w:pStyle w:val="Heading3"/>
      </w:pPr>
      <w:r>
        <w:rPr>
          <w:b/>
          <w:bCs/>
        </w:rPr>
        <w:t xml:space="preserve">5.4.2  Edge cases</w:t>
      </w:r>
    </w:p>
    <w:p>
      <w:pPr>
        <w:spacing w:after="120"/>
      </w:pPr>
      <w:r>
        <w:t xml:space="preserve">UGC03580: x_cross_norm = 0.008, n_outer = 46. Inner-cusp artefact. Excluded from clean set. NGC3953: x_cross_norm = 0.9985, n_outer = 1. Genuine positive-residual late-load case at canonical u = 1; threshold-fragile (infeasible at u = 0.995). Kept in strict N=19 with explicit flags. UGC04325: x_cross_norm = 0.929, n_outer = 1. Route-stable; permanently one-point outer MAE. UGC06786: x_cross_norm = 0.838, n_outer = 3; curvature A = −0.495 (negative); u_0.75 = 1.178.</w:t>
      </w:r>
    </w:p>
    <w:p>
      <w:pPr>
        <w:spacing w:after="120"/>
      </w:pPr>
      <w:r>
        <w:rPr>
          <w:b/>
          <w:bCs/>
        </w:rPr>
        <w:t xml:space="preserve">Supercritical sub-population (u₀.₇₅ &gt; 1): </w:t>
      </w:r>
      <w:r>
        <w:t xml:space="preserve">NGC3953, UGC04325, UGC06786. Genuine late-load cases. Appear in both Priority L residual structure and LTG curvature analysis. Physically coherent late-load population.</w:t>
      </w:r>
    </w:p>
    <w:p>
      <w:pPr>
        <w:pStyle w:val="Heading3"/>
      </w:pPr>
      <w:r>
        <w:rPr>
          <w:b/>
          <w:bCs/>
        </w:rPr>
        <w:t xml:space="preserve">5.4.3  Three-variable extension (diagnostic only)</w:t>
      </w:r>
    </w:p>
    <w:p>
      <w:pPr>
        <w:spacing w:after="120"/>
      </w:pPr>
      <w:r>
        <w:t xml:space="preserve">Adding u_0.75 to the baseline improves LOO from 10.06 to 8.35 km/s on strict N=19. However, this advantage is driven by the three supercritical galaxies (u_0.75 &gt; 1). When those three are removed: u_0.75 LOO = 9.74 km/s vs baseline 9.04 km/s — the three-variable form performs </w:t>
      </w:r>
      <w:r>
        <w:rPr>
          <w:b/>
          <w:bCs/>
        </w:rPr>
        <w:t xml:space="preserve">worse than baseline</w:t>
      </w:r>
      <w:r>
        <w:t xml:space="preserve"> on the subcritical majority. On that same subcritical set, u_out achieves LOO = 7.79 km/s but loses top-5 ranking (3/5 vs baseline 4/5). Three-variable extensions are therefore recorded as diagnostic results, not promoted to canonical. The two-scalar g + L_gap model remains canonical.</w:t>
      </w:r>
    </w:p>
    <w:p>
      <w:pPr>
        <w:pStyle w:val="Heading3"/>
      </w:pPr>
      <w:r>
        <w:rPr>
          <w:b/>
          <w:bCs/>
        </w:rPr>
        <w:t xml:space="preserve">5.4.4  Late-load diagnostic (final)</w:t>
      </w:r>
    </w:p>
    <w:p>
      <w:pPr>
        <w:spacing w:after="120"/>
      </w:pPr>
      <w:r>
        <w:rPr>
          <w:rFonts w:ascii="Courier New" w:cs="Courier New" w:eastAsia="Courier New" w:hAnsi="Courier New"/>
          <w:sz w:val="20"/>
          <w:szCs w:val="20"/>
        </w:rPr>
        <w:t xml:space="preserve">u_out &gt; 0.64  AND  h/r_out &gt; 0.095</w:t>
      </w:r>
    </w:p>
    <w:p>
      <w:pPr>
        <w:spacing w:after="120"/>
      </w:pPr>
      <w:r>
        <w:t xml:space="preserve">TP = 5, FP = 0, Precision = 1.000, Recall = 0.500, F1 = 0.667, p = 0.000172. Grid-optimal precision-1 diagnostic — no alternative achieves precision = 1 with better recall (EXP26, confirmed final).</w:t>
      </w:r>
    </w:p>
    <w:p>
      <w:pPr>
        <w:pStyle w:val="Heading2"/>
      </w:pPr>
      <w:r>
        <w:rPr>
          <w:b/>
          <w:bCs/>
        </w:rPr>
        <w:t xml:space="preserve">5.5  CDC-low-load branch</w:t>
      </w:r>
    </w:p>
    <w:p>
      <w:pPr>
        <w:spacing w:after="120"/>
      </w:pPr>
      <w:r>
        <w:t xml:space="preserve">17 LTG galaxies with u(R₀) &lt; 0 and max u(r) &lt; 1 form a structurally distinct route. Members: NGC4217, NGC5055, NGC7331, NGC4389, NGC4085, UGC09037, UGC06614, NGC4088, UGC02455, UGC11557, NGC3769, UGC04305, F574-2, CamB, UGC08837, NGC4068, NGC0100. Full-curve RMSE model: RMSE ≈ 0.821 + 2.754·rise_amp + 70.703·(h/r_out), R² = 0.576, LOO ≈ 8.9 km/s. No outer MAE correction law exists. Treated as route taxonomy only.</w:t>
      </w:r>
    </w:p>
    <w:p>
      <w:pPr>
        <w:pStyle w:val="Heading2"/>
      </w:pPr>
      <w:r>
        <w:rPr>
          <w:b/>
          <w:bCs/>
        </w:rPr>
        <w:t xml:space="preserve">5.6  Crossing-window curvature structure (LTG)</w:t>
      </w:r>
    </w:p>
    <w:p>
      <w:pPr>
        <w:spacing w:after="120"/>
      </w:pPr>
      <w:r>
        <w:t xml:space="preserve">For the strict N=19 single-crossing LTGs, the endpoint-normalised window y(t) = (1−u(t))/(1−u_out) is fit by y(t) ≈ t + A·t(1−t). The curvature coefficient A is controlled by retained load:</w:t>
      </w:r>
    </w:p>
    <w:p>
      <w:pPr>
        <w:spacing w:after="120"/>
      </w:pPr>
      <w:r>
        <w:rPr>
          <w:rFonts w:ascii="Courier New" w:cs="Courier New" w:eastAsia="Courier New" w:hAnsi="Courier New"/>
          <w:sz w:val="20"/>
          <w:szCs w:val="20"/>
        </w:rPr>
        <w:t xml:space="preserve">A ≈ −2.671 + 2.735 / √u_0.75     (strict N=19, R² = 0.781, LOO = 0.316)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c>
          <w:tcPr>
            <w:tcW w:type="dxa" w:w="3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Transform</w:t>
            </w:r>
          </w:p>
        </w:tc>
        <w:tc>
          <w:tcPr>
            <w:tcW w:type="dxa" w:w="2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R² strict N=19</w:t>
            </w:r>
          </w:p>
        </w:tc>
        <w:tc>
          <w:tcPr>
            <w:tcW w:type="dxa" w:w="2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LOO strict N=19</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u_0.75</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0.677</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0.392</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√(u_0.75)</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0.720</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0.366</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log(u_0.75)</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0.756</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0.340</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1/√(u_0.75)  ← best tested</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0.781</w:t>
            </w:r>
          </w:p>
        </w:tc>
        <w:tc>
          <w:tcPr>
            <w:tcW w:type="dxa" w:w="2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0.316</w:t>
            </w:r>
          </w:p>
        </w:tc>
      </w:tr>
    </w:tbl>
    <w:p>
      <w:pPr>
        <w:spacing w:after="60"/>
      </w:pPr>
      <w:r>
        <w:t xml:space="preserve"/>
      </w:r>
    </w:p>
    <w:p>
      <w:pPr>
        <w:spacing w:after="120"/>
      </w:pPr>
      <w:r>
        <w:t xml:space="preserve">1/√(u_0.75) is jackknife sign-stable across all five tested subsets (slope range 2.42–3.11). The three supercritical galaxies (u_0.75 &gt; 1) are at the boundary of the model’s domain but remain in the fit; the model extrapolates for these cases. LTG curvature is load-retention-controlled, structurally different from ETG interval-geometry control (see §9.3).</w:t>
      </w:r>
    </w:p>
    <w:p>
      <w:pPr>
        <w:spacing w:after="120"/>
      </w:pPr>
      <w:r>
        <w:rPr>
          <w:b/>
          <w:bCs/>
        </w:rPr>
        <w:t xml:space="preserve">Additional curvature fits:</w:t>
      </w:r>
    </w:p>
    <w:p>
      <w:pPr>
        <w:spacing w:after="120"/>
      </w:pPr>
      <w:r>
        <w:rPr>
          <w:rFonts w:ascii="Courier New" w:cs="Courier New" w:eastAsia="Courier New" w:hAnsi="Courier New"/>
          <w:sz w:val="20"/>
          <w:szCs w:val="20"/>
        </w:rPr>
        <w:t xml:space="preserve">Buffered N=25:  A = −2.544 + 2.641/√u_0.75,  R² = 0.764, LOO = 0.289</w:t>
      </w:r>
    </w:p>
    <w:p>
      <w:pPr>
        <w:spacing w:after="120"/>
      </w:pPr>
      <w:r>
        <w:rPr>
          <w:rFonts w:ascii="Courier New" w:cs="Courier New" w:eastAsia="Courier New" w:hAnsi="Courier New"/>
          <w:sz w:val="20"/>
          <w:szCs w:val="20"/>
        </w:rPr>
        <w:t xml:space="preserve">Strict17 no 1-pt: A = −2.910 + 2.916/√u_0.75,  R² = 0.773, LOO = 0.327</w:t>
      </w:r>
    </w:p>
    <w:p>
      <w:pPr>
        <w:pStyle w:val="Heading2"/>
      </w:pPr>
      <w:r>
        <w:rPr>
          <w:b/>
          <w:bCs/>
        </w:rPr>
        <w:t xml:space="preserve">5.7  All-LTG u-profile PC1 taxonomy</w:t>
      </w:r>
    </w:p>
    <w:p>
      <w:pPr>
        <w:spacing w:after="120"/>
      </w:pPr>
      <w:r>
        <w:t xml:space="preserve">The PC1 of the all-LTG u(r/r_out) profile family is ≈0.81 (x_min = 0.05, 200-point grid). This is lower than the ETG crossing-window PC1 = 99.82% due to route-class mixing, not a weaker attractor. By route class: low-load PC1 = 0.813, single-crossing = 0.758, outer-infeasible = 0.911, upward-crossing = 0.668. The relevant Priority G comparison is ETG crossing-window PC1 = 99.82% vs single-crossing LTG PC1 = 0.758.</w:t>
      </w:r>
    </w:p>
    <w:p>
      <w:pPr>
        <w:pStyle w:val="Heading1"/>
      </w:pPr>
      <w:r>
        <w:rPr>
          <w:b/>
          <w:bCs/>
        </w:rPr>
        <w:t xml:space="preserve">6.  Inner Feasibility and the S-Law</w:t>
      </w:r>
    </w:p>
    <w:p>
      <w:pPr>
        <w:pStyle w:val="Heading2"/>
      </w:pPr>
      <w:r>
        <w:rPr>
          <w:b/>
          <w:bCs/>
        </w:rPr>
        <w:t xml:space="preserve">6.1  The completion ratio</w:t>
      </w:r>
    </w:p>
    <w:p>
      <w:pPr>
        <w:spacing w:after="120"/>
      </w:pPr>
      <w:r>
        <w:rPr>
          <w:rFonts w:ascii="Courier New" w:cs="Courier New" w:eastAsia="Courier New" w:hAnsi="Courier New"/>
          <w:sz w:val="20"/>
          <w:szCs w:val="20"/>
        </w:rPr>
        <w:t xml:space="preserve">Q12 = V̄²_bar(0.5h) / V̄²_bar(h),   Q14 = V̄²_bar(0.25h) / V̄²_bar(h),   Δ = 1 − Q12,   S = Q14 / Δ</w:t>
      </w:r>
    </w:p>
    <w:p>
      <w:pPr>
        <w:pStyle w:val="Heading2"/>
      </w:pPr>
      <w:r>
        <w:rPr>
          <w:b/>
          <w:bCs/>
        </w:rPr>
        <w:t xml:space="preserve">6.2  LTG S-law</w:t>
      </w:r>
    </w:p>
    <w:p>
      <w:pPr>
        <w:spacing w:after="120"/>
      </w:pPr>
      <w:r>
        <w:rPr>
          <w:rFonts w:ascii="Courier New" w:cs="Courier New" w:eastAsia="Courier New" w:hAnsi="Courier New"/>
          <w:sz w:val="20"/>
          <w:szCs w:val="20"/>
        </w:rPr>
        <w:t xml:space="preserve">U_max ≈ 0.2403 − 0.0700 ln(S),   R² = 0.919   (legacy N = 141)</w:t>
      </w:r>
    </w:p>
    <w:p>
      <w:pPr>
        <w:pStyle w:val="Heading2"/>
      </w:pPr>
      <w:r>
        <w:rPr>
          <w:b/>
          <w:bCs/>
        </w:rPr>
        <w:t xml:space="preserve">6.3  ETG S-law</w:t>
      </w:r>
    </w:p>
    <w:p>
      <w:pPr>
        <w:spacing w:after="120"/>
      </w:pPr>
      <w:r>
        <w:rPr>
          <w:rFonts w:ascii="Courier New" w:cs="Courier New" w:eastAsia="Courier New" w:hAnsi="Courier New"/>
          <w:sz w:val="20"/>
          <w:szCs w:val="20"/>
        </w:rPr>
        <w:t xml:space="preserve">U_max ≈ 0.2325 − 0.0578 ln(S),   R² = 0.851,   p = 3.6×10⁻⁷   (N = 16)</w:t>
      </w:r>
    </w:p>
    <w:p>
      <w:pPr>
        <w:pStyle w:val="Heading2"/>
      </w:pPr>
      <w:r>
        <w:rPr>
          <w:b/>
          <w:bCs/>
        </w:rPr>
        <w:t xml:space="preserve">6.4  Cross-type comparison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600"/>
        <w:gridCol w:w="1400"/>
        <w:gridCol w:w="1200"/>
        <w:gridCol w:w="1400"/>
      </w:tblGrid>
      <w:tr>
        <w:tc>
          <w:tcPr>
            <w:tcW w:type="dxa" w:w="1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Population</w:t>
            </w:r>
          </w:p>
        </w:tc>
        <w:tc>
          <w:tcPr>
            <w:tcW w:type="dxa" w:w="6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16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A (intercept)</w:t>
            </w:r>
          </w:p>
        </w:tc>
        <w:tc>
          <w:tcPr>
            <w:tcW w:type="dxa" w:w="1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B (slope)</w:t>
            </w:r>
          </w:p>
        </w:tc>
        <w:tc>
          <w:tcPr>
            <w:tcW w:type="dxa" w:w="1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R²</w:t>
            </w:r>
          </w:p>
        </w:tc>
        <w:tc>
          <w:tcPr>
            <w:tcW w:type="dxa" w:w="1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 implied</w:t>
            </w:r>
          </w:p>
        </w:tc>
      </w:tr>
      <w:tr>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w:t>
            </w:r>
          </w:p>
        </w:tc>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0.2325</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−0.0578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0.851</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1.70</w:t>
            </w:r>
          </w:p>
        </w:tc>
      </w:tr>
      <w:tr>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legacy</w:t>
            </w:r>
          </w:p>
        </w:tc>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141</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0.2403</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−0.0700</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0.919</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1.73</w:t>
            </w:r>
          </w:p>
        </w:tc>
      </w:tr>
      <w:tr>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strict</w:t>
            </w:r>
          </w:p>
        </w:tc>
        <w:tc>
          <w:tcPr>
            <w:tcW w:type="dxa" w:w="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124</w:t>
            </w:r>
          </w:p>
        </w:tc>
        <w:tc>
          <w:tcPr>
            <w:tcW w:type="dxa" w:w="16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0.2391</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−0.0697</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0.920</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1.72</w:t>
            </w:r>
          </w:p>
        </w:tc>
      </w:tr>
    </w:tbl>
    <w:p>
      <w:pPr>
        <w:spacing w:after="60"/>
      </w:pPr>
      <w:r>
        <w:t xml:space="preserve"/>
      </w:r>
    </w:p>
    <w:p>
      <w:pPr>
        <w:pStyle w:val="Heading1"/>
      </w:pPr>
      <w:r>
        <w:rPr>
          <w:b/>
          <w:bCs/>
        </w:rPr>
        <w:t xml:space="preserve">7.  ETG Response Sector — Overview</w:t>
      </w:r>
    </w:p>
    <w:p>
      <w:pPr>
        <w:spacing w:after="120"/>
      </w:pPr>
      <w:r>
        <w:t xml:space="preserve">ETGs form a multi-family, multi-sign response sector organised by the four-condition intersection in §8. The five ETG families by support signature ΔV²(r):</w:t>
      </w:r>
    </w:p>
    <w:p>
      <w:pPr>
        <w:spacing w:after="120"/>
      </w:pPr>
      <w:r>
        <w:rPr>
          <w:b/>
          <w:bCs/>
        </w:rPr>
        <w:t xml:space="preserve">H+ single-channel:</w:t>
      </w:r>
      <w:r>
        <w:t xml:space="preserve"> NGC2685, NGC3626, NGC3941 — sign-changing, all four conditions satisfied.</w:t>
      </w:r>
    </w:p>
    <w:p>
      <w:pPr>
        <w:spacing w:after="120"/>
      </w:pPr>
      <w:r>
        <w:rPr>
          <w:b/>
          <w:bCs/>
        </w:rPr>
        <w:t xml:space="preserve">H+ two-channel:</w:t>
      </w:r>
      <w:r>
        <w:t xml:space="preserve"> NGC4203 — sign-changing, outer capacity exceeded.</w:t>
      </w:r>
    </w:p>
    <w:p>
      <w:pPr>
        <w:spacing w:after="120"/>
      </w:pPr>
      <w:r>
        <w:rPr>
          <w:b/>
          <w:bCs/>
        </w:rPr>
        <w:t xml:space="preserve">Class B:</w:t>
      </w:r>
      <w:r>
        <w:t xml:space="preserve"> NGC3838 — inner/outer-feasible, sign-wrong only.</w:t>
      </w:r>
    </w:p>
    <w:p>
      <w:pPr>
        <w:spacing w:after="120"/>
      </w:pPr>
      <w:r>
        <w:rPr>
          <w:b/>
          <w:bCs/>
        </w:rPr>
        <w:t xml:space="preserve">Class C:</w:t>
      </w:r>
      <w:r>
        <w:t xml:space="preserve"> NGC4262 — inner-feasible, sign-wrong and outer-wrong.</w:t>
      </w:r>
    </w:p>
    <w:p>
      <w:pPr>
        <w:spacing w:after="120"/>
      </w:pPr>
      <w:r>
        <w:rPr>
          <w:b/>
          <w:bCs/>
        </w:rPr>
        <w:t xml:space="preserve">D1 (outer-capacity fail):</w:t>
      </w:r>
      <w:r>
        <w:t xml:space="preserve"> NGC2824, NGC2859, NGC2974.</w:t>
      </w:r>
    </w:p>
    <w:p>
      <w:pPr>
        <w:spacing w:after="120"/>
      </w:pPr>
      <w:r>
        <w:rPr>
          <w:b/>
          <w:bCs/>
        </w:rPr>
        <w:t xml:space="preserve">D2 (double fail):</w:t>
      </w:r>
      <w:r>
        <w:t xml:space="preserve"> NGC3945, NGC3998, NGC4278, NGC5582*.</w:t>
      </w:r>
    </w:p>
    <w:p>
      <w:pPr>
        <w:spacing w:after="120"/>
      </w:pPr>
      <w:r>
        <w:rPr>
          <w:b/>
          <w:bCs/>
        </w:rPr>
        <w:t xml:space="preserve">Class E (wrong profile family):</w:t>
      </w:r>
      <w:r>
        <w:t xml:space="preserve"> NGC3522, NGC6798, UGC6176.</w:t>
      </w:r>
    </w:p>
    <w:p>
      <w:pPr>
        <w:spacing w:after="120"/>
      </w:pPr>
      <w:r>
        <w:rPr>
          <w:i/>
          <w:iCs/>
        </w:rPr>
        <w:t xml:space="preserve">*NGC5582: S = 1.647 passes the S &lt; 1.70 threshold, but U_max = 0.178 &lt; U* = 0.202. Borderline S-threshold miss.</w:t>
      </w:r>
    </w:p>
    <w:p>
      <w:pPr>
        <w:pStyle w:val="Heading2"/>
      </w:pPr>
      <w:r>
        <w:rPr>
          <w:b/>
          <w:bCs/>
        </w:rPr>
        <w:t xml:space="preserve">7.1  External population distinctiveness</w:t>
      </w:r>
    </w:p>
    <w:p>
      <w:pPr>
        <w:pStyle w:val="Heading3"/>
      </w:pPr>
      <w:r>
        <w:rPr>
          <w:b/>
          <w:bCs/>
        </w:rPr>
        <w:t xml:space="preserve">7.1.1  Disk-buffered pair (NGC3522, NGC6798) — triple confirmation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1500"/>
      </w:tblGrid>
      <w:tr>
        <w:tc>
          <w:tcPr>
            <w:tcW w:type="dxa" w:w="3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Indicator</w:t>
            </w:r>
          </w:p>
        </w:tc>
        <w:tc>
          <w:tcPr>
            <w:tcW w:type="dxa" w:w="1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Pair median</w:t>
            </w:r>
          </w:p>
        </w:tc>
        <w:tc>
          <w:tcPr>
            <w:tcW w:type="dxa" w:w="1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Rank / 120 pairs</w:t>
            </w:r>
          </w:p>
        </w:tc>
        <w:tc>
          <w:tcPr>
            <w:tcW w:type="dxa" w:w="1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p-value</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Outward age increase Δage (Gyr)</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+10.15</w:t>
            </w:r>
          </w:p>
        </w:tc>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 / 120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0.008</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Metallicity gradient ΔZ_H (dex)</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−0.79</w:t>
            </w:r>
          </w:p>
        </w:tc>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 / 120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0.017</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Poci M/L ratio (outer/inner)</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0.636</w:t>
            </w:r>
          </w:p>
        </w:tc>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 / 120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0.008</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Combined rank-sum (3 indicators)</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w:t>
            </w:r>
          </w:p>
        </w:tc>
        <w:tc>
          <w:tcPr>
            <w:tcW w:type="dxa" w:w="1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 / 120</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0.008</w:t>
            </w:r>
          </w:p>
        </w:tc>
      </w:tr>
    </w:tbl>
    <w:p>
      <w:pPr>
        <w:spacing w:after="60"/>
      </w:pPr>
      <w:r>
        <w:t xml:space="preserve"/>
      </w:r>
    </w:p>
    <w:p>
      <w:pPr>
        <w:pStyle w:val="Heading3"/>
      </w:pPr>
      <w:r>
        <w:rPr>
          <w:b/>
          <w:bCs/>
        </w:rPr>
        <w:t xml:space="preserve">7.1.2  Main ETG branch — gas/star kinematic alignment</w:t>
      </w:r>
    </w:p>
    <w:p>
      <w:pPr>
        <w:spacing w:after="120"/>
      </w:pPr>
      <w:r>
        <w:t xml:space="preserve">Main ETGs (NGC2685, NGC3626, NGC3838, NGC3941, NGC4203) show uniform gas/star PA alignment (all offsets &lt; 30°). Robust named offset cases: NGC2685 (72°), NGC3941 (49°), NGC4262 (59°), NGC3998 (42°). H+/H− grouped enrichment does not survive all-pairs test (p = 0.18) and is not promoted.</w:t>
      </w:r>
    </w:p>
    <w:p>
      <w:pPr>
        <w:pStyle w:val="Heading1"/>
      </w:pPr>
      <w:r>
        <w:rPr>
          <w:b/>
          <w:bCs/>
        </w:rPr>
        <w:t xml:space="preserve">8.  Four-Condition Intersection Structure</w:t>
      </w:r>
    </w:p>
    <w:p>
      <w:pPr>
        <w:pStyle w:val="Heading2"/>
      </w:pPr>
      <w:r>
        <w:rPr>
          <w:b/>
          <w:bCs/>
        </w:rPr>
        <w:t xml:space="preserve">8.1  The four conditions</w:t>
      </w:r>
    </w:p>
    <w:p>
      <w:pPr>
        <w:spacing w:after="120"/>
      </w:pPr>
      <w:r>
        <w:rPr>
          <w:b/>
          <w:bCs/>
        </w:rPr>
        <w:t xml:space="preserve">Condition 1 — Profile family:</w:t>
      </w:r>
      <w:r>
        <w:t xml:space="preserve"> Viable locus: Δ ≈ 0.31–0.46, Q14 ≈ 0.19–0.26.</w:t>
      </w:r>
    </w:p>
    <w:p>
      <w:pPr>
        <w:spacing w:after="120"/>
      </w:pPr>
      <w:r>
        <w:rPr>
          <w:b/>
          <w:bCs/>
        </w:rPr>
        <w:t xml:space="preserve">Condition 2 — Sign gate:</w:t>
      </w:r>
      <w:r>
        <w:t xml:space="preserve"> Ω_in = V̄²_bar(r_in) / V²_obs(r_in) &gt; 1</w:t>
      </w:r>
    </w:p>
    <w:p>
      <w:pPr>
        <w:spacing w:after="120"/>
      </w:pPr>
      <w:r>
        <w:rPr>
          <w:b/>
          <w:bCs/>
        </w:rPr>
        <w:t xml:space="preserve">Condition 3 — Inner feasibility:</w:t>
      </w:r>
      <w:r>
        <w:t xml:space="preserve"> S = Q14/Δ organises U_max. Threshold S ≲ 1.70 gives 15/16 correct.</w:t>
      </w:r>
    </w:p>
    <w:p>
      <w:pPr>
        <w:spacing w:after="120"/>
      </w:pPr>
      <w:r>
        <w:rPr>
          <w:b/>
          <w:bCs/>
        </w:rPr>
        <w:t xml:space="preserve">Condition 4 — Outer capacity:</w:t>
      </w:r>
      <w:r>
        <w:t xml:space="preserve"> u = (V²_obs(r_out) − V̄²_bar(r_out)) / (Γ0 r_out R_max) ≤ 1</w:t>
      </w:r>
    </w:p>
    <w:p>
      <w:pPr>
        <w:pStyle w:val="Heading2"/>
      </w:pPr>
      <w:r>
        <w:rPr>
          <w:b/>
          <w:bCs/>
        </w:rPr>
        <w:t xml:space="preserve">8.2  Canonical ETG decision table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900"/>
        <w:gridCol w:w="900"/>
        <w:gridCol w:w="900"/>
        <w:gridCol w:w="900"/>
        <w:gridCol w:w="800"/>
      </w:tblGrid>
      <w:tr>
        <w:tc>
          <w:tcPr>
            <w:tcW w:type="dxa" w:w="1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Galaxy</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Δ</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Q14</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Ω_in</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U_max</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Class</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NGC2685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0.4552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0.1944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0.427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1.1231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0.4981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0.272</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NGC2824</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0.6161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0.1252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0.203</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0.4529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1.3118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0.343</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D1</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NGC2859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0.3505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0.3381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0.965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0.8378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1.4878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0.223</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D1</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NGC2974</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0.2979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0.3027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1.016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0.6030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3.9166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0.217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D1</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NGC3522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0.4846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0.1386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0.286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0.4375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0.7395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0.282</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NGC3626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0.3821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0.2040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0.534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1.3160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0.7334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0.243</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NGC3838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0.3760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0.2097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0.558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0.7052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0.9133</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0.235</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NGC3941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0.3142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0.2606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0.829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1.2246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0.7738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0.216</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NGC3945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0.2278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0.5396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2.369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0.6882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1.6309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0.167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NGC3998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0.0219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0.6722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30.58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0.4735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2.5880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0.088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NGC4203</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0.0617</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0.6208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10.06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1.2757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1.3374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0.107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D2(2ch)</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NGC4262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0.3887</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0.2027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0.521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0.4159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2.2636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0.245</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NGC4278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0.0927</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0.6327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6.824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0.5656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2.8116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0.112</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NGC5582</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0.2178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0.3587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1.647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0.5539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1.5049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0.178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D2*</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NGC6798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0.6899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0.0887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0.129</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0.2378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0.7606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0.388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w:t>
            </w:r>
          </w:p>
        </w:tc>
      </w:tr>
      <w:tr>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UGC6176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0.6690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0.1655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0.2491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0.8817</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0.414</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w:t>
            </w:r>
          </w:p>
        </w:tc>
      </w:tr>
    </w:tbl>
    <w:p>
      <w:pPr>
        <w:spacing w:after="60"/>
      </w:pPr>
      <w:r>
        <w:t xml:space="preserve"/>
      </w:r>
    </w:p>
    <w:p>
      <w:pPr>
        <w:spacing w:after="120"/>
      </w:pPr>
      <w:r>
        <w:rPr>
          <w:i/>
          <w:iCs/>
        </w:rPr>
        <w:t xml:space="preserve">Class A = single-channel H+. *D2: borderline U_max miss. All values verified from raw files.</w:t>
      </w:r>
    </w:p>
    <w:p>
      <w:pPr>
        <w:pStyle w:val="Heading1"/>
      </w:pPr>
      <w:r>
        <w:rPr>
          <w:b/>
          <w:bCs/>
        </w:rPr>
        <w:t xml:space="preserve">9.  Outer Gate Structure</w:t>
      </w:r>
    </w:p>
    <w:p>
      <w:pPr>
        <w:pStyle w:val="Heading2"/>
      </w:pPr>
      <w:r>
        <w:rPr>
          <w:b/>
          <w:bCs/>
        </w:rPr>
        <w:t xml:space="preserve">9.1  Exact outer viability boundary</w:t>
      </w:r>
    </w:p>
    <w:p>
      <w:pPr>
        <w:spacing w:after="120"/>
      </w:pPr>
      <w:r>
        <w:rPr>
          <w:rFonts w:ascii="Courier New" w:cs="Courier New" w:eastAsia="Courier New" w:hAnsi="Courier New"/>
          <w:sz w:val="20"/>
          <w:szCs w:val="20"/>
        </w:rPr>
        <w:t xml:space="preserve">X_out = V²_obs(r_out) / (Γ0 r_out),   R_d = 0.5 V²_disk(r_out)/V²_obs(r_out)</w:t>
      </w:r>
    </w:p>
    <w:p>
      <w:pPr>
        <w:spacing w:after="120"/>
      </w:pPr>
      <w:r>
        <w:rPr>
          <w:rFonts w:ascii="Courier New" w:cs="Courier New" w:eastAsia="Courier New" w:hAnsi="Courier New"/>
          <w:sz w:val="20"/>
          <w:szCs w:val="20"/>
        </w:rPr>
        <w:t xml:space="preserve">δu ≡ 1 − u = (X_crit − X_out) / X_crit</w:t>
      </w:r>
    </w:p>
    <w:p>
      <w:pPr>
        <w:spacing w:after="120"/>
      </w:pPr>
      <w:r>
        <w:t xml:space="preserve">This identity holds to floating-point precision for all 16 ETGs (max deviation &lt; 5×10⁻¹⁶, verified).</w:t>
      </w:r>
    </w:p>
    <w:p>
      <w:pPr>
        <w:pStyle w:val="Heading2"/>
      </w:pPr>
      <w:r>
        <w:rPr>
          <w:b/>
          <w:bCs/>
        </w:rPr>
        <w:t xml:space="preserve">9.2  Two viable outer routes and crossing structure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100"/>
        <w:gridCol w:w="1500"/>
        <w:gridCol w:w="1000"/>
        <w:gridCol w:w="1700"/>
      </w:tblGrid>
      <w:tr>
        <w:tc>
          <w:tcPr>
            <w:tcW w:type="dxa" w:w="1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Galaxy</w:t>
            </w:r>
          </w:p>
        </w:tc>
        <w:tc>
          <w:tcPr>
            <w:tcW w:type="dxa" w:w="1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r_out (kpc)</w:t>
            </w:r>
          </w:p>
        </w:tc>
        <w:tc>
          <w:tcPr>
            <w:tcW w:type="dxa" w:w="11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u(r_out)</w:t>
            </w:r>
          </w:p>
        </w:tc>
        <w:tc>
          <w:tcPr>
            <w:tcW w:type="dxa" w:w="1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r_cross/r_out</w:t>
            </w:r>
          </w:p>
        </w:tc>
        <w:tc>
          <w:tcPr>
            <w:tcW w:type="dxa" w:w="1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δu</w:t>
            </w:r>
          </w:p>
        </w:tc>
        <w:tc>
          <w:tcPr>
            <w:tcW w:type="dxa" w:w="1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Route</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NGC2685</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24.98</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0.4981</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0.488</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+0.502</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Low-load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NGC3522</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10.38</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0.7395</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0.861</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+0.261</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NGC3626</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13.32</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0.7334</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0.843</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+0.267</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NGC3838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16.80</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0.9133</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0.953</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+0.087</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NGC3941</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11.72</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0.7738</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0.848</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+0.226</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NGC6798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27.13</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0.7606</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0.783</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+0.239</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r>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UGC6176</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11.43</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0.8817</w:t>
            </w:r>
          </w:p>
        </w:tc>
        <w:tc>
          <w:tcPr>
            <w:tcW w:type="dxa" w:w="1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0.932</w:t>
            </w:r>
          </w:p>
        </w:tc>
        <w:tc>
          <w:tcPr>
            <w:tcW w:type="dxa" w:w="1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+0.118</w:t>
            </w:r>
          </w:p>
        </w:tc>
        <w:tc>
          <w:tcPr>
            <w:tcW w:type="dxa" w:w="1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w:t>
            </w:r>
          </w:p>
        </w:tc>
      </w:tr>
    </w:tbl>
    <w:p>
      <w:pPr>
        <w:spacing w:after="60"/>
      </w:pPr>
      <w:r>
        <w:t xml:space="preserve"/>
      </w:r>
    </w:p>
    <w:p>
      <w:pPr>
        <w:pStyle w:val="Heading2"/>
      </w:pPr>
      <w:r>
        <w:rPr>
          <w:b/>
          <w:bCs/>
        </w:rPr>
        <w:t xml:space="preserve">9.3  Crossing-window geometry</w:t>
      </w:r>
    </w:p>
    <w:p>
      <w:pPr>
        <w:spacing w:after="120"/>
      </w:pPr>
      <w:r>
        <w:t xml:space="preserve">The six disk-buffered ETGs share a common rescaled radial approach profile. On the window y(t) = (1−u(t))/δu, t ∈ [0,1], the ETG crossing-window PC1 = 99.82% (independently confirmed). Common curvature: A ≈ 0.18 (all-7), A ≈ 0.12 (disk-buffered 6).</w:t>
      </w:r>
    </w:p>
    <w:p>
      <w:pPr>
        <w:spacing w:after="120"/>
      </w:pPr>
      <w:r>
        <w:rPr>
          <w:b/>
          <w:bCs/>
        </w:rPr>
        <w:t xml:space="preserve">ETG curvature law (confirmed across all definitions, EXP38):</w:t>
      </w:r>
    </w:p>
    <w:p>
      <w:pPr>
        <w:spacing w:after="120"/>
      </w:pPr>
      <w:r>
        <w:rPr>
          <w:rFonts w:ascii="Courier New" w:cs="Courier New" w:eastAsia="Courier New" w:hAnsi="Courier New"/>
          <w:sz w:val="20"/>
          <w:szCs w:val="20"/>
        </w:rPr>
        <w:t xml:space="preserve">A ≈ −0.015 + 1.029(1 − x_cross)     [disk-buffered 6, R² = 0.82, LOO = 0.036]</w:t>
      </w:r>
    </w:p>
    <w:p>
      <w:pPr>
        <w:spacing w:after="120"/>
      </w:pPr>
      <w:r>
        <w:rPr>
          <w:rFonts w:ascii="Courier New" w:cs="Courier New" w:eastAsia="Courier New" w:hAnsi="Courier New"/>
          <w:sz w:val="20"/>
          <w:szCs w:val="20"/>
        </w:rPr>
        <w:t xml:space="preserve">A ≈ −0.021 + 1.076(1 − x_cross)     [all 7 incl NGC2685, R² = 0.97, LOO = 0.032]</w:t>
      </w:r>
    </w:p>
    <w:p>
      <w:pPr>
        <w:spacing w:after="120"/>
      </w:pPr>
      <w:r>
        <w:t xml:space="preserve">Earlier crossings produce more bowed profiles. Definition-stable: corr(A, A_mid) = 0.993, corr(A, A_area) = 0.9997. The exponential-relaxation analytic family (exp-beta) fits individual windows with lower per-galaxy RMSE but uses one free parameter per galaxy; the population-level law remains A ∼ (1 − x_cross).</w:t>
      </w:r>
    </w:p>
    <w:p>
      <w:pPr>
        <w:spacing w:after="120"/>
      </w:pPr>
      <w:r>
        <w:rPr>
          <w:b/>
          <w:bCs/>
        </w:rPr>
        <w:t xml:space="preserve">Priority K (closed): </w:t>
      </w:r>
      <w:r>
        <w:rPr>
          <w:rFonts w:ascii="Courier New" w:cs="Courier New" w:eastAsia="Courier New" w:hAnsi="Courier New"/>
          <w:sz w:val="20"/>
          <w:szCs w:val="20"/>
        </w:rPr>
        <w:t xml:space="preserve">c₁ = −δu / (1 − x_cross)</w:t>
      </w:r>
      <w:r>
        <w:t xml:space="preserve">   Pearson r = 0.998, Spearman = 1.000, RMSE = 0.07, zero free parameters. This governs the endpoint-traversal slope. </w:t>
      </w:r>
      <w:r>
        <w:rPr>
          <w:b/>
          <w:bCs/>
        </w:rPr>
        <w:t xml:space="preserve">Critically, c₁ does NOT control curvature A</w:t>
      </w:r>
      <w:r>
        <w:t xml:space="preserve"> (Pearson(c₁, A) = −0.50, p = 0.31 — not significant). The c₁ identity is a slope law; A is a shape-curvature law. These are distinct.</w:t>
      </w:r>
    </w:p>
    <w:p>
      <w:pPr>
        <w:spacing w:after="120"/>
      </w:pPr>
      <w:r>
        <w:rPr>
          <w:b/>
          <w:bCs/>
        </w:rPr>
        <w:t xml:space="preserve">ETG vs LTG curvature: structurally distinct regimes. </w:t>
      </w:r>
      <w:r>
        <w:t xml:space="preserve">ETG windows are interval-geometry-controlled (A ∼ 1−x_cross). LTG windows are load-retention-controlled (A ∼ 1/√u_0.75). Combined class-interaction model: R² = 0.717, LOO = 0.362. The difference is structural, not a class offset (non-interacting model: LOO = 0.376 — interaction barely helps).</w:t>
      </w:r>
    </w:p>
    <w:p>
      <w:pPr>
        <w:pStyle w:val="Heading2"/>
      </w:pPr>
      <w:r>
        <w:rPr>
          <w:b/>
          <w:bCs/>
        </w:rPr>
        <w:t xml:space="preserve">9.4  Cancellation sector</w:t>
      </w:r>
    </w:p>
    <w:p>
      <w:pPr>
        <w:spacing w:after="120"/>
      </w:pPr>
      <w:r>
        <w:t xml:space="preserve">The outer cancellation ratio R = B_out/X_out = R_d + R_b. r(R_d, R) = 0.905 for all 16 ETGs. Outer bulge log-slope = −0.500 (Keplerian tail, exact) for all six buffered ETGs.</w:t>
      </w:r>
    </w:p>
    <w:p>
      <w:pPr>
        <w:pStyle w:val="Heading1"/>
      </w:pPr>
      <w:r>
        <w:rPr>
          <w:b/>
          <w:bCs/>
        </w:rPr>
        <w:t xml:space="preserve">10.  Outer Chain Reduction</w:t>
      </w:r>
    </w:p>
    <w:p>
      <w:pPr>
        <w:pStyle w:val="Heading2"/>
      </w:pPr>
      <w:r>
        <w:rPr>
          <w:b/>
          <w:bCs/>
        </w:rPr>
        <w:t xml:space="preserve">10.1  Stage-4 disk-force law</w:t>
      </w:r>
    </w:p>
    <w:p>
      <w:pPr>
        <w:spacing w:after="120"/>
      </w:pPr>
      <w:r>
        <w:rPr>
          <w:rFonts w:ascii="Courier New" w:cs="Courier New" w:eastAsia="Courier New" w:hAnsi="Courier New"/>
          <w:sz w:val="20"/>
          <w:szCs w:val="20"/>
        </w:rPr>
        <w:t xml:space="preserve">log(V²_disk(r_out)/r_out) = A + a log(Σ_disk) + b log(r_out/R_X)</w:t>
      </w:r>
    </w:p>
    <w:p>
      <w:pPr>
        <w:spacing w:after="120"/>
      </w:pPr>
      <w:r>
        <w:rPr>
          <w:b/>
          <w:bCs/>
        </w:rPr>
        <w:t xml:space="preserve">Note on R85 quadrature: </w:t>
      </w:r>
      <w:r>
        <w:t xml:space="preserve">R85, R80, R90 are computed by fine-grid (10,000 point) trapezoidal 2πRΣ integration. Raw gradient-based methods give systematically smaller values (∼0.3–0.5 kpc smaller for R90). Use consistent fine-grid quadrature.</w:t>
      </w:r>
    </w:p>
    <w:p>
      <w:pPr>
        <w:pStyle w:val="Heading3"/>
      </w:pPr>
      <w:r>
        <w:rPr>
          <w:b/>
          <w:bCs/>
        </w:rPr>
        <w:t xml:space="preserve">10.1a  Verified model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00"/>
        <w:gridCol w:w="900"/>
        <w:gridCol w:w="1100"/>
        <w:gridCol w:w="2800"/>
      </w:tblGrid>
      <w:tr>
        <w:tc>
          <w:tcPr>
            <w:tcW w:type="dxa" w:w="2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Sample</w:t>
            </w:r>
          </w:p>
        </w:tc>
        <w:tc>
          <w:tcPr>
            <w:tcW w:type="dxa" w:w="1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Geometry</w:t>
            </w:r>
          </w:p>
        </w:tc>
        <w:tc>
          <w:tcPr>
            <w:tcW w:type="dxa" w:w="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R²</w:t>
            </w:r>
          </w:p>
        </w:tc>
        <w:tc>
          <w:tcPr>
            <w:tcW w:type="dxa" w:w="11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LOO RMSE</w:t>
            </w:r>
          </w:p>
        </w:tc>
        <w:tc>
          <w:tcPr>
            <w:tcW w:type="dxa" w:w="2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Note</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Full16</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r_out/R₉₀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0.884</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0.444</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Canonical continuity row</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Full16</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r_out/h</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0.935</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0.312</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NGC3838-driven</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Full15−NGC3838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r_out/R₈₅</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0.951</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0.274</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Best Full15 row</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Full15−NGC3838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r_out/R₉₀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0.945</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0.291</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r_out/R₈₅</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0.908</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0.322</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0.900</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0.339</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EXP36 continuity</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r_out/R₉₀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0.890</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0.361</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HL11−NGC3998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r_out/R₈₅</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0.965</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0.156</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Strongest row (v18)</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HL11−NGC3998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0.958</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0.181</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EXP36 continuity</w:t>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HL11−NGC3998</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r_out/R₉₀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0.949</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0.197</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HL10−NGC3998/5582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r_out/R₈₅</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0.871</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0.179</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r>
        <w:tc>
          <w:tcPr>
            <w:tcW w:type="dxa" w:w="2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HL10−NGC3998/5582</w:t>
            </w:r>
          </w:p>
        </w:tc>
        <w:tc>
          <w:tcPr>
            <w:tcW w:type="dxa" w:w="1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r_out/R₈₀</w:t>
            </w:r>
          </w:p>
        </w:tc>
        <w:tc>
          <w:tcPr>
            <w:tcW w:type="dxa" w:w="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0.849</w:t>
            </w:r>
          </w:p>
        </w:tc>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0.194</w:t>
            </w:r>
          </w:p>
        </w:tc>
        <w:tc>
          <w:tcPr>
            <w:tcW w:type="dxa" w:w="2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
            </w:r>
          </w:p>
        </w:tc>
      </w:tr>
    </w:tbl>
    <w:p>
      <w:pPr>
        <w:spacing w:after="60"/>
      </w:pPr>
      <w:r>
        <w:t xml:space="preserve"/>
      </w:r>
    </w:p>
    <w:p>
      <w:pPr>
        <w:spacing w:after="120"/>
      </w:pPr>
      <w:r>
        <w:rPr>
          <w:i/>
          <w:iCs/>
        </w:rPr>
        <w:t xml:space="preserve">HL12 excludes NGC2685 (low-load), NGC3522, NGC3838, NGC6798 (disk-buffered). HL11 = HL12 minus NGC3998. A/a/b coefficients for R85 rows: [to be locked from EXP44B CSV]. R80 rows: Full15-NGC3838 A=3.912, a=0.885, b=2.118; HL11-NGC3998 A=4.313, a=0.808, b=1.732.</w:t>
      </w:r>
    </w:p>
    <w:p>
      <w:pPr>
        <w:pStyle w:val="Heading3"/>
      </w:pPr>
      <w:r>
        <w:rPr>
          <w:b/>
          <w:bCs/>
        </w:rPr>
        <w:t xml:space="preserve">10.1b  R85 jackknife stability (EXP48)</w:t>
      </w:r>
    </w:p>
    <w:p>
      <w:pPr>
        <w:spacing w:after="120"/>
      </w:pPr>
      <w:r>
        <w:t xml:space="preserve">R85 beats R80 in all 5 samples. Jackknife win counts (10 geometry competitors):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2900"/>
      </w:tblGrid>
      <w:tr>
        <w:tc>
          <w:tcPr>
            <w:tcW w:type="dxa" w:w="2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Sample</w:t>
            </w:r>
          </w:p>
        </w:tc>
        <w:tc>
          <w:tcPr>
            <w:tcW w:type="dxa" w:w="1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R85 wins</w:t>
            </w:r>
          </w:p>
        </w:tc>
        <w:tc>
          <w:tcPr>
            <w:tcW w:type="dxa" w:w="2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Force-kernel wins</w:t>
            </w:r>
          </w:p>
        </w:tc>
        <w:tc>
          <w:tcPr>
            <w:tcW w:type="dxa" w:w="2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Note</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Full16</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1/16</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R_force80_linear 5/16</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dominates 9/16</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Full15−NGC3838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8/15</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R_force80_quad 4/15</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R85 most stable</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HL12</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1/12</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R_peak_force_quad 7/12</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Force-kernel dominated</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HL11−NGC3998</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8/11</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R_force80_linear 1/11</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R85 strongest; NGC3626-sensitive</w:t>
            </w:r>
          </w:p>
        </w:tc>
      </w:tr>
      <w:tr>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HL10−NGC3998/5582</w:t>
            </w:r>
          </w:p>
        </w:tc>
        <w:tc>
          <w:tcPr>
            <w:tcW w:type="dxa" w:w="1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3/10</w:t>
            </w:r>
          </w:p>
        </w:tc>
        <w:tc>
          <w:tcPr>
            <w:tcW w:type="dxa" w:w="2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R_force80_const 5/10</w:t>
            </w:r>
          </w:p>
        </w:tc>
        <w:tc>
          <w:tcPr>
            <w:tcW w:type="dxa" w:w="2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Near-tie</w:t>
            </w:r>
          </w:p>
        </w:tc>
      </w:tr>
    </w:tbl>
    <w:p>
      <w:pPr>
        <w:spacing w:after="60"/>
      </w:pPr>
      <w:r>
        <w:t xml:space="preserve"/>
      </w:r>
    </w:p>
    <w:p>
      <w:pPr>
        <w:spacing w:after="120"/>
      </w:pPr>
      <w:r>
        <w:rPr>
          <w:b/>
          <w:bCs/>
        </w:rPr>
        <w:t xml:space="preserve">NGC3626 sensitivity: </w:t>
      </w:r>
      <w:r>
        <w:t xml:space="preserve">When NGC3626 is left out of HL11-minus-NGC3998, R85 LOO = 0.171 &gt; R80 LOO = 0.156. This is the single jackknife case where R85 preference reverses for the key clean row. All other leave-outs favour R85.</w:t>
      </w:r>
    </w:p>
    <w:p>
      <w:pPr>
        <w:spacing w:after="120"/>
      </w:pPr>
      <w:r>
        <w:t xml:space="preserve">Safe conclusion: R85 is empirically preferred in clean HL rows. No first-principles provenance derivation exists. R_out/h is the strongest repeated weak predictor of R85 advantage over R90 (r ≈ 0.53–0.60 across samples). R80 is retained as continuity reference.</w:t>
      </w:r>
    </w:p>
    <w:p>
      <w:pPr>
        <w:pStyle w:val="Heading3"/>
      </w:pPr>
      <w:r>
        <w:rPr>
          <w:b/>
          <w:bCs/>
        </w:rPr>
        <w:t xml:space="preserve">10.1c  Structural outliers</w:t>
      </w:r>
    </w:p>
    <w:p>
      <w:pPr>
        <w:spacing w:after="120"/>
      </w:pPr>
      <w:r>
        <w:rPr>
          <w:b/>
          <w:bCs/>
        </w:rPr>
        <w:t xml:space="preserve">NGC3838 (largest negative residual, r_out/R₉₀ = 3.507 rank 1/16): </w:t>
      </w:r>
      <w:r>
        <w:t xml:space="preserve">Compact mass concentration, sharp outer disk falloff. Drives Full16 h-preference. Removing NGC3838 reverses Full16 geometry preference.</w:t>
      </w:r>
    </w:p>
    <w:p>
      <w:pPr>
        <w:spacing w:after="120"/>
      </w:pPr>
      <w:r>
        <w:rPr>
          <w:b/>
          <w:bCs/>
        </w:rPr>
        <w:t xml:space="preserve">NGC3998 (largest positive residual): </w:t>
      </w:r>
      <w:r>
        <w:t xml:space="preserve">Low outer Σ (0.710) but V_disk = 102 km/s at r_out. Removing from HL12: LOO 0.322 → 0.156.</w:t>
      </w:r>
    </w:p>
    <w:p>
      <w:pPr>
        <w:spacing w:after="120"/>
      </w:pPr>
      <w:r>
        <w:rPr>
          <w:b/>
          <w:bCs/>
        </w:rPr>
        <w:t xml:space="preserve">NGC5582 (HL12 leverage, Cook’s D = 3.15): </w:t>
      </w:r>
      <w:r>
        <w:t xml:space="preserve">Controls HL12 geometry preference. When NGC5582 left out of HL12, R85 loses to R80. HL12 coefficient rows provisional.</w:t>
      </w:r>
    </w:p>
    <w:p>
      <w:pPr>
        <w:pStyle w:val="Heading2"/>
      </w:pPr>
      <w:r>
        <w:rPr>
          <w:b/>
          <w:bCs/>
        </w:rPr>
        <w:t xml:space="preserve">10.2  Real-profile kernel law</w:t>
      </w:r>
    </w:p>
    <w:p>
      <w:pPr>
        <w:spacing w:after="120"/>
      </w:pPr>
      <w:r>
        <w:rPr>
          <w:rFonts w:ascii="Courier New" w:cs="Courier New" w:eastAsia="Courier New" w:hAnsi="Courier New"/>
          <w:sz w:val="20"/>
          <w:szCs w:val="20"/>
        </w:rPr>
        <w:t xml:space="preserve">log H_real = −3.487 + 2.003 log(z) − 0.919 log(η),   R² = 0.931   (N = 16)</w:t>
      </w:r>
    </w:p>
    <w:p>
      <w:pPr>
        <w:spacing w:after="120"/>
      </w:pPr>
      <w:r>
        <w:rPr>
          <w:rFonts w:ascii="Courier New" w:cs="Courier New" w:eastAsia="Courier New" w:hAnsi="Courier New"/>
          <w:sz w:val="20"/>
          <w:szCs w:val="20"/>
        </w:rPr>
        <w:t xml:space="preserve">High-load (N=12): log H_real = −3.390 + 2.239 log(z) − 0.583 log(η),   R² = 0.930</w:t>
      </w:r>
    </w:p>
    <w:p>
      <w:pPr>
        <w:spacing w:after="120"/>
      </w:pPr>
      <w:r>
        <w:t xml:space="preserve">K_full = 0.03060, K_hl = 0.03372 (both verified from raw files).</w:t>
      </w:r>
    </w:p>
    <w:p>
      <w:pPr>
        <w:pStyle w:val="Heading1"/>
      </w:pPr>
      <w:r>
        <w:rPr>
          <w:b/>
          <w:bCs/>
        </w:rPr>
        <w:t xml:space="preserve">11.  H+ Branch Mathematics</w:t>
      </w:r>
    </w:p>
    <w:p>
      <w:pPr>
        <w:pStyle w:val="Heading2"/>
      </w:pPr>
      <w:r>
        <w:rPr>
          <w:b/>
          <w:bCs/>
        </w:rPr>
        <w:t xml:space="preserve">11.1  Branch invariants (verified)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700"/>
        <w:gridCol w:w="900"/>
        <w:gridCol w:w="700"/>
        <w:gridCol w:w="800"/>
        <w:gridCol w:w="800"/>
        <w:gridCol w:w="1400"/>
      </w:tblGrid>
      <w:tr>
        <w:tc>
          <w:tcPr>
            <w:tcW w:type="dxa" w:w="11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Galaxy</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r_in</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Q12</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Q14</w:t>
            </w:r>
          </w:p>
        </w:tc>
        <w:tc>
          <w:tcPr>
            <w:tcW w:type="dxa" w:w="9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Ω_in</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U_max</w:t>
            </w:r>
          </w:p>
        </w:tc>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x_loc</w:t>
            </w:r>
          </w:p>
        </w:tc>
        <w:tc>
          <w:tcPr>
            <w:tcW w:type="dxa" w:w="14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Class</w:t>
            </w:r>
          </w:p>
        </w:tc>
      </w:tr>
      <w:tr>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NGC2685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0.310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0.5448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0.1944</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1.1231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0.4981</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0.272</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1.548</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single-ch.</w:t>
            </w:r>
          </w:p>
        </w:tc>
      </w:tr>
      <w:tr>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NGC3626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0.370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0.6179</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0.2040</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1.3160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0.7334</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0.243</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1.303</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single-ch.</w:t>
            </w:r>
          </w:p>
        </w:tc>
      </w:tr>
      <w:tr>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NGC3941</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0.270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0.6858</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0.2606</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1.2246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0.7738</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0.216</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1.013</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single-ch.</w:t>
            </w:r>
          </w:p>
        </w:tc>
      </w:tr>
      <w:tr>
        <w:tc>
          <w:tcPr>
            <w:tcW w:type="dxa" w:w="11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NGC4203</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0.460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0.9384</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0.6208</w:t>
            </w:r>
          </w:p>
        </w:tc>
        <w:tc>
          <w:tcPr>
            <w:tcW w:type="dxa" w:w="9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1.2757</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1.3374</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0.107</w:t>
            </w:r>
          </w:p>
        </w:tc>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n/a</w:t>
            </w:r>
          </w:p>
        </w:tc>
        <w:tc>
          <w:tcPr>
            <w:tcW w:type="dxa" w:w="14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H+ two-ch.</w:t>
            </w:r>
          </w:p>
        </w:tc>
      </w:tr>
    </w:tbl>
    <w:p>
      <w:pPr>
        <w:spacing w:after="60"/>
      </w:pPr>
      <w:r>
        <w:t xml:space="preserve"/>
      </w:r>
    </w:p>
    <w:p>
      <w:pPr>
        <w:spacing w:after="120"/>
      </w:pPr>
      <w:r>
        <w:t xml:space="preserve">Single-channel calibrators: U* = 0.201803 (mean; CV = 0.00%), A_loc = 3.344 (CV = 2.56%). No confirmed LTG H+ objects.</w:t>
      </w:r>
    </w:p>
    <w:p>
      <w:pPr>
        <w:pStyle w:val="Heading1"/>
      </w:pPr>
      <w:r>
        <w:rPr>
          <w:b/>
          <w:bCs/>
        </w:rPr>
        <w:t xml:space="preserve">12.  Falsification Controls</w:t>
      </w:r>
    </w:p>
    <w:p>
      <w:pPr>
        <w:spacing w:after="120"/>
      </w:pPr>
      <w:r>
        <w:rPr>
          <w:b/>
          <w:bCs/>
        </w:rPr>
        <w:t xml:space="preserve">Sign gate isolation (NGC3838 vs NGC3626): </w:t>
      </w:r>
      <w:r>
        <w:t xml:space="preserve">H(0.3) = 1.8664 vs 1.8668 — near-identical normalised profiles. Split entirely by absolute inner baryonic amplitude: V̄_bar(r_in) = 194 km/s (Ω_in = 0.705) vs 284 km/s (Ω_in = 1.316).</w:t>
      </w:r>
    </w:p>
    <w:p>
      <w:pPr>
        <w:spacing w:after="120"/>
      </w:pPr>
      <w:r>
        <w:rPr>
          <w:b/>
          <w:bCs/>
        </w:rPr>
        <w:t xml:space="preserve">Outer demand isolation (NGC4203 vs NGC3626): </w:t>
      </w:r>
      <w:r>
        <w:t xml:space="preserve">Both H+. NGC4203 has S = 10.07 vs 0.534, and u = 1.337 &gt; 1. Fails both inner feasibility and outer capacity independently.</w:t>
      </w:r>
    </w:p>
    <w:p>
      <w:pPr>
        <w:spacing w:after="120"/>
      </w:pPr>
      <w:r>
        <w:rPr>
          <w:b/>
          <w:bCs/>
        </w:rPr>
        <w:t xml:space="preserve">Disk-buffered outer isolation (NGC3941 vs UGC6176): </w:t>
      </w:r>
      <w:r>
        <w:t xml:space="preserve">X_out = 2.308 vs 2.240, f_bul = 0.086 vs 0.086 (identical). Outer disk term is the sole separator.</w:t>
      </w:r>
    </w:p>
    <w:p>
      <w:pPr>
        <w:spacing w:after="120"/>
      </w:pPr>
      <w:r>
        <w:rPr>
          <w:b/>
          <w:bCs/>
        </w:rPr>
        <w:t xml:space="preserve">Stage-4 external independence (N=16, 21 variables): </w:t>
      </w:r>
      <w:r>
        <w:t xml:space="preserve">No tested external ATLAS3D variable reaches p &lt; 0.10 against Stage-4 residuals. Max |r| = 0.420 (permutation p = 0.82). Stage-4 is an internal disk-density/geometry relation.</w:t>
      </w:r>
    </w:p>
    <w:p>
      <w:pPr>
        <w:pStyle w:val="Heading1"/>
      </w:pPr>
      <w:r>
        <w:rPr>
          <w:b/>
          <w:bCs/>
        </w:rPr>
        <w:t xml:space="preserve">13.  Computation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Context</w:t>
            </w:r>
          </w:p>
        </w:tc>
        <w:tc>
          <w:tcPr>
            <w:tcW w:type="dxa" w:w="60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Convention</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Inner profile quantities (Q12, Q14, Δ, S, U_max)</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Interpolate V² directly (V²-interpolation convention)</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Outer radial u(r) profiles, crossing-window work</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Interpolate V_obs in V-space then square; disk/bulge in V²-space</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memory law</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Exact gas-dependent form. Saturated approximation not canonical.</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Gas fraction f_gas [v18 locked]</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V²_gas / (V²_gas + 0.5V²_disk + 0.7V²_bul) at r_out. NOT V²_gas/V²_obs.</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R85/R80/R90 quadrature [v18]</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Fine-grid (10,000 points) trapezoidal integration. Raw gradient method gives smaller values.</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U_max integration grid</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n_y ≥ 2000 for 4-digit stability</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Σ</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Mean mass surface density over 0.80–1.00 r_out from high-resolution _disk.dat</w:t>
            </w:r>
          </w:p>
        </w:tc>
      </w:tr>
      <w:tr>
        <w:tc>
          <w:tcPr>
            <w:tcW w:type="dxa" w:w="3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h (locked)</w:t>
            </w:r>
          </w:p>
        </w:tc>
        <w:tc>
          <w:tcPr>
            <w:tcW w:type="dxa" w:w="60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Log-linear fit to ALL positive Σ(R) points in _disk.dat (not restricted to R ≤ r_out)</w:t>
            </w:r>
          </w:p>
        </w:tc>
      </w:tr>
    </w:tbl>
    <w:p>
      <w:pPr>
        <w:spacing w:after="60"/>
      </w:pPr>
      <w:r>
        <w:t xml:space="preserve"/>
      </w:r>
    </w:p>
    <w:p>
      <w:pPr>
        <w:pStyle w:val="Heading1"/>
      </w:pPr>
      <w:r>
        <w:rPr>
          <w:b/>
          <w:bCs/>
        </w:rPr>
        <w:t xml:space="preserve">14.  Framework Hierarchy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c>
          <w:tcPr>
            <w:tcW w:type="dxa" w:w="8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Level</w:t>
            </w:r>
          </w:p>
        </w:tc>
        <w:tc>
          <w:tcPr>
            <w:tcW w:type="dxa" w:w="82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Content</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Background transport (Γ0, L, q)</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Photometric closure (L_pred = 2kh)</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3</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Memory saturation (L_eff, zero parameters)</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4</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Response shape (q = 1 + n_out)</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LTG/ETG population separation</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four-condition intersection (Δ, Q14, Ω_in, u)</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7</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sign-changing H+ sector (gate, suppression, outer capacity, branch law)</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Outer chain reduction (X_out, R_d, Stage-4 disk-force law)</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9</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Radial threshold structure (u(r) law, δu = 1−u, buffered profile collapse, geometric c₁ identity)</w:t>
            </w:r>
          </w:p>
        </w:tc>
      </w:tr>
      <w:tr>
        <w:tc>
          <w:tcPr>
            <w:tcW w:type="dxa" w:w="8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w:t>
            </w:r>
          </w:p>
        </w:tc>
        <w:tc>
          <w:tcPr>
            <w:tcW w:type="dxa" w:w="82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Universal S-law; LTG outer route split; LTG buffered regime split (52/25); ETG/LTG curvature laws</w:t>
            </w:r>
          </w:p>
        </w:tc>
      </w:tr>
    </w:tbl>
    <w:p>
      <w:pPr>
        <w:spacing w:after="60"/>
      </w:pPr>
      <w:r>
        <w:t xml:space="preserve"/>
      </w:r>
    </w:p>
    <w:p>
      <w:pPr>
        <w:pStyle w:val="Heading1"/>
      </w:pPr>
      <w:r>
        <w:rPr>
          <w:b/>
          <w:bCs/>
        </w:rPr>
        <w:t xml:space="preserve">15.  Derived vs Empirical Status</w:t>
      </w:r>
    </w:p>
    <w:p>
      <w:pPr>
        <w:pStyle w:val="Heading2"/>
      </w:pPr>
      <w:r>
        <w:rPr>
          <w:b/>
          <w:bCs/>
        </w:rPr>
        <w:t xml:space="preserve">15.1  Derived</w:t>
      </w:r>
    </w:p>
    <w:p>
      <w:pPr>
        <w:spacing w:after="120"/>
      </w:pPr>
      <w:r>
        <w:t xml:space="preserve">Transport equation and background law; photometric closure; memory-load structure; suppression operator form; H+ sign-change mechanism; exact outer viability boundary X_out &lt; R_max/(1−R_d−R_b); exact identity δu = (X_crit−X_out)/X_crit; structural form of Stage-4 disk-force law; crossing-window geometric identity c₁ = −δu/(1−x_cross) (Priority K, closed v13).</w:t>
      </w:r>
    </w:p>
    <w:p>
      <w:pPr>
        <w:pStyle w:val="Heading2"/>
      </w:pPr>
      <w:r>
        <w:rPr>
          <w:b/>
          <w:bCs/>
        </w:rPr>
        <w:t xml:space="preserve">15.2  Empirical (verified from raw files)</w:t>
      </w:r>
    </w:p>
    <w:p>
      <w:pPr>
        <w:spacing w:after="120"/>
      </w:pPr>
      <w:r>
        <w:t xml:space="preserve">q ≈ 0.77; R_max = 1.758948; U* = 0.201803; A_loc = 3.344 (3-galaxy calibration); Stage-4 exponents a ≈ 0.84, b ≈ 1.72; ETG curvature A ∼ k(1−x_cross), k ≈ 1.03–1.08 (confirmed all definitions, EXP38); LTG curvature A ≈ −2.67 + 2.74/√u_0.75 (R² = 0.781, jackknife sign-stable, EXP42/42B); Stage-4 R85 preferred in clean HL rows (HL11-minus-NGC3998 LOO = 0.156, EXP44B/EXP48); Priority L: outer_MAE ≈ −10.315 + 8.645g + 10.508 L_gap (strict N=19, LOO = 10.06, top-5 = 5/5 all guards, EXP41); disk-buffered triple-population confirmation: combined rank 1/120 (p = 0.008); c₁ identity RMSE = 0.07, Pearson r = 0.998, Spearman = 1.000.</w:t>
      </w:r>
    </w:p>
    <w:p>
      <w:pPr>
        <w:pStyle w:val="Heading2"/>
      </w:pPr>
      <w:r>
        <w:rPr>
          <w:b/>
          <w:bCs/>
        </w:rPr>
        <w:t xml:space="preserve">15.3  Provisional / unresolved</w:t>
      </w:r>
    </w:p>
    <w:p>
      <w:pPr>
        <w:spacing w:after="120"/>
      </w:pPr>
      <w:r>
        <w:rPr>
          <w:b/>
          <w:bCs/>
        </w:rPr>
        <w:t xml:space="preserve">Priority D: </w:t>
      </w:r>
      <w:r>
        <w:t xml:space="preserve">Two-channel H+ confirmation. EXP22 exhausted the 16-galaxy ETG sample. NGC4203 only. Requires new ETG data.</w:t>
      </w:r>
    </w:p>
    <w:p>
      <w:pPr>
        <w:spacing w:after="120"/>
      </w:pPr>
      <w:r>
        <w:rPr>
          <w:b/>
          <w:bCs/>
        </w:rPr>
        <w:t xml:space="preserve">Priority F: </w:t>
      </w:r>
      <w:r>
        <w:t xml:space="preserve">Stage-4 exponent and geometry derivation. R85 preferred empirically but lacks first-principles derivation. r_out/h is strongest repeated weak predictor of R85 advantage (r ≈ 0.53–0.60). Force-kernel radii competitive in HL12 but not universally stable.</w:t>
      </w:r>
    </w:p>
    <w:p>
      <w:pPr>
        <w:spacing w:after="120"/>
      </w:pPr>
      <w:r>
        <w:rPr>
          <w:b/>
          <w:bCs/>
        </w:rPr>
        <w:t xml:space="preserve">Priority G (rescoped v16): </w:t>
      </w:r>
      <w:r>
        <w:t xml:space="preserve">Three targets. (1) ETG disk-buffered: derive A ≈ k(1−x_cross), explain why x_cross beats c₁/(δu) as predictor. (2) LTG single-crossing: derive A ≈ −2.67 + 2.74/√u_0.75; explain load-retention mechanism. (3) Explain ETG/LTG structural difference.</w:t>
      </w:r>
    </w:p>
    <w:p>
      <w:pPr>
        <w:spacing w:after="120"/>
      </w:pPr>
      <w:r>
        <w:rPr>
          <w:b/>
          <w:bCs/>
        </w:rPr>
        <w:t xml:space="preserve">Priority L: </w:t>
      </w:r>
      <w:r>
        <w:t xml:space="preserve">Formula and membership locked. Robustness table paper-ready (EXP41). Three-variable extension diagnostic-only (EXP47B). Remaining task: write final paper section.</w:t>
      </w:r>
    </w:p>
    <w:p>
      <w:pPr>
        <w:spacing w:after="120"/>
      </w:pPr>
      <w:r>
        <w:rPr>
          <w:b/>
          <w:bCs/>
        </w:rPr>
        <w:t xml:space="preserve">R85 coefficient rows: </w:t>
      </w:r>
      <w:r>
        <w:t xml:space="preserve">A, a, b for HL11-minus-NGC3998 R85 not yet explicitly locked. R² = 0.965, LOO = 0.156 are verified. Coefficients to be read from EXP44B CSV.</w:t>
      </w:r>
    </w:p>
    <w:p>
      <w:pPr>
        <w:spacing w:after="120"/>
      </w:pPr>
      <w:r>
        <w:rPr>
          <w:b/>
          <w:bCs/>
        </w:rPr>
        <w:t xml:space="preserve">IllustrisTNG/EAGLE test: </w:t>
      </w:r>
      <w:r>
        <w:t xml:space="preserve">Not yet attempted.</w:t>
      </w:r>
    </w:p>
    <w:p>
      <w:pPr>
        <w:pStyle w:val="Heading1"/>
      </w:pPr>
      <w:r>
        <w:rPr>
          <w:b/>
          <w:bCs/>
        </w:rPr>
        <w:t xml:space="preserve">16.  Results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700"/>
        <w:gridCol w:w="2500"/>
        <w:gridCol w:w="2300"/>
      </w:tblGrid>
      <w:tr>
        <w:tc>
          <w:tcPr>
            <w:tcW w:type="dxa" w:w="3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Population/Test</w:t>
            </w:r>
          </w:p>
        </w:tc>
        <w:tc>
          <w:tcPr>
            <w:tcW w:type="dxa" w:w="7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N</w:t>
            </w:r>
          </w:p>
        </w:tc>
        <w:tc>
          <w:tcPr>
            <w:tcW w:type="dxa" w:w="25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Metric</w:t>
            </w:r>
          </w:p>
        </w:tc>
        <w:tc>
          <w:tcPr>
            <w:tcW w:type="dxa" w:w="2300"/>
            <w:tcBorders>
              <w:top w:val="single" w:color="888888" w:sz="1"/>
              <w:left w:val="single" w:color="888888" w:sz="1"/>
              <w:bottom w:val="single" w:color="888888" w:sz="1"/>
              <w:right w:val="single" w:color="888888" w:sz="1"/>
            </w:tcBorders>
            <w:shd w:fill="DDEEFF" w:val="clear"/>
            <w:tcMar>
              <w:top w:type="dxa" w:w="80"/>
              <w:left w:type="dxa" w:w="120"/>
              <w:bottom w:type="dxa" w:w="80"/>
              <w:right w:type="dxa" w:w="120"/>
            </w:tcMar>
          </w:tcPr>
          <w:p>
            <w:r>
              <w:rPr>
                <w:b/>
                <w:bCs/>
              </w:rPr>
              <w:t xml:space="preserve">Value</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All LTGs — exact memory law</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Median RMSE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17.15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Upward-crossing buffered</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52</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Median RMSE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21.28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Single-crossing buffered</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Median RMSE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27.59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Upward vs single-crossing</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77</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Welch t-test p</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0.00985</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outer routes</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Low-load / buffered</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81 / 77</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outer infeasible</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u(r_out) ≥ 1</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Regime classifier</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g_sep AUC</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0.912</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S-law</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141</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0.919</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S-law</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0.851</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 &lt; 1.70 threshold (LTG)</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141</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Accuracy</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135/141</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Outer gate (16 ETGs)</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X_out &lt; R_max/(1−R_d)</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16/16</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Kernel law (full ETG)</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0.931</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δu identity (all ETGs)</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Max error</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 5×10⁻¹⁶</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Priority L two-scalar model</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LOO RMSE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10.06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Priority L — top-5 overlap</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All 7 guards</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Top-5 LOO</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5/5 all guards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Priority L severity ranking</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Spearman</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0.888</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CDC-low-load branch</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175</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Count / median outer MAE</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17 / 12.75 km/s</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c₁ geometric identity</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7</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Pearson r / Spearman</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0.998 / 1.000</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Disk-buffered triple signal</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Combined rank / 120</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 / 120 (p=0.008)</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ETG curvature A∼(1−x_cross) db6</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 / LOO</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0.82 / 0.036</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LTG curvature A∼1/√u_0.75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19*</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R² / LOO</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0.781 / 0.316</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Full16 R90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16</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LOO (log units)</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0.444</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HL11−NGC3998 R85</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LOO (log units)</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0.156 (strongest row)</w:t>
            </w:r>
          </w:p>
        </w:tc>
      </w:tr>
      <w:tr>
        <w:tc>
          <w:tcPr>
            <w:tcW w:type="dxa" w:w="3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Stage-4 HL11−NGC3998 R80</w:t>
            </w:r>
          </w:p>
        </w:tc>
        <w:tc>
          <w:tcPr>
            <w:tcW w:type="dxa" w:w="7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11</w:t>
            </w:r>
          </w:p>
        </w:tc>
        <w:tc>
          <w:tcPr>
            <w:tcW w:type="dxa" w:w="25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LOO (log units)</w:t>
            </w:r>
          </w:p>
        </w:tc>
        <w:tc>
          <w:tcPr>
            <w:tcW w:type="dxa" w:w="2300"/>
            <w:tcBorders>
              <w:top w:val="single" w:color="888888" w:sz="1"/>
              <w:left w:val="single" w:color="888888" w:sz="1"/>
              <w:bottom w:val="single" w:color="888888" w:sz="1"/>
              <w:right w:val="single" w:color="888888" w:sz="1"/>
            </w:tcBorders>
            <w:tcMar>
              <w:top w:type="dxa" w:w="60"/>
              <w:left w:type="dxa" w:w="120"/>
              <w:bottom w:type="dxa" w:w="60"/>
              <w:right w:type="dxa" w:w="120"/>
            </w:tcMar>
          </w:tcPr>
          <w:p>
            <w:r>
              <w:t xml:space="preserve">0.181 (continuity row)</w:t>
            </w:r>
          </w:p>
        </w:tc>
      </w:tr>
    </w:tbl>
    <w:p>
      <w:pPr>
        <w:spacing w:after="60"/>
      </w:pPr>
      <w:r>
        <w:t xml:space="preserve"/>
      </w:r>
    </w:p>
    <w:p>
      <w:pPr>
        <w:spacing w:after="120"/>
      </w:pPr>
      <w:r>
        <w:rPr>
          <w:i/>
          <w:iCs/>
        </w:rPr>
        <w:t xml:space="preserve">*Strict set: single-crossing galaxies with h ≥ R₀ (N=19). AUC conditions on 55 buffered galaxies with valid S_inner. Priority L top-5: NGC2841, NGC6674, UGC02885, UGC06786, UGC12506 (unchanged across all 7 guard rows).</w:t>
      </w:r>
    </w:p>
    <w:p>
      <w:pPr>
        <w:pStyle w:val="Heading1"/>
      </w:pPr>
      <w:r>
        <w:rPr>
          <w:b/>
          <w:bCs/>
        </w:rPr>
        <w:t xml:space="preserve">17.  Conclusion</w:t>
      </w:r>
    </w:p>
    <w:p>
      <w:pPr>
        <w:spacing w:after="120"/>
      </w:pPr>
      <w:r>
        <w:t xml:space="preserve">The MTS framework yields a transport-response law for disk galaxies with cosmological normalisation, photometric scale closure, zero-parameter memory correction, and emergent response branching.</w:t>
      </w:r>
    </w:p>
    <w:p>
      <w:pPr>
        <w:spacing w:after="120"/>
      </w:pPr>
      <w:r>
        <w:t xml:space="preserve">LTGs follow a closed first-order law with memory-driven corrections. Global median RMSE = 17.15 km/s (N=175). The LTG buffered branch splits into 52 upward-crossing and 25 single-crossing objects (AUC = 0.912 for regime prediction). Single-crossing outer error is organised by the canonical two-scalar model outer_MAE ≈ −10.315 + 8.645g + 10.508 L_gap (strict N=19, LOO RMSE ≈ 10.06 km/s, top-5 severity overlap = 5/5 across all seven robustness guards). A three-variable extension with u_0.75 improves LOO to 8.35 km/s on strict N=19, but its advantage is driven by three supercritical galaxies and the two-scalar form remains canonical. Crossing-window curvature for LTG single-crossing objects is load-retention-controlled: A ≈ −2.67 + 2.74/√u_0.75 (R² = 0.781, jackknife sign-stable).</w:t>
      </w:r>
    </w:p>
    <w:p>
      <w:pPr>
        <w:spacing w:after="120"/>
      </w:pPr>
      <w:r>
        <w:t xml:space="preserve">ETGs form a multi-family, multi-sign response sector governed by a four-condition intersection. The viability boundary X_out &lt; R_max/(1−R_d) classifies all 16 ETGs correctly. Buffered ETGs share a crossing-window shape (PC1 = 99.82%) with per-galaxy slopes c₁ = −δu/(1−x_cross) (Pearson r = 0.998, Spearman = 1.000, no free parameters, Priority K closed). ETG curvature follows A ≈ k(1−x_cross), k ≈ 1.03–1.08, stable under all definitions — a structurally distinct interval-geometry-controlled regime from LTG load-retention control. The Stage-4 disk-force law empirically prefers R85 in all clean high-load rows; HL11-minus-NGC3998 with r_out/R85 is the strongest row (R² = 0.965, LOO = 0.156, 8/11 jackknife stable; NGC3626-sensitive). The kernel law holds with K_full = 0.03060, R² = 0.931.</w:t>
      </w:r>
    </w:p>
    <w:p>
      <w:pPr>
        <w:spacing w:after="120"/>
      </w:pPr>
      <w:r>
        <w:t xml:space="preserve">A universal completion-ratio law U_max ≈ A − B ln(S) holds across both galaxy types (LTG R² = 0.919, ETG R² = 0.851) with threshold near S ≈ 1.70. The disk-buffered ETG branch is externally validated by three independent population indicators jointly ranking first among 120 ETG pairs (p = 0.008). No confirmed LTG H+ objects exist.</w:t>
      </w:r>
    </w:p>
    <w:p>
      <w:pPr>
        <w:pStyle w:val="Heading1"/>
      </w:pPr>
      <w:r>
        <w:rPr>
          <w:b/>
          <w:bCs/>
        </w:rPr>
        <w:t xml:space="preserve">18.  Methods and Data</w:t>
      </w:r>
    </w:p>
    <w:p>
      <w:pPr>
        <w:spacing w:after="120"/>
      </w:pPr>
      <w:r>
        <w:t xml:space="preserve">Data: SPARC ROTMOD files (Lelli et al. 2016, 175 disk galaxies). ETG rotation curves from ATLAS3D (16 galaxies, Rotmod_ETG.zip). High-resolution bulge/disk component profiles (_disk.dat, _bulge.dat) used for all inner-branch and outer-chain computations.</w:t>
      </w:r>
    </w:p>
    <w:p>
      <w:pPr>
        <w:spacing w:after="120"/>
      </w:pPr>
      <w:r>
        <w:t xml:space="preserve">External datasets: Krajnovic et al. (2020) ATLAS3D stellar population radial profiles; Poci et al. (2017) 2D stellar M/L maps (MLSTARR); ATLAS3D stellar kinematics (VPXF); ATLAS3D ionised-gas maps (V_OIII_GAS); Serra et al. (2012) HI moment maps; BulgeDiskDec ETG photometric density files. CO single-dish archive and Serra2012 are ATLAS3D ETG-only with 0/17 overlap with the CDC-low LTG branch.</w:t>
      </w:r>
    </w:p>
    <w:p>
      <w:pPr>
        <w:spacing w:after="120"/>
      </w:pPr>
      <w:r>
        <w:t xml:space="preserve">Baryonic convention: V̄²_bar = V²_gas + 0.5 V²_disk + 0.7 V²_bul. File comments: ROTMOD = '#'; component files = '!'. Canonical r_in values: NGC2685 = 0.310, NGC3626 = 0.370, NGC3941 = 0.270, NGC4203 = 0.460 kpc. Framework constants: Γ0 = 809.956 km²/s²/kpc; R_max = 1.758948; U* = 0.201803. R85/R80/R90 computed by fine-grid (10,000 point) trapezoidal 2πRΣ integration. All tables verified from raw files using exact gas-dependent memory law.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2026-05-07T04:47:57.910Z</dcterms:created>
  <dcterms:modified xsi:type="dcterms:W3CDTF">2026-05-07T04:47:57.930Z</dcterms:modified>
</cp:coreProperties>
</file>

<file path=docProps/custom.xml><?xml version="1.0" encoding="utf-8"?>
<Properties xmlns="http://schemas.openxmlformats.org/officeDocument/2006/custom-properties" xmlns:vt="http://schemas.openxmlformats.org/officeDocument/2006/docPropsVTypes"/>
</file>