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48"/>
          <w:szCs w:val="48"/>
        </w:rPr>
        <w:t xml:space="preserve">MTS Galaxy Law</w:t>
      </w:r>
    </w:p>
    <w:p>
      <w:pPr>
        <w:spacing w:after="120" w:before="0"/>
        <w:jc w:val="center"/>
      </w:pPr>
      <w:r>
        <w:rPr>
          <w:rFonts w:ascii="Arial" w:cs="Arial" w:eastAsia="Arial" w:hAnsi="Arial"/>
          <w:b/>
          <w:bCs/>
          <w:sz w:val="30"/>
          <w:szCs w:val="30"/>
        </w:rPr>
        <w:t xml:space="preserve">The Motion–Timespace (MTS) Galaxy Law:</w:t>
      </w:r>
    </w:p>
    <w:p>
      <w:pPr>
        <w:spacing w:after="240" w:before="0"/>
        <w:jc w:val="center"/>
      </w:pPr>
      <w:r>
        <w:rPr>
          <w:rFonts w:ascii="Arial" w:cs="Arial" w:eastAsia="Arial" w:hAnsi="Arial"/>
          <w:b/>
          <w:bCs/>
          <w:sz w:val="30"/>
          <w:szCs w:val="30"/>
        </w:rPr>
        <w:t xml:space="preserve">A Transport–Response Framework for Disk Galaxies</w:t>
      </w:r>
    </w:p>
    <w:p>
      <w:pPr>
        <w:spacing w:after="720" w:before="0"/>
        <w:jc w:val="center"/>
      </w:pPr>
      <w:r>
        <w:rPr>
          <w:rFonts w:ascii="Arial" w:cs="Arial" w:eastAsia="Arial" w:hAnsi="Arial"/>
          <w:i/>
          <w:iCs/>
          <w:color w:val="555555"/>
          <w:sz w:val="22"/>
          <w:szCs w:val="22"/>
        </w:rPr>
        <w:t xml:space="preserve">Version 12  —  post-verification draft</w:t>
      </w:r>
    </w:p>
    <w:p>
      <w:pPr>
        <w:pStyle w:val="Heading1"/>
        <w:spacing w:after="160" w:before="320"/>
      </w:pPr>
      <w:r>
        <w:rPr>
          <w:rFonts w:ascii="Arial" w:cs="Arial" w:eastAsia="Arial" w:hAnsi="Arial"/>
          <w:b/>
          <w:bCs/>
          <w:sz w:val="28"/>
          <w:szCs w:val="28"/>
        </w:rPr>
        <w:t xml:space="preserve">Abstract</w:t>
      </w:r>
    </w:p>
    <w:p>
      <w:pPr>
        <w:spacing w:after="100" w:before="100"/>
      </w:pPr>
      <w:r>
        <w:rPr>
          <w:rFonts w:ascii="Arial" w:cs="Arial" w:eastAsia="Arial" w:hAnsi="Arial"/>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Late-type galaxies (LTGs) follow a unified transport law with memory-driven corrections. The LTG buffered branch splits into 52 upward-crossing and 25 single-crossing outer-approach objects, predictable from initial load u(R₀) and inner concentration S_inner (AUC = 0.912 on valid-inner subset N = 55). Single-crossing outer error is organised by a two-scalar model using g = memory_load × x_cross and the memory-law gap L_gap = L_sat − L_exact (LOO RMSE ≈ 10 km/s, severity Spearman = 0.888, top-5 exact identification). An additional CDC-low-load route (N = 17) of suppressed-amplitude central-deficit galaxies is identified and characterised. 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Umax ≈ 0.23–0.24 − 0.058 ln(S) (R² ≈ 0.85–0.92) organises inner feasibility across both galaxy types.</w:t>
      </w:r>
    </w:p>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Note on performance tables: LTG global performance figures in earlier drafts (median RMSE 20.60 km/s, N=137; all-LTG 29.44 km/s, N=174) are mixed-provenance artefacts from previous formula versions and are not cited in this draft. Current-formula performance under the exact gas-dependent memory law is: all LTGs (N=175) median RMSE = 17.15 km/s, mean = 21.90 km/s. Route-resolved values are given in §4.</w:t>
      </w:r>
    </w:p>
    <w:p>
      <w:pPr>
        <w:pStyle w:val="Heading1"/>
        <w:spacing w:after="160" w:before="320"/>
      </w:pPr>
      <w:r>
        <w:rPr>
          <w:rFonts w:ascii="Arial" w:cs="Arial" w:eastAsia="Arial" w:hAnsi="Arial"/>
          <w:b/>
          <w:bCs/>
          <w:sz w:val="28"/>
          <w:szCs w:val="28"/>
        </w:rPr>
        <w:t xml:space="preserve">1.  Introduction</w:t>
      </w:r>
    </w:p>
    <w:p>
      <w:pPr>
        <w:spacing w:after="100" w:before="100"/>
      </w:pPr>
      <w:r>
        <w:rPr>
          <w:rFonts w:ascii="Arial" w:cs="Arial" w:eastAsia="Arial" w:hAnsi="Arial"/>
          <w:sz w:val="22"/>
          <w:szCs w:val="22"/>
        </w:rP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spacing w:after="160" w:before="320"/>
      </w:pPr>
      <w:r>
        <w:rPr>
          <w:rFonts w:ascii="Arial" w:cs="Arial" w:eastAsia="Arial" w:hAnsi="Arial"/>
          <w:b/>
          <w:bCs/>
          <w:sz w:val="28"/>
          <w:szCs w:val="28"/>
        </w:rPr>
        <w:t xml:space="preserve">2.  The MTS Framework</w:t>
      </w:r>
    </w:p>
    <w:p>
      <w:pPr>
        <w:pStyle w:val="Heading2"/>
        <w:spacing w:after="120" w:before="240"/>
      </w:pPr>
      <w:r>
        <w:rPr>
          <w:rFonts w:ascii="Arial" w:cs="Arial" w:eastAsia="Arial" w:hAnsi="Arial"/>
          <w:b/>
          <w:bCs/>
          <w:sz w:val="24"/>
          <w:szCs w:val="24"/>
        </w:rPr>
        <w:t xml:space="preserve">2.1  Emergent geometry</w:t>
      </w:r>
    </w:p>
    <w:p>
      <w:pPr>
        <w:spacing w:after="100" w:before="100"/>
      </w:pPr>
      <w:r>
        <w:rPr>
          <w:rFonts w:ascii="Arial" w:cs="Arial" w:eastAsia="Arial" w:hAnsi="Arial"/>
          <w:sz w:val="22"/>
          <w:szCs w:val="22"/>
        </w:rPr>
        <w:t xml:space="preserve">A scalar field ψ defines an emergent metric via coarse-grained gradient covariance:</w:t>
      </w:r>
    </w:p>
    <w:p>
      <w:pPr>
        <w:spacing w:after="120" w:before="120"/>
        <w:jc w:val="center"/>
      </w:pPr>
      <w:r>
        <w:rPr>
          <w:rFonts w:ascii="Courier New" w:cs="Courier New" w:eastAsia="Courier New" w:hAnsi="Courier New"/>
          <w:sz w:val="22"/>
          <w:szCs w:val="22"/>
        </w:rPr>
        <w:t xml:space="preserve">g_μν = η_μν + ⟨∂_μψ, ∂_νψ⟩</w:t>
      </w:r>
    </w:p>
    <w:p>
      <w:pPr>
        <w:pStyle w:val="Heading2"/>
        <w:spacing w:after="120" w:before="240"/>
      </w:pPr>
      <w:r>
        <w:rPr>
          <w:rFonts w:ascii="Arial" w:cs="Arial" w:eastAsia="Arial" w:hAnsi="Arial"/>
          <w:b/>
          <w:bCs/>
          <w:sz w:val="24"/>
          <w:szCs w:val="24"/>
        </w:rPr>
        <w:t xml:space="preserve">2.2  Curvature–exchange field</w:t>
      </w:r>
    </w:p>
    <w:p>
      <w:pPr>
        <w:spacing w:after="100" w:before="100"/>
      </w:pPr>
      <w:r>
        <w:rPr>
          <w:rFonts w:ascii="Arial" w:cs="Arial" w:eastAsia="Arial" w:hAnsi="Arial"/>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60" w:before="320"/>
      </w:pPr>
      <w:r>
        <w:rPr>
          <w:rFonts w:ascii="Arial" w:cs="Arial" w:eastAsia="Arial" w:hAnsi="Arial"/>
          <w:b/>
          <w:bCs/>
          <w:sz w:val="28"/>
          <w:szCs w:val="28"/>
        </w:rPr>
        <w:t xml:space="preserve">3.  Transport Equation and Background Law</w:t>
      </w:r>
    </w:p>
    <w:p>
      <w:pPr>
        <w:spacing w:after="100" w:before="100"/>
      </w:pPr>
      <w:r>
        <w:rPr>
          <w:rFonts w:ascii="Arial" w:cs="Arial" w:eastAsia="Arial" w:hAnsi="Arial"/>
          <w:sz w:val="22"/>
          <w:szCs w:val="22"/>
        </w:rPr>
        <w:t xml:space="preserve">The transport equation is:</w:t>
      </w:r>
    </w:p>
    <w:p>
      <w:pPr>
        <w:spacing w:after="120" w:before="120"/>
        <w:jc w:val="center"/>
      </w:pPr>
      <w:r>
        <w:rPr>
          <w:rFonts w:ascii="Courier New" w:cs="Courier New" w:eastAsia="Courier New" w:hAnsi="Courier New"/>
          <w:sz w:val="22"/>
          <w:szCs w:val="22"/>
        </w:rPr>
        <w:t xml:space="preserve">u^μ ∇_μ χ + χ/τ_Γ = Γ₀/4</w:t>
      </w:r>
    </w:p>
    <w:p>
      <w:pPr>
        <w:spacing w:after="100" w:before="100"/>
      </w:pPr>
      <w:r>
        <w:rPr>
          <w:rFonts w:ascii="Arial" w:cs="Arial" w:eastAsia="Arial" w:hAnsi="Arial"/>
          <w:sz w:val="22"/>
          <w:szCs w:val="22"/>
        </w:rPr>
        <w:t xml:space="preserve">In the stationary disk limit, with L = v_Γ τ_Γ, the background solution is:</w:t>
      </w:r>
    </w:p>
    <w:p>
      <w:pPr>
        <w:spacing w:after="120" w:before="120"/>
        <w:jc w:val="center"/>
      </w:pPr>
      <w:r>
        <w:rPr>
          <w:rFonts w:ascii="Courier New" w:cs="Courier New" w:eastAsia="Courier New" w:hAnsi="Courier New"/>
          <w:sz w:val="22"/>
          <w:szCs w:val="22"/>
        </w:rPr>
        <w:t xml:space="preserve">χ(r) = (Γ₀/4) L [1 − exp(−r/L)]</w:t>
      </w:r>
    </w:p>
    <w:p>
      <w:pPr>
        <w:spacing w:after="100" w:before="100"/>
      </w:pPr>
      <w:r>
        <w:rPr>
          <w:rFonts w:ascii="Arial" w:cs="Arial" w:eastAsia="Arial" w:hAnsi="Arial"/>
          <w:sz w:val="22"/>
          <w:szCs w:val="22"/>
        </w:rPr>
        <w:t xml:space="preserve">Mapping to observables via V²(r) = V̄²_bar(r) + χ(r), using the photometric closure L = k(j̄_har/V̄_har,hmr) with k ≈ 0.9, and the cosmological normalisation Γ₀ = cH₀/(8π), yields the zero-parameter background galaxy law.</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Working constants (all locked, verified from raw files):</w:t>
      </w:r>
    </w:p>
    <w:p>
      <w:pPr>
        <w:spacing w:after="100" w:before="100"/>
      </w:pPr>
      <w:r>
        <w:rPr>
          <w:rFonts w:ascii="Courier New" w:cs="Courier New" w:eastAsia="Courier New" w:hAnsi="Courier New"/>
          <w:sz w:val="20"/>
          <w:szCs w:val="20"/>
        </w:rPr>
        <w:t xml:space="preserve">Γ₀ = 809.956 km²/s²/kpc     R_max = 1.758948     q = 0.77 (global exponent)</w:t>
      </w:r>
    </w:p>
    <w:p>
      <w:pPr>
        <w:pStyle w:val="Heading1"/>
        <w:spacing w:after="160" w:before="320"/>
      </w:pPr>
      <w:r>
        <w:rPr>
          <w:rFonts w:ascii="Arial" w:cs="Arial" w:eastAsia="Arial" w:hAnsi="Arial"/>
          <w:b/>
          <w:bCs/>
          <w:sz w:val="28"/>
          <w:szCs w:val="28"/>
        </w:rPr>
        <w:t xml:space="preserve">4.  LTG Sector</w:t>
      </w:r>
    </w:p>
    <w:p>
      <w:pPr>
        <w:pStyle w:val="Heading2"/>
        <w:spacing w:after="120" w:before="240"/>
      </w:pPr>
      <w:r>
        <w:rPr>
          <w:rFonts w:ascii="Arial" w:cs="Arial" w:eastAsia="Arial" w:hAnsi="Arial"/>
          <w:b/>
          <w:bCs/>
          <w:sz w:val="24"/>
          <w:szCs w:val="24"/>
        </w:rPr>
        <w:t xml:space="preserve">4.1  Photometric closure</w:t>
      </w:r>
    </w:p>
    <w:p>
      <w:pPr>
        <w:spacing w:after="100" w:before="100"/>
      </w:pPr>
      <w:r>
        <w:rPr>
          <w:rFonts w:ascii="Arial" w:cs="Arial" w:eastAsia="Arial" w:hAnsi="Arial"/>
          <w:sz w:val="22"/>
          <w:szCs w:val="22"/>
        </w:rPr>
        <w:t xml:space="preserve">For exponential disks, j̄_har = 2hV_φα, giving L_pred = 2kh ≈ 1.8h. This closure stabilises the scale law.</w:t>
      </w:r>
    </w:p>
    <w:p>
      <w:pPr>
        <w:pStyle w:val="Heading2"/>
        <w:spacing w:after="120" w:before="240"/>
      </w:pPr>
      <w:r>
        <w:rPr>
          <w:rFonts w:ascii="Arial" w:cs="Arial" w:eastAsia="Arial" w:hAnsi="Arial"/>
          <w:b/>
          <w:bCs/>
          <w:sz w:val="24"/>
          <w:szCs w:val="24"/>
        </w:rPr>
        <w:t xml:space="preserve">4.2  Transport memory law (canonical convention)</w:t>
      </w:r>
    </w:p>
    <w:p>
      <w:pPr>
        <w:spacing w:after="100" w:before="100"/>
      </w:pPr>
      <w:r>
        <w:rPr>
          <w:rFonts w:ascii="Arial" w:cs="Arial" w:eastAsia="Arial" w:hAnsi="Arial"/>
          <w:sz w:val="22"/>
          <w:szCs w:val="22"/>
        </w:rPr>
        <w:t xml:space="preserve">The governing variable is memory_load = (1 − f_gas)(R_out / h). The effective transport scale is:</w:t>
      </w:r>
    </w:p>
    <w:p>
      <w:pPr>
        <w:spacing w:after="120" w:before="120"/>
        <w:jc w:val="center"/>
      </w:pPr>
      <w:r>
        <w:rPr>
          <w:rFonts w:ascii="Courier New" w:cs="Courier New" w:eastAsia="Courier New" w:hAnsi="Courier New"/>
          <w:sz w:val="22"/>
          <w:szCs w:val="22"/>
        </w:rPr>
        <w:t xml:space="preserve">L_eff = 1.8h [ 1 + S_mem ( 1 − exp(−memory_load / S_mem) ) ]</w:t>
      </w:r>
    </w:p>
    <w:p>
      <w:pPr>
        <w:spacing w:after="120" w:before="120"/>
        <w:jc w:val="center"/>
      </w:pPr>
      <w:r>
        <w:rPr>
          <w:rFonts w:ascii="Courier New" w:cs="Courier New" w:eastAsia="Courier New" w:hAnsi="Courier New"/>
          <w:sz w:val="22"/>
          <w:szCs w:val="22"/>
        </w:rPr>
        <w:t xml:space="preserve">S_mem = (0.9/π)(R_out / h)</w:t>
      </w:r>
    </w:p>
    <w:p>
      <w:pPr>
        <w:spacing w:after="100" w:before="100"/>
      </w:pPr>
      <w:r>
        <w:rPr>
          <w:rFonts w:ascii="Arial" w:cs="Arial" w:eastAsia="Arial" w:hAnsi="Arial"/>
          <w:sz w:val="22"/>
          <w:szCs w:val="22"/>
        </w:rPr>
        <w:t xml:space="preserve">This is the canonical exact gas-dependent memory law. It must be used for all residual and performance tables. The saturated approximation L_eff = 1.8h(1 + S_mem) gives qualitatively similar results but lower RMSEs (by approximately 0.7 km/s on the global median) and is not used for headline statistics.</w:t>
      </w:r>
    </w:p>
    <w:p>
      <w:pPr>
        <w:pStyle w:val="Heading2"/>
        <w:spacing w:after="120" w:before="240"/>
      </w:pPr>
      <w:r>
        <w:rPr>
          <w:rFonts w:ascii="Arial" w:cs="Arial" w:eastAsia="Arial" w:hAnsi="Arial"/>
          <w:b/>
          <w:bCs/>
          <w:sz w:val="24"/>
          <w:szCs w:val="24"/>
        </w:rPr>
        <w:t xml:space="preserve">4.3  Complete LTG law</w:t>
      </w:r>
    </w:p>
    <w:p>
      <w:pPr>
        <w:spacing w:after="120" w:before="120"/>
        <w:jc w:val="center"/>
      </w:pPr>
      <w:r>
        <w:rPr>
          <w:rFonts w:ascii="Courier New" w:cs="Courier New" w:eastAsia="Courier New" w:hAnsi="Courier New"/>
          <w:sz w:val="22"/>
          <w:szCs w:val="22"/>
        </w:rPr>
        <w:t xml:space="preserve">V²(r) = V̄²_bar(r) + Γ₀ × L_eff × [1 − exp(−(r/L_eff)^q)]</w:t>
      </w:r>
    </w:p>
    <w:p>
      <w:pPr>
        <w:spacing w:after="100" w:before="100"/>
      </w:pPr>
      <w:r>
        <w:rPr>
          <w:rFonts w:ascii="Arial" w:cs="Arial" w:eastAsia="Arial" w:hAnsi="Arial"/>
          <w:sz w:val="22"/>
          <w:szCs w:val="22"/>
        </w:rPr>
        <w:t xml:space="preserve">where V̄²_bar = V²_gas + 0.5 V²_disk + 0.7 V²_bul, q = 0.77, Γ₀ = 809.956.</w:t>
      </w:r>
    </w:p>
    <w:p>
      <w:pPr>
        <w:spacing w:after="100" w:before="100"/>
      </w:pPr>
      <w:r>
        <w:rPr>
          <w:rFonts w:ascii="Arial" w:cs="Arial" w:eastAsia="Arial" w:hAnsi="Arial"/>
          <w:sz w:val="22"/>
          <w:szCs w:val="22"/>
        </w:rPr>
        <w:t xml:space="preserve"/>
      </w:r>
    </w:p>
    <w:p>
      <w:pPr>
        <w:pStyle w:val="Heading3"/>
        <w:spacing w:after="80" w:before="180"/>
      </w:pPr>
      <w:r>
        <w:rPr>
          <w:rFonts w:ascii="Arial" w:cs="Arial" w:eastAsia="Arial" w:hAnsi="Arial"/>
          <w:b/>
          <w:bCs/>
          <w:sz w:val="22"/>
          <w:szCs w:val="22"/>
        </w:rPr>
        <w:t xml:space="preserve">Computation convention</w:t>
      </w:r>
    </w:p>
    <w:p>
      <w:pPr>
        <w:spacing w:after="100" w:before="100"/>
      </w:pPr>
      <w:r>
        <w:rPr>
          <w:rFonts w:ascii="Arial" w:cs="Arial" w:eastAsia="Arial" w:hAnsi="Arial"/>
          <w:sz w:val="22"/>
          <w:szCs w:val="22"/>
        </w:rPr>
        <w:t xml:space="preserve">Inner profile quantities (Q12, Q14, Δ, S, U_max): interpolate V² directly. This is the V²-interpolation convention. Outer radial u(r) profiles and crossing-window work: interpolate V_obs in V-space then square; interpolate disk and bulge component terms in V²-space. Both conventions are verified from raw files.</w:t>
      </w:r>
    </w:p>
    <w:p>
      <w:pPr>
        <w:pStyle w:val="Heading2"/>
        <w:spacing w:after="120" w:before="240"/>
      </w:pPr>
      <w:r>
        <w:rPr>
          <w:rFonts w:ascii="Arial" w:cs="Arial" w:eastAsia="Arial" w:hAnsi="Arial"/>
          <w:b/>
          <w:bCs/>
          <w:sz w:val="24"/>
          <w:szCs w:val="24"/>
        </w:rPr>
        <w:t xml:space="preserve">4.4  LTG global performance</w:t>
      </w:r>
    </w:p>
    <w:p>
      <w:pPr>
        <w:spacing w:after="100" w:before="100"/>
      </w:pPr>
      <w:r>
        <w:rPr>
          <w:rFonts w:ascii="Arial" w:cs="Arial" w:eastAsia="Arial" w:hAnsi="Arial"/>
          <w:sz w:val="22"/>
          <w:szCs w:val="22"/>
        </w:rPr>
        <w:t xml:space="preserve">All values computed from Rotmod_LTG(4).zip, exact gas-dependent memory law, q = 0.77. These are the current verified numbers.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80"/>
        <w:gridCol w:w="2340"/>
        <w:gridCol w:w="1560"/>
        <w:gridCol w:w="156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Sample</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Model</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Median RMSE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Mean RMSE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LTGs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17.15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21.90 km/s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LTGs excl. CamB</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17.21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21.90 km/s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upward-crossing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21.28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22.94 km/s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single-crossing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27.59 km/s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37.50 km/s</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Welch two-sample t-test for upward vs single-crossing RMSE difference: p = 0.00985. Outer MAE split: upward median 21.17 km/s, single-crossing median 32.93 km/s (p = 0.044). All values verified from raw files using the exact memory law.</w:t>
      </w:r>
    </w:p>
    <w:p>
      <w:pPr>
        <w:pStyle w:val="Heading1"/>
        <w:spacing w:after="160" w:before="320"/>
      </w:pPr>
      <w:r>
        <w:rPr>
          <w:rFonts w:ascii="Arial" w:cs="Arial" w:eastAsia="Arial" w:hAnsi="Arial"/>
          <w:b/>
          <w:bCs/>
          <w:sz w:val="28"/>
          <w:szCs w:val="28"/>
        </w:rPr>
        <w:t xml:space="preserve">5.  LTG Outer Route Structure</w:t>
      </w:r>
    </w:p>
    <w:p>
      <w:pPr>
        <w:pStyle w:val="Heading2"/>
        <w:spacing w:after="120" w:before="240"/>
      </w:pPr>
      <w:r>
        <w:rPr>
          <w:rFonts w:ascii="Arial" w:cs="Arial" w:eastAsia="Arial" w:hAnsi="Arial"/>
          <w:b/>
          <w:bCs/>
          <w:sz w:val="24"/>
          <w:szCs w:val="24"/>
        </w:rPr>
        <w:t xml:space="preserve">5.1  The outer load variable</w:t>
      </w:r>
    </w:p>
    <w:p>
      <w:pPr>
        <w:spacing w:after="100" w:before="100"/>
      </w:pPr>
      <w:r>
        <w:rPr>
          <w:rFonts w:ascii="Arial" w:cs="Arial" w:eastAsia="Arial" w:hAnsi="Arial"/>
          <w:sz w:val="22"/>
          <w:szCs w:val="22"/>
        </w:rPr>
        <w:t xml:space="preserve">For each galaxy at each radius, the outer load variable is:</w:t>
      </w:r>
    </w:p>
    <w:p>
      <w:pPr>
        <w:spacing w:after="120" w:before="120"/>
        <w:jc w:val="center"/>
      </w:pPr>
      <w:r>
        <w:rPr>
          <w:rFonts w:ascii="Courier New" w:cs="Courier New" w:eastAsia="Courier New" w:hAnsi="Courier New"/>
          <w:sz w:val="22"/>
          <w:szCs w:val="22"/>
        </w:rPr>
        <w:t xml:space="preserve">u(r) = [V²_obs(r) − 0.5 V²_disk(r) − 0.7 V²_bul(r)] / (Γ₀ r R_max)</w:t>
      </w:r>
    </w:p>
    <w:p>
      <w:pPr>
        <w:spacing w:after="100" w:before="100"/>
      </w:pPr>
      <w:r>
        <w:rPr>
          <w:rFonts w:ascii="Arial" w:cs="Arial" w:eastAsia="Arial" w:hAnsi="Arial"/>
          <w:sz w:val="22"/>
          <w:szCs w:val="22"/>
        </w:rPr>
        <w:t xml:space="preserve">The outer gate criterion is u(r_out) &lt; 1. LTG route classification uses fine-grid interpolation with 10,000 radial points and the outermost downward crossing of u = 1.</w:t>
      </w:r>
    </w:p>
    <w:p>
      <w:pPr>
        <w:pStyle w:val="Heading2"/>
        <w:spacing w:after="120" w:before="240"/>
      </w:pPr>
      <w:r>
        <w:rPr>
          <w:rFonts w:ascii="Arial" w:cs="Arial" w:eastAsia="Arial" w:hAnsi="Arial"/>
          <w:b/>
          <w:bCs/>
          <w:sz w:val="24"/>
          <w:szCs w:val="24"/>
        </w:rPr>
        <w:t xml:space="preserve">5.2  Route counts (all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Route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Count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Median u_out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Note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Low-load (u_out &lt; 1, no downward crossing)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0.346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 upward-crossing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 dips below 1, rises back, then final descent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 — single-crossing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 upward recrossing through u =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Outer-infeasible (u_out ≥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Total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Terminology note: the label 'single-crossing' (replacing 'straight-down') means no upward recrossing through u = 1. Of the 25 single-crossing galaxies, only 7/25 are strictly monotone decreasing in u(r) on the fine grid. The classification is topological, not shape-based.</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total number of galaxies with u(R₀) &lt; 0 is 39, distributed across routes: 15 within the buffered upward-crossing group (CDC-upward), 17 within the low-load group (CDC-low-load), and 7 within the outer-infeasible group. The single-crossing group contains no central-deficit objects. The v13 state-transfer statement “central-deficit objects u(R₀) &lt; 0 = 15, all within upward-crossing” refers specifically to the buffered upward subset. The “any-upward = 65” count includes 52 outer-feasible upward-crossing galaxies plus 13 outer-infeasible galaxies that still exhibit upward crossings. ESO079-G014 has u_out = 1.009 and thus falls in the outer-infeasible group despite having an upward crossing. The 17 CDC-low-load galaxies (NGC4217, NGC5055, NGC7331, NGC4389, NGC4085, UGC09037, UGC06614, NGC4088, UGC02455, UGC11557, NGC3769, UGC04305, F574-2, CamB, UGC08837, NGC4068, NGC0100) form a distinct route branch with suppressed-amplitude central-deficit structure and are discussed in §5.6.</w:t>
      </w:r>
    </w:p>
    <w:p>
      <w:pPr>
        <w:pStyle w:val="Heading2"/>
        <w:spacing w:after="120" w:before="240"/>
      </w:pPr>
      <w:r>
        <w:rPr>
          <w:rFonts w:ascii="Arial" w:cs="Arial" w:eastAsia="Arial" w:hAnsi="Arial"/>
          <w:b/>
          <w:bCs/>
          <w:sz w:val="24"/>
          <w:szCs w:val="24"/>
        </w:rPr>
        <w:t xml:space="preserve">5.3  LTG inner admissibility</w:t>
      </w:r>
    </w:p>
    <w:p>
      <w:pPr>
        <w:spacing w:after="100" w:before="100"/>
      </w:pPr>
      <w:r>
        <w:rPr>
          <w:rFonts w:ascii="Arial" w:cs="Arial" w:eastAsia="Arial" w:hAnsi="Arial"/>
          <w:sz w:val="22"/>
          <w:szCs w:val="22"/>
        </w:rPr>
        <w:t xml:space="preserve">The LTG legacy inner set is defined by: h/r_out ≤ 0.3168 (from global log-linear SBdisk fit), Δ &gt; 0, no h ≥ R₀ guard. This gives N = 141 (legacy) and N = 124 (strict, adding h ≥ R₀). Boundary galaxies: UGCA444 (h/r_out = 0.31667, IN) and UGC07608 (h/r_out = 0.31690, OUT). The 17 artefact cases (h &lt; R₀) all give S = 0.500, Δ = 0.500, U_max = 0.298 exactly, by construction.</w:t>
      </w:r>
    </w:p>
    <w:p>
      <w:pPr>
        <w:pStyle w:val="Heading2"/>
        <w:spacing w:after="120" w:before="240"/>
      </w:pPr>
      <w:r>
        <w:rPr>
          <w:rFonts w:ascii="Arial" w:cs="Arial" w:eastAsia="Arial" w:hAnsi="Arial"/>
          <w:b/>
          <w:bCs/>
          <w:sz w:val="24"/>
          <w:szCs w:val="24"/>
        </w:rPr>
        <w:t xml:space="preserve">5.4  Buffered regime split and classifier</w:t>
      </w:r>
    </w:p>
    <w:p>
      <w:pPr>
        <w:spacing w:after="100" w:before="100"/>
      </w:pPr>
      <w:r>
        <w:rPr>
          <w:rFonts w:ascii="Arial" w:cs="Arial" w:eastAsia="Arial" w:hAnsi="Arial"/>
          <w:sz w:val="22"/>
          <w:szCs w:val="22"/>
        </w:rPr>
        <w:t xml:space="preserve">The regime classifier distinguishes upward-crossing from single-crossing buffered galaxies. AUC values on the 55 buffered galaxies with valid inner variables (22 buffered galaxies have no valid S due to h &lt; R₀ or no valid fit and are excluded from AUC computation):</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Predictor</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AUC</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Note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−u(R₀)</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Dominant single predictor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S_inner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0.588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f_gas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Δ (Delta)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x_cross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g_sep = −u(R₀) + 0.35 S_inner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Best scalar, N=55 valid-inner subset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g4 = −u(R₀) + 0.30 S + 0.20(1−f_gas)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N=55 valid-inner subset</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AUC values for g_sep and g4 condition on the 55 buffered galaxies with valid S_inner values, not the full 77. The 22 galaxies without valid inner variables have no S measurement and cannot be included in these classifiers.</w:t>
      </w:r>
    </w:p>
    <w:p>
      <w:pPr>
        <w:pStyle w:val="Heading2"/>
        <w:spacing w:after="120" w:before="240"/>
      </w:pPr>
      <w:r>
        <w:rPr>
          <w:rFonts w:ascii="Arial" w:cs="Arial" w:eastAsia="Arial" w:hAnsi="Arial"/>
          <w:b/>
          <w:bCs/>
          <w:sz w:val="24"/>
          <w:szCs w:val="24"/>
        </w:rPr>
        <w:t xml:space="preserve">5.5  Single-crossing outer error scalar</w:t>
      </w:r>
    </w:p>
    <w:p>
      <w:pPr>
        <w:spacing w:after="100" w:before="100"/>
      </w:pPr>
      <w:r>
        <w:rPr>
          <w:rFonts w:ascii="Arial" w:cs="Arial" w:eastAsia="Arial" w:hAnsi="Arial"/>
          <w:sz w:val="22"/>
          <w:szCs w:val="22"/>
        </w:rPr>
        <w:t xml:space="preserve">For the 25 single-crossing objects, the outer error correlates with accumulated memory load and crossing position:</w:t>
      </w:r>
    </w:p>
    <w:p>
      <w:pPr>
        <w:spacing w:after="120" w:before="120"/>
        <w:jc w:val="center"/>
      </w:pPr>
      <w:r>
        <w:rPr>
          <w:rFonts w:ascii="Courier New" w:cs="Courier New" w:eastAsia="Courier New" w:hAnsi="Courier New"/>
          <w:sz w:val="22"/>
          <w:szCs w:val="22"/>
        </w:rPr>
        <w:t xml:space="preserve">g = memory_load × x_cross,   memory_load = (1 − f_gas)(r_out/h)</w:t>
      </w:r>
    </w:p>
    <w:p>
      <w:pPr>
        <w:spacing w:after="100" w:before="100"/>
      </w:pPr>
      <w:r>
        <w:rPr>
          <w:rFonts w:ascii="Arial" w:cs="Arial" w:eastAsia="Arial" w:hAnsi="Arial"/>
          <w:sz w:val="22"/>
          <w:szCs w:val="22"/>
        </w:rPr>
        <w:t xml:space="preserve">Using exact memory law residuals: Pearson(g, outer MAE) = 0.767, linear fit outer_MAE ≈ 5.02 + 9.74g, R² = 0.588. The g scalar ranks severity well but underpredicts for late-crossing, high-retained-load systems and overpredicts for compact systems with minimal gas-memory gap. Top failures under g-only: UGC02487 (outer MAE 109.2), NGC2841 (96.5), UGC06786 (73.5), UGC02885 (64.9), NGC3992 (58.4) — these include h &lt; R₀ artefact cases (see below).</w:t>
      </w:r>
    </w:p>
    <w:p>
      <w:pPr>
        <w:spacing w:after="100" w:before="100"/>
      </w:pPr>
      <w:r>
        <w:rPr>
          <w:rFonts w:ascii="Arial" w:cs="Arial" w:eastAsia="Arial" w:hAnsi="Arial"/>
          <w:sz w:val="22"/>
          <w:szCs w:val="22"/>
        </w:rPr>
        <w:t xml:space="preserve">A second independent scalar, the memory-law gap L_gap = L_sat − L_exact, adds substantial predictive power. L_sat = 1.8h(1 + S_mem) is the saturated memory ceiling and L_exact is the canonical gas-dependent value. Verified properties: corr(g, L_gap) ≈ 0 (−0.013 strict N=19, VIF ≈ 1.000), confirming near-orthogonality. Partial correlation: r(outer_MAE, L_gap | g) = +0.852 (p = 3.6×10⁻⁶). The two-scalar working model (Priority L, provisional):</w:t>
      </w:r>
    </w:p>
    <w:p>
      <w:pPr>
        <w:spacing w:after="120" w:before="120"/>
        <w:jc w:val="center"/>
      </w:pPr>
      <w:r>
        <w:rPr>
          <w:rFonts w:ascii="Courier New" w:cs="Courier New" w:eastAsia="Courier New" w:hAnsi="Courier New"/>
          <w:sz w:val="22"/>
          <w:szCs w:val="22"/>
        </w:rPr>
        <w:t xml:space="preserve">outer_MAE ≈ −10.4 + 8.6g + 10.5 L_gap</w:t>
      </w:r>
    </w:p>
    <w:p>
      <w:pPr>
        <w:spacing w:after="100" w:before="100"/>
      </w:pPr>
      <w:r>
        <w:rPr>
          <w:rFonts w:ascii="Arial" w:cs="Arial" w:eastAsia="Arial" w:hAnsi="Arial"/>
          <w:sz w:val="22"/>
          <w:szCs w:val="22"/>
        </w:rPr>
        <w:t xml:space="preserve">Applicability conditions: h ≥ R[0] (strict h-guard; excludes 6 artefact galaxies including UGC02487); x_cross &gt; 0.10 (excludes UGC03580 inner-cusp artefact); exact gas-dependent L_eff; outer MAE measured over R ≥ x_cross. This gives canonical sets: strict N = 19 or strict-clean N = 18 (additionally excluding UGC03580). Performance: g-only LOO RMSE ≈ 18.3–18.8 km/s; g + L_gap LOO RMSE ≈ 10.1–10.5 km/s; improvement ≈ 8.3 km/s. Severity ranking: Pearson = 0.935, Spearman = 0.888, Kendall = 0.731. The model correctly identifies the top-5 highest-error single-crossing objects (NGC2841, UGC06786, UGC02885, UGC12506, NGC6674) and provides well-calibrated severity bins (within 10 km/s for 68% of objects in-sample).</w:t>
      </w:r>
    </w:p>
    <w:p>
      <w:pPr>
        <w:spacing w:after="100" w:before="100"/>
      </w:pPr>
      <w:r>
        <w:rPr>
          <w:rFonts w:ascii="Arial" w:cs="Arial" w:eastAsia="Arial" w:hAnsi="Arial"/>
          <w:sz w:val="22"/>
          <w:szCs w:val="22"/>
        </w:rPr>
        <w:t xml:space="preserve">Residual structure: LOO failures are structured. Positive residuals (underpredicted) are mostly late-retained-load or broad-scale systems: UGC06786 (extreme late-load, u(0.75r) = 1.18), UGC04325 (near-threshold late-crossing, x_cross = 0.93), UGC02885 (broad/extended, r_out = 74 kpc). Negative residuals (overpredicted) are mostly compact or rapidly falling systems: NGC4214 (compact, n_scales = 11.2, L_gap = 0.25, persistent across all third-variable additions), NGC5371, NGC4183. A two-condition late-load diagnostic: uout &gt; 0.64 AND h/r_out &gt; 0.095 flags 4/5 true positive-residual galaxies with zero negative-group false positives. This scale qualifier correctly excludes NGC4214 (h/r_out = 0.089), which trips late-load thresholds alone but is a compact overprediction failure, not a retained-load failure. Three-variable extensions (adding n_scales or memory_load as a third term) improve global LOO by ∼0.5 km/s but both third-variable coefficients cross zero under jackknife in both the strict and clean sets; neither passes coefficient sign-stability. The two-scalar g + L_gap model is therefore the preferred working formula. Priority L status: provisional severity diagnostic and outer MAE estimator; not a universal point correction law.</w:t>
      </w:r>
    </w:p>
    <w:p>
      <w:pPr>
        <w:pStyle w:val="Heading2"/>
        <w:spacing w:after="120" w:before="240"/>
      </w:pPr>
      <w:r>
        <w:rPr>
          <w:rFonts w:ascii="Arial" w:cs="Arial" w:eastAsia="Arial" w:hAnsi="Arial"/>
          <w:b/>
          <w:bCs/>
          <w:sz w:val="24"/>
          <w:szCs w:val="24"/>
        </w:rPr>
        <w:t xml:space="preserve">5.6  CDC-low-load branch</w:t>
      </w:r>
    </w:p>
    <w:p>
      <w:pPr>
        <w:spacing w:after="100" w:before="100"/>
      </w:pPr>
      <w:r>
        <w:rPr>
          <w:rFonts w:ascii="Arial" w:cs="Arial" w:eastAsia="Arial" w:hAnsi="Arial"/>
          <w:sz w:val="22"/>
          <w:szCs w:val="22"/>
        </w:rPr>
        <w:t xml:space="preserve">Seventeen LTG galaxies form a suppressed-amplitude central-deficit route: u(R₀) &lt; 0, u_out &lt; 1, and max u(r) &lt; 1 across the full radial profile. These are outer-viable but non-buffered — their load profile begins in central deficit and may rise, but never reaches the carrier threshold. All 17 pass the strict h ≥ R₀ guard. Members: NGC4217, NGC5055, NGC7331, NGC4389, NGC4085, UGC09037, UGC06614, NGC4088, UGC02455, UGC11557, NGC3769, UGC04305, F574-2, CamB, UGC08837, NGC4068, NGC0100. Three sub-groups exist: deep-deficit subthreshold (NGC4217, NGC5055, NGC4389; median u₀ ≈ −4.6, umax ≈ 0.84); near-threshold CDC-low (NGC7331, NGC4085, NGC3769; umax ≈ 0.96–0.998, headroom &lt; 0.04); and weak-sign CDC-low (F574-2, CamB, UGC08837, NGC4068, NGC0100; |u₀| &lt; 0.03).</w:t>
      </w:r>
    </w:p>
    <w:p>
      <w:pPr>
        <w:spacing w:after="100" w:before="100"/>
      </w:pPr>
      <w:r>
        <w:rPr>
          <w:rFonts w:ascii="Arial" w:cs="Arial" w:eastAsia="Arial" w:hAnsi="Arial"/>
          <w:sz w:val="22"/>
          <w:szCs w:val="22"/>
        </w:rPr>
        <w:t xml:space="preserve">The CDC-low group is statistically distinct from both ordinary low-load and CDC-upward. Comparison: CDC-low median outer MAE = 12.75 km/s vs CDC-upward = 26.26 km/s (Mann-Whitney p = 0.019, permutation p ≈ 0.009); CDC-low vs ordinary low-load (N = 58 strict-valid) median outer MAE = 12.75 vs 7.57 km/s (MW p ≈ 0.005, permutation mean p ≈ 0.003, median p ≈ 0.03). Lower gas fraction and larger rise amplitude than ordinary low-load (both p &lt; 0.001). No simple scalar organises CDC-low outer MAE; the group median outer MAE tail is driven by NGC7331 (40.6 km/s) and F574-2 (45.0 km/s). Full-curve RMSE shows modest structure: rise_amp + h/r_out gives R² = 0.576, LOO RMSE ≈ 8.9 km/s, LOO MAE ≈ 7.2 km/s (RMSE ≈ 0.82 + 2.75 × rise_amp + 70.7 × h/r_out). The h/r_out coefficient is large, reflecting compactness amplification; h measurement errors propagate strongly into predicted RMSE. CDC-low is treated as a route taxonomy branch rather than a correction-law branch.</w:t>
      </w:r>
    </w:p>
    <w:p>
      <w:pPr>
        <w:pStyle w:val="Heading1"/>
        <w:spacing w:after="160" w:before="320"/>
      </w:pPr>
      <w:r>
        <w:rPr>
          <w:rFonts w:ascii="Arial" w:cs="Arial" w:eastAsia="Arial" w:hAnsi="Arial"/>
          <w:b/>
          <w:bCs/>
          <w:sz w:val="28"/>
          <w:szCs w:val="28"/>
        </w:rPr>
        <w:t xml:space="preserve">6.  Inner Feasibility and the S-Law</w:t>
      </w:r>
    </w:p>
    <w:p>
      <w:pPr>
        <w:pStyle w:val="Heading2"/>
        <w:spacing w:after="120" w:before="240"/>
      </w:pPr>
      <w:r>
        <w:rPr>
          <w:rFonts w:ascii="Arial" w:cs="Arial" w:eastAsia="Arial" w:hAnsi="Arial"/>
          <w:b/>
          <w:bCs/>
          <w:sz w:val="24"/>
          <w:szCs w:val="24"/>
        </w:rPr>
        <w:t xml:space="preserve">6.1  The completion ratio</w:t>
      </w:r>
    </w:p>
    <w:p>
      <w:pPr>
        <w:spacing w:after="100" w:before="100"/>
      </w:pPr>
      <w:r>
        <w:rPr>
          <w:rFonts w:ascii="Arial" w:cs="Arial" w:eastAsia="Arial" w:hAnsi="Arial"/>
          <w:sz w:val="22"/>
          <w:szCs w:val="22"/>
        </w:rPr>
        <w:t xml:space="preserve">The completion variable S = Q14/Δ organises the maximum unfinished-rise level U_max(B). Definitions:</w:t>
      </w:r>
    </w:p>
    <w:p>
      <w:pPr>
        <w:spacing w:after="120" w:before="120"/>
        <w:jc w:val="center"/>
      </w:pPr>
      <w:r>
        <w:rPr>
          <w:rFonts w:ascii="Courier New" w:cs="Courier New" w:eastAsia="Courier New" w:hAnsi="Courier New"/>
          <w:sz w:val="22"/>
          <w:szCs w:val="22"/>
        </w:rPr>
        <w:t xml:space="preserve">Q12 = V̄²_bar(0.5h) / V̄²_bar(h)     Q14 = V̄²_bar(0.25h) / V̄²_bar(h)</w:t>
      </w:r>
    </w:p>
    <w:p>
      <w:pPr>
        <w:spacing w:after="120" w:before="120"/>
        <w:jc w:val="center"/>
      </w:pPr>
      <w:r>
        <w:rPr>
          <w:rFonts w:ascii="Courier New" w:cs="Courier New" w:eastAsia="Courier New" w:hAnsi="Courier New"/>
          <w:sz w:val="22"/>
          <w:szCs w:val="22"/>
        </w:rPr>
        <w:t xml:space="preserve">Δ = 1 − Q12     S = Q14 / Δ</w:t>
      </w:r>
    </w:p>
    <w:p>
      <w:pPr>
        <w:spacing w:after="100" w:before="100"/>
      </w:pPr>
      <w:r>
        <w:rPr>
          <w:rFonts w:ascii="Arial" w:cs="Arial" w:eastAsia="Arial" w:hAnsi="Arial"/>
          <w:sz w:val="22"/>
          <w:szCs w:val="22"/>
        </w:rPr>
        <w:t xml:space="preserve">The inner kernel maximum:</w:t>
      </w:r>
    </w:p>
    <w:p>
      <w:pPr>
        <w:spacing w:after="120" w:before="120"/>
        <w:jc w:val="center"/>
      </w:pPr>
      <w:r>
        <w:rPr>
          <w:rFonts w:ascii="Courier New" w:cs="Courier New" w:eastAsia="Courier New" w:hAnsi="Courier New"/>
          <w:sz w:val="22"/>
          <w:szCs w:val="22"/>
        </w:rPr>
        <w:t xml:space="preserve">U_max = max_x U(x)  where  U(x) = (1/x) ∫₀¹ exp(−(1−y)/x) [1 − B(y)] dy</w:t>
      </w:r>
    </w:p>
    <w:p>
      <w:pPr>
        <w:spacing w:after="120" w:before="120"/>
        <w:jc w:val="center"/>
      </w:pPr>
      <w:r>
        <w:rPr>
          <w:rFonts w:ascii="Courier New" w:cs="Courier New" w:eastAsia="Courier New" w:hAnsi="Courier New"/>
          <w:sz w:val="22"/>
          <w:szCs w:val="22"/>
        </w:rPr>
        <w:t xml:space="preserve">B(y) = V̄²_bar(y·h) / V̄²_bar(h)</w:t>
      </w:r>
    </w:p>
    <w:p>
      <w:pPr>
        <w:spacing w:after="100" w:before="100"/>
      </w:pPr>
      <w:r>
        <w:rPr>
          <w:rFonts w:ascii="Arial" w:cs="Arial" w:eastAsia="Arial" w:hAnsi="Arial"/>
          <w:sz w:val="22"/>
          <w:szCs w:val="22"/>
        </w:rPr>
        <w:t xml:space="preserve">Computation convention: all inner quantities use V²-interpolation (interpolate V² directly, not V then square). The U_max integral requires n_y ≥ 2000 for 4-digit stability.</w:t>
      </w:r>
    </w:p>
    <w:p>
      <w:pPr>
        <w:pStyle w:val="Heading2"/>
        <w:spacing w:after="120" w:before="240"/>
      </w:pPr>
      <w:r>
        <w:rPr>
          <w:rFonts w:ascii="Arial" w:cs="Arial" w:eastAsia="Arial" w:hAnsi="Arial"/>
          <w:b/>
          <w:bCs/>
          <w:sz w:val="24"/>
          <w:szCs w:val="24"/>
        </w:rPr>
        <w:t xml:space="preserve">6.2  LTG S-law</w:t>
      </w:r>
    </w:p>
    <w:p>
      <w:pPr>
        <w:spacing w:after="100" w:before="100"/>
      </w:pPr>
      <w:r>
        <w:rPr>
          <w:rFonts w:ascii="Arial" w:cs="Arial" w:eastAsia="Arial" w:hAnsi="Arial"/>
          <w:sz w:val="22"/>
          <w:szCs w:val="22"/>
        </w:rPr>
        <w:t xml:space="preserve">Regression across legacy N = 141:</w:t>
      </w:r>
    </w:p>
    <w:p>
      <w:pPr>
        <w:spacing w:after="120" w:before="120"/>
        <w:jc w:val="center"/>
      </w:pPr>
      <w:r>
        <w:rPr>
          <w:rFonts w:ascii="Courier New" w:cs="Courier New" w:eastAsia="Courier New" w:hAnsi="Courier New"/>
          <w:sz w:val="22"/>
          <w:szCs w:val="22"/>
        </w:rPr>
        <w:t xml:space="preserve">U_max ≈ 0.2403 − 0.0700 ln(S),   R² = 0.919,   Pearson r = −0.959</w:t>
      </w:r>
    </w:p>
    <w:p>
      <w:pPr>
        <w:spacing w:after="100" w:before="100"/>
      </w:pPr>
      <w:r>
        <w:rPr>
          <w:rFonts w:ascii="Arial" w:cs="Arial" w:eastAsia="Arial" w:hAnsi="Arial"/>
          <w:sz w:val="22"/>
          <w:szCs w:val="22"/>
        </w:rPr>
        <w:t xml:space="preserve">Strict set (N = 124, h ≥ R₀ guard):</w:t>
      </w:r>
    </w:p>
    <w:p>
      <w:pPr>
        <w:spacing w:after="120" w:before="120"/>
        <w:jc w:val="center"/>
      </w:pPr>
      <w:r>
        <w:rPr>
          <w:rFonts w:ascii="Courier New" w:cs="Courier New" w:eastAsia="Courier New" w:hAnsi="Courier New"/>
          <w:sz w:val="22"/>
          <w:szCs w:val="22"/>
        </w:rPr>
        <w:t xml:space="preserve">U_max ≈ 0.2391 − 0.0697 ln(S),   R² = 0.920</w:t>
      </w:r>
    </w:p>
    <w:p>
      <w:pPr>
        <w:spacing w:after="60" w:before="60"/>
        <w:ind w:left="720"/>
      </w:pPr>
      <w:r>
        <w:rPr>
          <w:rFonts w:ascii="Arial" w:cs="Arial" w:eastAsia="Arial" w:hAnsi="Arial"/>
          <w:i/>
          <w:iCs/>
          <w:color w:val="555555"/>
          <w:sz w:val="20"/>
          <w:szCs w:val="20"/>
        </w:rPr>
        <w:t xml:space="preserve">The v12 coefficients (0.23939, −0.07138) are slightly off under the verified V²-interpolation convention and Umax grid. Safe rounded values: A ≈ 0.240, B ≈ −0.070.</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Threshold: S &lt; 1.70 correctly classifies 135/141 as feasible (U_max ≥ U* = 0.201803). The six mismatches (F568-1, F574-1, NGC2915, NGC7331, UGC00128, UGC06917) are early-completion profiles with high Q12, high Q14, low Δ, and S in the range 1.04–1.38. They are not unified by outer route or RMSE performance. The S &lt; 1.70 threshold corresponds closely to the regression-implied crossing of U_max = U* (implied S* = 1.693 from v12 coefficients, 1.733 from verified coefficients).</w:t>
      </w:r>
    </w:p>
    <w:p>
      <w:pPr>
        <w:pStyle w:val="Heading2"/>
        <w:spacing w:after="120" w:before="240"/>
      </w:pPr>
      <w:r>
        <w:rPr>
          <w:rFonts w:ascii="Arial" w:cs="Arial" w:eastAsia="Arial" w:hAnsi="Arial"/>
          <w:b/>
          <w:bCs/>
          <w:sz w:val="24"/>
          <w:szCs w:val="24"/>
        </w:rPr>
        <w:t xml:space="preserve">6.3  ETG S-law</w:t>
      </w:r>
    </w:p>
    <w:p>
      <w:pPr>
        <w:spacing w:after="100" w:before="100"/>
      </w:pPr>
      <w:r>
        <w:rPr>
          <w:rFonts w:ascii="Arial" w:cs="Arial" w:eastAsia="Arial" w:hAnsi="Arial"/>
          <w:sz w:val="22"/>
          <w:szCs w:val="22"/>
        </w:rPr>
        <w:t xml:space="preserve">Regression across all 16 ETGs:</w:t>
      </w:r>
    </w:p>
    <w:p>
      <w:pPr>
        <w:spacing w:after="120" w:before="120"/>
        <w:jc w:val="center"/>
      </w:pPr>
      <w:r>
        <w:rPr>
          <w:rFonts w:ascii="Courier New" w:cs="Courier New" w:eastAsia="Courier New" w:hAnsi="Courier New"/>
          <w:sz w:val="22"/>
          <w:szCs w:val="22"/>
        </w:rPr>
        <w:t xml:space="preserve">U_max ≈ 0.2325 − 0.0578 ln(S),   R² = 0.851,   Pearson r = −0.923,   p = 3.6×10⁻⁷</w:t>
      </w:r>
    </w:p>
    <w:p>
      <w:pPr>
        <w:spacing w:after="100" w:before="100"/>
      </w:pPr>
      <w:r>
        <w:rPr>
          <w:rFonts w:ascii="Arial" w:cs="Arial" w:eastAsia="Arial" w:hAnsi="Arial"/>
          <w:sz w:val="22"/>
          <w:szCs w:val="22"/>
        </w:rPr>
        <w:t xml:space="preserve">The implied threshold crossing U_max = U* occurs at S* = 1.699. Both the LTG and ETG laws imply S* ≈ 1.70, confirming the threshold is motivated by both regression lines, not set arbitrarily.</w:t>
      </w:r>
    </w:p>
    <w:p>
      <w:pPr>
        <w:pStyle w:val="Heading2"/>
        <w:spacing w:after="120" w:before="240"/>
      </w:pPr>
      <w:r>
        <w:rPr>
          <w:rFonts w:ascii="Arial" w:cs="Arial" w:eastAsia="Arial" w:hAnsi="Arial"/>
          <w:b/>
          <w:bCs/>
          <w:sz w:val="24"/>
          <w:szCs w:val="24"/>
        </w:rPr>
        <w:t xml:space="preserve">6.4  Cross-type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80"/>
        <w:gridCol w:w="1560"/>
        <w:gridCol w:w="1560"/>
        <w:gridCol w:w="1560"/>
        <w:gridCol w:w="156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Population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A (intercept)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B (slope)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R²</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 implied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−0.0578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legacy</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0.2403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−0.0700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strict</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0.2391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−0.0697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1.72</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S-law is not ETG-specific. Both populations show the same structure: U_max is organised by ln(S) with a universal threshold near S ≈ 1.70. ETGs have a shallower slope (weaker S-dependence), consistent with their more compact inner profiles.</w:t>
      </w:r>
    </w:p>
    <w:p>
      <w:pPr>
        <w:pStyle w:val="Heading1"/>
        <w:spacing w:after="160" w:before="320"/>
      </w:pPr>
      <w:r>
        <w:rPr>
          <w:rFonts w:ascii="Arial" w:cs="Arial" w:eastAsia="Arial" w:hAnsi="Arial"/>
          <w:b/>
          <w:bCs/>
          <w:sz w:val="28"/>
          <w:szCs w:val="28"/>
        </w:rPr>
        <w:t xml:space="preserve">7.  ETG Response Sector — Overview</w:t>
      </w:r>
    </w:p>
    <w:p>
      <w:pPr>
        <w:spacing w:after="100" w:before="100"/>
      </w:pPr>
      <w:r>
        <w:rPr>
          <w:rFonts w:ascii="Arial" w:cs="Arial" w:eastAsia="Arial" w:hAnsi="Arial"/>
          <w:sz w:val="22"/>
          <w:szCs w:val="22"/>
        </w:rPr>
        <w:t xml:space="preserve">ETGs fail the LTG law in two independent ways simultaneously: inner profile deformation (large S) and outer baryonic retention (large u). They form a multi-family, multi-sign response sector. The complete ETG classification is organised by the four-condition intersection structure described in §8.</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five ETG families, by support signature ΔV²(r) = V²_obs(r) − V̄²_bar(r):</w:t>
      </w:r>
    </w:p>
    <w:p>
      <w:pPr>
        <w:spacing w:after="100" w:before="100"/>
      </w:pPr>
      <w:r>
        <w:rPr>
          <w:rFonts w:ascii="Arial" w:cs="Arial" w:eastAsia="Arial" w:hAnsi="Arial"/>
          <w:sz w:val="22"/>
          <w:szCs w:val="22"/>
        </w:rPr>
        <w:t xml:space="preserve"/>
      </w:r>
    </w:p>
    <w:p>
      <w:pPr>
        <w:pStyle w:val="ListParagraph"/>
        <w:numPr>
          <w:ilvl w:val="0"/>
          <w:numId w:val="2"/>
        </w:numPr>
        <w:spacing w:after="40" w:before="60"/>
      </w:pPr>
      <w:r>
        <w:rPr>
          <w:rFonts w:ascii="Arial" w:cs="Arial" w:eastAsia="Arial" w:hAnsi="Arial"/>
          <w:sz w:val="22"/>
          <w:szCs w:val="22"/>
        </w:rPr>
        <w:t xml:space="preserve">H+ single-channel: NGC2685, NGC3626, NGC3941 — sign-changing (ΔV²_inn &lt; 0, ΔV²_out &gt; 0), all four conditions satisfied.</w:t>
      </w:r>
    </w:p>
    <w:p>
      <w:pPr>
        <w:pStyle w:val="ListParagraph"/>
        <w:numPr>
          <w:ilvl w:val="0"/>
          <w:numId w:val="2"/>
        </w:numPr>
        <w:spacing w:after="40" w:before="40"/>
      </w:pPr>
      <w:r>
        <w:rPr>
          <w:rFonts w:ascii="Arial" w:cs="Arial" w:eastAsia="Arial" w:hAnsi="Arial"/>
          <w:sz w:val="22"/>
          <w:szCs w:val="22"/>
        </w:rPr>
        <w:t xml:space="preserve">H+ two-channel: NGC4203 — sign-changing, outer capacity exceeded; two-channel required.</w:t>
      </w:r>
    </w:p>
    <w:p>
      <w:pPr>
        <w:pStyle w:val="ListParagraph"/>
        <w:numPr>
          <w:ilvl w:val="0"/>
          <w:numId w:val="2"/>
        </w:numPr>
        <w:spacing w:after="40" w:before="40"/>
      </w:pPr>
      <w:r>
        <w:rPr>
          <w:rFonts w:ascii="Arial" w:cs="Arial" w:eastAsia="Arial" w:hAnsi="Arial"/>
          <w:sz w:val="22"/>
          <w:szCs w:val="22"/>
        </w:rPr>
        <w:t xml:space="preserve">Class B: NGC3838 — inner/outer-feasible, sign-wrong only.</w:t>
      </w:r>
    </w:p>
    <w:p>
      <w:pPr>
        <w:pStyle w:val="ListParagraph"/>
        <w:numPr>
          <w:ilvl w:val="0"/>
          <w:numId w:val="2"/>
        </w:numPr>
        <w:spacing w:after="40" w:before="40"/>
      </w:pPr>
      <w:r>
        <w:rPr>
          <w:rFonts w:ascii="Arial" w:cs="Arial" w:eastAsia="Arial" w:hAnsi="Arial"/>
          <w:sz w:val="22"/>
          <w:szCs w:val="22"/>
        </w:rPr>
        <w:t xml:space="preserve">Class C: NGC4262 — inner-feasible, sign-wrong and outer-wrong.</w:t>
      </w:r>
    </w:p>
    <w:p>
      <w:pPr>
        <w:pStyle w:val="ListParagraph"/>
        <w:numPr>
          <w:ilvl w:val="0"/>
          <w:numId w:val="2"/>
        </w:numPr>
        <w:spacing w:after="40" w:before="40"/>
      </w:pPr>
      <w:r>
        <w:rPr>
          <w:rFonts w:ascii="Arial" w:cs="Arial" w:eastAsia="Arial" w:hAnsi="Arial"/>
          <w:sz w:val="22"/>
          <w:szCs w:val="22"/>
        </w:rPr>
        <w:t xml:space="preserve">D1 (outer-capacity fail): NGC2824, NGC2859, NGC2974 — u &gt; 1, U_max &gt; U*.</w:t>
      </w:r>
    </w:p>
    <w:p>
      <w:pPr>
        <w:pStyle w:val="ListParagraph"/>
        <w:numPr>
          <w:ilvl w:val="0"/>
          <w:numId w:val="2"/>
        </w:numPr>
        <w:spacing w:after="40" w:before="40"/>
      </w:pPr>
      <w:r>
        <w:rPr>
          <w:rFonts w:ascii="Arial" w:cs="Arial" w:eastAsia="Arial" w:hAnsi="Arial"/>
          <w:sz w:val="22"/>
          <w:szCs w:val="22"/>
        </w:rPr>
        <w:t xml:space="preserve">D2 (double fail): NGC3945, NGC3998, NGC4278, NGC5582* — both u &gt; 1 and U_max &lt; U*.</w:t>
      </w:r>
    </w:p>
    <w:p>
      <w:pPr>
        <w:pStyle w:val="ListParagraph"/>
        <w:numPr>
          <w:ilvl w:val="0"/>
          <w:numId w:val="2"/>
        </w:numPr>
        <w:spacing w:after="80" w:before="40"/>
      </w:pPr>
      <w:r>
        <w:rPr>
          <w:rFonts w:ascii="Arial" w:cs="Arial" w:eastAsia="Arial" w:hAnsi="Arial"/>
          <w:sz w:val="22"/>
          <w:szCs w:val="22"/>
        </w:rPr>
        <w:t xml:space="preserve">Class E (wrong profile family): NGC3522, NGC6798, UGC6176 — outer/inner-feasible, large Δ, sign-wrong.</w:t>
      </w:r>
    </w:p>
    <w:p>
      <w:pPr>
        <w:spacing w:after="60" w:before="60"/>
        <w:ind w:left="720"/>
      </w:pPr>
      <w:r>
        <w:rPr>
          <w:rFonts w:ascii="Arial" w:cs="Arial" w:eastAsia="Arial" w:hAnsi="Arial"/>
          <w:i/>
          <w:iCs/>
          <w:color w:val="555555"/>
          <w:sz w:val="20"/>
          <w:szCs w:val="20"/>
        </w:rPr>
        <w:t xml:space="preserve">*NGC5582: S = 1.647 passes the S &lt; 1.70 threshold, but U_max = 0.178 &lt; U* = 0.202. This is a borderline S-threshold miss; the direct U_max test correctly rejects it.</w:t>
      </w:r>
    </w:p>
    <w:p>
      <w:pPr>
        <w:pStyle w:val="Heading1"/>
        <w:spacing w:after="160" w:before="320"/>
      </w:pPr>
      <w:r>
        <w:rPr>
          <w:rFonts w:ascii="Arial" w:cs="Arial" w:eastAsia="Arial" w:hAnsi="Arial"/>
          <w:b/>
          <w:bCs/>
          <w:sz w:val="28"/>
          <w:szCs w:val="28"/>
        </w:rPr>
        <w:t xml:space="preserve">8.  Four-Condition Intersection Structure</w:t>
      </w:r>
    </w:p>
    <w:p>
      <w:pPr>
        <w:pStyle w:val="Heading2"/>
        <w:spacing w:after="120" w:before="240"/>
      </w:pPr>
      <w:r>
        <w:rPr>
          <w:rFonts w:ascii="Arial" w:cs="Arial" w:eastAsia="Arial" w:hAnsi="Arial"/>
          <w:b/>
          <w:bCs/>
          <w:sz w:val="24"/>
          <w:szCs w:val="24"/>
        </w:rPr>
        <w:t xml:space="preserve">8.1  The four conditions</w:t>
      </w:r>
    </w:p>
    <w:p>
      <w:pPr>
        <w:pStyle w:val="Heading3"/>
        <w:spacing w:after="80" w:before="180"/>
      </w:pPr>
      <w:r>
        <w:rPr>
          <w:rFonts w:ascii="Arial" w:cs="Arial" w:eastAsia="Arial" w:hAnsi="Arial"/>
          <w:b/>
          <w:bCs/>
          <w:sz w:val="22"/>
          <w:szCs w:val="22"/>
        </w:rPr>
        <w:t xml:space="preserve">Condition 1 — Profile family</w:t>
      </w:r>
    </w:p>
    <w:p>
      <w:pPr>
        <w:spacing w:after="100" w:before="100"/>
      </w:pPr>
      <w:r>
        <w:rPr>
          <w:rFonts w:ascii="Arial" w:cs="Arial" w:eastAsia="Arial" w:hAnsi="Arial"/>
          <w:sz w:val="22"/>
          <w:szCs w:val="22"/>
        </w:rPr>
        <w:t xml:space="preserve">Organised by (Δ, Q14) where Δ = 1 − Q12 and Q14 = B(1/4). Viable locus: Δ ≈ 0.31–0.46, Q14 ≈ 0.19–0.26.</w:t>
      </w:r>
    </w:p>
    <w:p>
      <w:pPr>
        <w:pStyle w:val="Heading3"/>
        <w:spacing w:after="80" w:before="180"/>
      </w:pPr>
      <w:r>
        <w:rPr>
          <w:rFonts w:ascii="Arial" w:cs="Arial" w:eastAsia="Arial" w:hAnsi="Arial"/>
          <w:b/>
          <w:bCs/>
          <w:sz w:val="22"/>
          <w:szCs w:val="22"/>
        </w:rPr>
        <w:t xml:space="preserve">Condition 2 — Sign gate (inner baryonic amplitude)</w:t>
      </w:r>
    </w:p>
    <w:p>
      <w:pPr>
        <w:spacing w:after="120" w:before="120"/>
        <w:jc w:val="center"/>
      </w:pPr>
      <w:r>
        <w:rPr>
          <w:rFonts w:ascii="Courier New" w:cs="Courier New" w:eastAsia="Courier New" w:hAnsi="Courier New"/>
          <w:sz w:val="22"/>
          <w:szCs w:val="22"/>
        </w:rPr>
        <w:t xml:space="preserve">Ω_in = V̄²_bar(r_in) / V²_obs(r_in) &gt; 1</w:t>
      </w:r>
    </w:p>
    <w:p>
      <w:pPr>
        <w:spacing w:after="100" w:before="100"/>
      </w:pPr>
      <w:r>
        <w:rPr>
          <w:rFonts w:ascii="Arial" w:cs="Arial" w:eastAsia="Arial" w:hAnsi="Arial"/>
          <w:sz w:val="22"/>
          <w:szCs w:val="22"/>
        </w:rPr>
        <w:t xml:space="preserve">At fixed profile shape, the sign gate is decided by absolute inner baryonic normalisation. The NGC3838/NGC3626 control pair demonstrates this: near-identical normalised profiles (H(0.3) = 1.866 for both), but V̄_bar(r_in) = 194 vs 284 km/s splits Ω_in = 0.705 vs 1.316.</w:t>
      </w:r>
    </w:p>
    <w:p>
      <w:pPr>
        <w:pStyle w:val="Heading3"/>
        <w:spacing w:after="80" w:before="180"/>
      </w:pPr>
      <w:r>
        <w:rPr>
          <w:rFonts w:ascii="Arial" w:cs="Arial" w:eastAsia="Arial" w:hAnsi="Arial"/>
          <w:b/>
          <w:bCs/>
          <w:sz w:val="22"/>
          <w:szCs w:val="22"/>
        </w:rPr>
        <w:t xml:space="preserve">Condition 3 — Inner feasibility</w:t>
      </w:r>
    </w:p>
    <w:p>
      <w:pPr>
        <w:spacing w:after="100" w:before="100"/>
      </w:pPr>
      <w:r>
        <w:rPr>
          <w:rFonts w:ascii="Arial" w:cs="Arial" w:eastAsia="Arial" w:hAnsi="Arial"/>
          <w:sz w:val="22"/>
          <w:szCs w:val="22"/>
        </w:rPr>
        <w:t xml:space="preserve">S = Q14/Δ organises U_max. Threshold S ≲ 1.70 gives 15/16 correct (NGC5582 is the borderline miss).</w:t>
      </w:r>
    </w:p>
    <w:p>
      <w:pPr>
        <w:pStyle w:val="Heading3"/>
        <w:spacing w:after="80" w:before="180"/>
      </w:pPr>
      <w:r>
        <w:rPr>
          <w:rFonts w:ascii="Arial" w:cs="Arial" w:eastAsia="Arial" w:hAnsi="Arial"/>
          <w:b/>
          <w:bCs/>
          <w:sz w:val="22"/>
          <w:szCs w:val="22"/>
        </w:rPr>
        <w:t xml:space="preserve">Condition 4 — Outer capacity</w:t>
      </w:r>
    </w:p>
    <w:p>
      <w:pPr>
        <w:spacing w:after="120" w:before="120"/>
        <w:jc w:val="center"/>
      </w:pPr>
      <w:r>
        <w:rPr>
          <w:rFonts w:ascii="Courier New" w:cs="Courier New" w:eastAsia="Courier New" w:hAnsi="Courier New"/>
          <w:sz w:val="22"/>
          <w:szCs w:val="22"/>
        </w:rPr>
        <w:t xml:space="preserve">u = (V²_obs(r_out) − V̄²_bar(r_out)) / (Γ₀ r_out R_max) ≤ 1</w:t>
      </w:r>
    </w:p>
    <w:p>
      <w:pPr>
        <w:pStyle w:val="Heading2"/>
        <w:spacing w:after="120" w:before="240"/>
      </w:pPr>
      <w:r>
        <w:rPr>
          <w:rFonts w:ascii="Arial" w:cs="Arial" w:eastAsia="Arial" w:hAnsi="Arial"/>
          <w:b/>
          <w:bCs/>
          <w:sz w:val="24"/>
          <w:szCs w:val="24"/>
        </w:rPr>
        <w:t xml:space="preserve">8.2  Independence of the four axes</w:t>
      </w:r>
    </w:p>
    <w:p>
      <w:pPr>
        <w:spacing w:after="100" w:before="100"/>
      </w:pPr>
      <w:r>
        <w:rPr>
          <w:rFonts w:ascii="Arial" w:cs="Arial" w:eastAsia="Arial" w:hAnsi="Arial"/>
          <w:sz w:val="22"/>
          <w:szCs w:val="22"/>
        </w:rPr>
        <w:t xml:space="preserve">The four conditions are genuinely independent. Key cross-correlations from raw files: r(Ω_in, u) = −0.274, r(S, u) = 0.375, r(log S, u) = 0.515. Inner failure is a profile-deformation problem; outer failure is a baryonic-retention problem. They are not the same mechanism.</w:t>
      </w:r>
    </w:p>
    <w:p>
      <w:pPr>
        <w:pStyle w:val="Heading2"/>
        <w:spacing w:after="120" w:before="240"/>
      </w:pPr>
      <w:r>
        <w:rPr>
          <w:rFonts w:ascii="Arial" w:cs="Arial" w:eastAsia="Arial" w:hAnsi="Arial"/>
          <w:b/>
          <w:bCs/>
          <w:sz w:val="24"/>
          <w:szCs w:val="24"/>
        </w:rPr>
        <w:t xml:space="preserve">8.3  Canonical ETG decision table (all 16, verified from raw files)</w:t>
      </w:r>
    </w:p>
    <w:p>
      <w:pPr>
        <w:spacing w:after="60" w:before="60"/>
        <w:ind w:left="720"/>
      </w:pPr>
      <w:r>
        <w:rPr>
          <w:rFonts w:ascii="Arial" w:cs="Arial" w:eastAsia="Arial" w:hAnsi="Arial"/>
          <w:i/>
          <w:iCs/>
          <w:color w:val="555555"/>
          <w:sz w:val="20"/>
          <w:szCs w:val="20"/>
        </w:rPr>
        <w:t xml:space="preserve">Inner profile quantities computed with V²-interpolation. Outer u values use the mixed convention (see §4.3). r_in values for H+ objects are canonical locked values.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80"/>
        <w:gridCol w:w="780"/>
        <w:gridCol w:w="780"/>
        <w:gridCol w:w="780"/>
        <w:gridCol w:w="780"/>
        <w:gridCol w:w="780"/>
        <w:gridCol w:w="780"/>
        <w:gridCol w:w="780"/>
        <w:gridCol w:w="78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Galaxy</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Δ</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Q14</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Ω_in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U_max</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Class</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r_in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δu</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NGC2685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0.4552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0.1944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1.1231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0.4981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NGC2824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0.6161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0.1252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0.4529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1.3118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NGC2859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0.3505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0.3381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0.965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0.8378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1.4878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−0.488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NGC2974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0.2979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0.3027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1.016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0.6030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3.9166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−2.917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NGC3522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0.4846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0.1386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0.286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0.4375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0.7395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NGC3626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0.3821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0.2040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1.3160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NGC3838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0.2097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0.558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0.7052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0.390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0.2606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0.829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1.2246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0.7738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0.5396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2.369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1.6309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0.167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−0.631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NGC3998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0.0219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0.6722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30.58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0.4735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2.5880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−1.588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NGC4203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0.0617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0.6208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10.06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1.2757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1.3374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0.107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D2(2ch)</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−0.337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NGC4262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0.521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0.4159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2.2636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−1.264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0.0927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0.6327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6.824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0.5656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2.8116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−1.812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NGC5582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0.3587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1.647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0.5539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1.5049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NGC6798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0.6899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0.129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0.7606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0.388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0.900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UGC6176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0.6690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0.1655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0.2491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0.8817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0.414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+0.118</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Class A = single-channel H+. *D2 = borderline U_max miss (S &lt; 1.70 threshold passes, but U_max = 0.178 &lt; U* = 0.202). δu values verified from raw files.</w:t>
      </w:r>
    </w:p>
    <w:p>
      <w:pPr>
        <w:pStyle w:val="Heading1"/>
        <w:spacing w:after="160" w:before="320"/>
      </w:pPr>
      <w:r>
        <w:rPr>
          <w:rFonts w:ascii="Arial" w:cs="Arial" w:eastAsia="Arial" w:hAnsi="Arial"/>
          <w:b/>
          <w:bCs/>
          <w:sz w:val="28"/>
          <w:szCs w:val="28"/>
        </w:rPr>
        <w:t xml:space="preserve">9.  Outer Gate Structure</w:t>
      </w:r>
    </w:p>
    <w:p>
      <w:pPr>
        <w:pStyle w:val="Heading2"/>
        <w:spacing w:after="120" w:before="240"/>
      </w:pPr>
      <w:r>
        <w:rPr>
          <w:rFonts w:ascii="Arial" w:cs="Arial" w:eastAsia="Arial" w:hAnsi="Arial"/>
          <w:b/>
          <w:bCs/>
          <w:sz w:val="24"/>
          <w:szCs w:val="24"/>
        </w:rPr>
        <w:t xml:space="preserve">9.1  Exact outer viability boundary</w:t>
      </w:r>
    </w:p>
    <w:p>
      <w:pPr>
        <w:spacing w:after="100" w:before="100"/>
      </w:pPr>
      <w:r>
        <w:rPr>
          <w:rFonts w:ascii="Arial" w:cs="Arial" w:eastAsia="Arial" w:hAnsi="Arial"/>
          <w:sz w:val="22"/>
          <w:szCs w:val="22"/>
        </w:rPr>
        <w:t xml:space="preserve">Starting from the exact identity u = Xout/Xcrit, where:</w:t>
      </w:r>
    </w:p>
    <w:p>
      <w:pPr>
        <w:spacing w:after="120" w:before="120"/>
        <w:jc w:val="center"/>
      </w:pPr>
      <w:r>
        <w:rPr>
          <w:rFonts w:ascii="Courier New" w:cs="Courier New" w:eastAsia="Courier New" w:hAnsi="Courier New"/>
          <w:sz w:val="22"/>
          <w:szCs w:val="22"/>
        </w:rPr>
        <w:t xml:space="preserve">X_out = V²_obs(r_out) / (Γ₀ r_out),   R_d = 0.5 V²_disk(r_out)/V²_obs(r_out),   R_b = 0.7 V²_bul(r_out)/V²_obs(r_out)</w:t>
      </w:r>
    </w:p>
    <w:p>
      <w:pPr>
        <w:spacing w:after="120" w:before="120"/>
        <w:jc w:val="center"/>
      </w:pPr>
      <w:r>
        <w:rPr>
          <w:rFonts w:ascii="Courier New" w:cs="Courier New" w:eastAsia="Courier New" w:hAnsi="Courier New"/>
          <w:sz w:val="22"/>
          <w:szCs w:val="22"/>
        </w:rPr>
        <w:t xml:space="preserve">X_crit = R_max / (1 − R_d − R_b)</w:t>
      </w:r>
    </w:p>
    <w:p>
      <w:pPr>
        <w:spacing w:after="100" w:before="100"/>
      </w:pPr>
      <w:r>
        <w:rPr>
          <w:rFonts w:ascii="Arial" w:cs="Arial" w:eastAsia="Arial" w:hAnsi="Arial"/>
          <w:sz w:val="22"/>
          <w:szCs w:val="22"/>
        </w:rPr>
        <w:t xml:space="preserve">The exact outer slack variable is:</w:t>
      </w:r>
    </w:p>
    <w:p>
      <w:pPr>
        <w:spacing w:after="120" w:before="120"/>
        <w:jc w:val="center"/>
      </w:pPr>
      <w:r>
        <w:rPr>
          <w:rFonts w:ascii="Courier New" w:cs="Courier New" w:eastAsia="Courier New" w:hAnsi="Courier New"/>
          <w:sz w:val="22"/>
          <w:szCs w:val="22"/>
        </w:rPr>
        <w:t xml:space="preserve">δu ≡ 1 − u = (X_crit − X_out) / X_crit</w:t>
      </w:r>
    </w:p>
    <w:p>
      <w:pPr>
        <w:spacing w:after="100" w:before="100"/>
      </w:pPr>
      <w:r>
        <w:rPr>
          <w:rFonts w:ascii="Arial" w:cs="Arial" w:eastAsia="Arial" w:hAnsi="Arial"/>
          <w:sz w:val="22"/>
          <w:szCs w:val="22"/>
        </w:rPr>
        <w:t xml:space="preserve">This identity holds to floating-point precision for all 16 ETGs (max deviation &lt; 5×10⁻¹⁶, verified). δu is the normalised distance from the observed system to the outer boundary. The full δu table is given in the canonical ETG table in §8.3.</w:t>
      </w:r>
    </w:p>
    <w:p>
      <w:pPr>
        <w:pStyle w:val="Heading2"/>
        <w:spacing w:after="120" w:before="240"/>
      </w:pPr>
      <w:r>
        <w:rPr>
          <w:rFonts w:ascii="Arial" w:cs="Arial" w:eastAsia="Arial" w:hAnsi="Arial"/>
          <w:b/>
          <w:bCs/>
          <w:sz w:val="24"/>
          <w:szCs w:val="24"/>
        </w:rPr>
        <w:t xml:space="preserve">9.2  Two viable outer routes and crossing structure</w:t>
      </w:r>
    </w:p>
    <w:p>
      <w:pPr>
        <w:spacing w:after="100" w:before="100"/>
      </w:pPr>
      <w:r>
        <w:rPr>
          <w:rFonts w:ascii="Arial" w:cs="Arial" w:eastAsia="Arial" w:hAnsi="Arial"/>
          <w:sz w:val="22"/>
          <w:szCs w:val="22"/>
        </w:rPr>
        <w:t xml:space="preserve">For each outer-viable ETG, the outermost downward crossing of u(r) = 1 was identified from raw files using the mixed interpolation convention:</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Galaxy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r_out (kpc)</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u(r_out)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r_cross/r_out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δu</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Route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NGC2685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24.98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0.4981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+0.502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Low-load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NGC3522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0.7395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NGC3626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NGC3838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16.80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0.953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+0.087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11.72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0.7738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0.848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NGC6798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27.13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0.7606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0.783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+0.239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UGC6176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0.8817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Disk-buffered</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Route 1 (NGC2685): low-load, crosses u = 1 at r/r_out ≈ 0.49, δu = 0.502. No reliance on baryonic cancellation. Route 2 (six buffered): disk-buffered, crossing at r/r_out in 0.78–0.96. Viability is boundary-mediated through disk cancellation.</w:t>
      </w:r>
    </w:p>
    <w:p>
      <w:pPr>
        <w:pStyle w:val="Heading2"/>
        <w:spacing w:after="120" w:before="240"/>
      </w:pPr>
      <w:r>
        <w:rPr>
          <w:rFonts w:ascii="Arial" w:cs="Arial" w:eastAsia="Arial" w:hAnsi="Arial"/>
          <w:b/>
          <w:bCs/>
          <w:sz w:val="24"/>
          <w:szCs w:val="24"/>
        </w:rPr>
        <w:t xml:space="preserve">9.3  Buffered branch radial profile structure</w:t>
      </w:r>
    </w:p>
    <w:p>
      <w:pPr>
        <w:spacing w:after="100" w:before="100"/>
      </w:pPr>
      <w:r>
        <w:rPr>
          <w:rFonts w:ascii="Arial" w:cs="Arial" w:eastAsia="Arial" w:hAnsi="Arial"/>
          <w:sz w:val="22"/>
          <w:szCs w:val="22"/>
        </w:rPr>
        <w:t xml:space="preserve">The six buffered ETGs share a common rescaled radial approach profile near u = 1. On the window 0.92 ≤ x = r/r_cross ≤ 1.04 (121-point grid), the common constrained quadratic law is:</w:t>
      </w:r>
    </w:p>
    <w:p>
      <w:pPr>
        <w:spacing w:after="120" w:before="120"/>
        <w:jc w:val="center"/>
      </w:pPr>
      <w:r>
        <w:rPr>
          <w:rFonts w:ascii="Courier New" w:cs="Courier New" w:eastAsia="Courier New" w:hAnsi="Courier New"/>
          <w:sz w:val="22"/>
          <w:szCs w:val="22"/>
        </w:rPr>
        <w:t xml:space="preserve">u(x) ≈ 1 − 1.587(x−1) + 1.398(x−1)²</w:t>
      </w:r>
    </w:p>
    <w:p>
      <w:pPr>
        <w:spacing w:after="100" w:before="100"/>
      </w:pPr>
      <w:r>
        <w:rPr>
          <w:rFonts w:ascii="Arial" w:cs="Arial" w:eastAsia="Arial" w:hAnsi="Arial"/>
          <w:sz w:val="22"/>
          <w:szCs w:val="22"/>
        </w:rPr>
        <w:t xml:space="preserve">Per-galaxy RMSE against common law (verified from raw files): NGC3522 = 0.013, NGC3626 = 0.002, NGC3838 = 0.012, NGC3941 = 0.009, NGC6798 = 0.023, UGC6176 = 0.005. Residual PC1 variance: 99.85% (one-dimensional residual structure). Individual slope coefficients c1: NGC3522 = −1.874, NGC3626 = −1.660, NGC3838 = −1.847, NGC3941 = −1.402, NGC6798 = −1.045, UGC6176 = −1.695.</w:t>
      </w:r>
    </w:p>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The residual mode is organised by c1 itself: using c1 as predictor gives functional LOO = 0.00163. A partial structural geometric relation is confirmed: Pearson(x_cross, c1) = −0.763 across the six disk-buffered ETGs (p = 0.078, N = 6), strengthening to r = −0.853 (p = 0.015) when NGC2685 (low-load route, also crossing-capable) is included as a seventh object. The direction is consistent — later crossing positions tend toward shallower (less negative) slopes — and window-stable (r range −0.753 to −0.765 across tested crossing-window definitions). However the six-object result is leverage-sensitive: omitting NGC6798 drops R² from 0.582 to 0.224, and Cook’s D = 1.18 for NGC6798. This partial relation is therefore a structural hint, not a predictive law. The empirical scalar Z = log(R_b/δu) + 0.30S cited in earlier drafts has a provenance issue — no self-contained radius from the uploaded ETG files reproduces the claimed LOO scale, and the stated R_b values do not correlate with c1 (r = 0.077). The crossing-window geometry (common law, per-galaxy RMSEs, PC1 structure) is fully verified; the Z/R_b LOO organisation remains unverified and is not cited as a locked result.</w:t>
      </w:r>
    </w:p>
    <w:p>
      <w:pPr>
        <w:pStyle w:val="Heading2"/>
        <w:spacing w:after="120" w:before="240"/>
      </w:pPr>
      <w:r>
        <w:rPr>
          <w:rFonts w:ascii="Arial" w:cs="Arial" w:eastAsia="Arial" w:hAnsi="Arial"/>
          <w:b/>
          <w:bCs/>
          <w:sz w:val="24"/>
          <w:szCs w:val="24"/>
        </w:rPr>
        <w:t xml:space="preserve">9.4  Cancellation sector</w:t>
      </w:r>
    </w:p>
    <w:p>
      <w:pPr>
        <w:spacing w:after="100" w:before="100"/>
      </w:pPr>
      <w:r>
        <w:rPr>
          <w:rFonts w:ascii="Arial" w:cs="Arial" w:eastAsia="Arial" w:hAnsi="Arial"/>
          <w:sz w:val="22"/>
          <w:szCs w:val="22"/>
        </w:rPr>
        <w:t xml:space="preserve">The outer cancellation ratio R = Bout/Xout decomposes exactly as R = R_d + R_b. Correlations (verified from raw files): r(R_d, R) = 0.905, r(R_b, R) = 0.544 for all 16 ETGs. In the moderate/high-load subset (X_out &gt; 2, N=12): r(R_d, R) = 0.925, r(R_b, R) = 0.529. The cancellation sector is effectively disk-carried where it matters. The outer bulge component follows a Keplerian tail (V_bul ∝ r^{−1/2}, log-slope = −0.500 to 4 decimal places) for all six buffered ETGs at their outer edges.</w:t>
      </w:r>
    </w:p>
    <w:p>
      <w:pPr>
        <w:pStyle w:val="Heading1"/>
        <w:spacing w:after="160" w:before="320"/>
      </w:pPr>
      <w:r>
        <w:rPr>
          <w:rFonts w:ascii="Arial" w:cs="Arial" w:eastAsia="Arial" w:hAnsi="Arial"/>
          <w:b/>
          <w:bCs/>
          <w:sz w:val="28"/>
          <w:szCs w:val="28"/>
        </w:rPr>
        <w:t xml:space="preserve">10.  Outer Chain Reduction</w:t>
      </w:r>
    </w:p>
    <w:p>
      <w:pPr>
        <w:pStyle w:val="Heading2"/>
        <w:spacing w:after="120" w:before="240"/>
      </w:pPr>
      <w:r>
        <w:rPr>
          <w:rFonts w:ascii="Arial" w:cs="Arial" w:eastAsia="Arial" w:hAnsi="Arial"/>
          <w:b/>
          <w:bCs/>
          <w:sz w:val="24"/>
          <w:szCs w:val="24"/>
        </w:rPr>
        <w:t xml:space="preserve">10.1  Stage-4 disk-force law</w:t>
      </w:r>
    </w:p>
    <w:p>
      <w:pPr>
        <w:spacing w:after="100" w:before="100"/>
      </w:pPr>
      <w:r>
        <w:rPr>
          <w:rFonts w:ascii="Arial" w:cs="Arial" w:eastAsia="Arial" w:hAnsi="Arial"/>
          <w:sz w:val="22"/>
          <w:szCs w:val="22"/>
        </w:rPr>
        <w:t xml:space="preserve">The disk-only viability boundary is equivalent to a gate disk-force condition. Log-log fit results verified from raw files: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Sample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Intercept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a (density)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b (geometry)</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R²</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Density definition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Full (N=16)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4.91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Σ_disk at ~0.91 r_out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X_out &gt; 2 (N=12)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0.876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Σ_disk at ~0.82–1.0 r_out mean</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The exact coefficient table is density-definition sensitive. No single outer-density convention reproduces both rows simultaneously. The full-sample row is reproduced by Σ at 0.910 r_out (verified: A=4.956, a=0.779, b=1.613, R²=0.856). The high-load R²=0.876 requires a mean over ~0.82–1.0 r_out. Structural range verified: a ≈ 0.78–0.84, b ≈ 1.60–1.72, R² ≈ 0.85–0.89 across tested definitions.</w:t>
      </w:r>
    </w:p>
    <w:p>
      <w:pPr>
        <w:pStyle w:val="Heading2"/>
        <w:spacing w:after="120" w:before="240"/>
      </w:pPr>
      <w:r>
        <w:rPr>
          <w:rFonts w:ascii="Arial" w:cs="Arial" w:eastAsia="Arial" w:hAnsi="Arial"/>
          <w:b/>
          <w:bCs/>
          <w:sz w:val="24"/>
          <w:szCs w:val="24"/>
        </w:rPr>
        <w:t xml:space="preserve">10.2  Real-profile kernel law</w:t>
      </w:r>
    </w:p>
    <w:p>
      <w:pPr>
        <w:spacing w:after="100" w:before="100"/>
      </w:pPr>
      <w:r>
        <w:rPr>
          <w:rFonts w:ascii="Arial" w:cs="Arial" w:eastAsia="Arial" w:hAnsi="Arial"/>
          <w:sz w:val="22"/>
          <w:szCs w:val="22"/>
        </w:rPr>
        <w:t xml:space="preserve">With H_real = 0.5 × [V²_disk(r_out)/r_out] / (Γ₀ × ⟨Σ_disk⟩_{0.8–1.0}), z = r_out/R_90, and η = Σ_disk(r_out)/⟨Σ_disk⟩_{0.8–1.0}:</w:t>
      </w:r>
    </w:p>
    <w:p>
      <w:pPr>
        <w:spacing w:after="120" w:before="120"/>
        <w:jc w:val="center"/>
      </w:pPr>
      <w:r>
        <w:rPr>
          <w:rFonts w:ascii="Courier New" w:cs="Courier New" w:eastAsia="Courier New" w:hAnsi="Courier New"/>
          <w:sz w:val="22"/>
          <w:szCs w:val="22"/>
        </w:rPr>
        <w:t xml:space="preserve">log H_real = −3.487 + 2.003 log(z) − 0.919 log(η),   R² = 0.931   (N = 16)</w:t>
      </w:r>
    </w:p>
    <w:p>
      <w:pPr>
        <w:spacing w:after="120" w:before="120"/>
        <w:jc w:val="center"/>
      </w:pPr>
      <w:r>
        <w:rPr>
          <w:rFonts w:ascii="Courier New" w:cs="Courier New" w:eastAsia="Courier New" w:hAnsi="Courier New"/>
          <w:sz w:val="22"/>
          <w:szCs w:val="22"/>
        </w:rPr>
        <w:t xml:space="preserve">High-load (X_out &gt; 2, N=12): log H_real = −3.390 + 2.239 log(z) − 0.583 log(η),   R² = 0.930</w:t>
      </w:r>
    </w:p>
    <w:p>
      <w:pPr>
        <w:spacing w:after="100" w:before="100"/>
      </w:pPr>
      <w:r>
        <w:rPr>
          <w:rFonts w:ascii="Arial" w:cs="Arial" w:eastAsia="Arial" w:hAnsi="Arial"/>
          <w:sz w:val="22"/>
          <w:szCs w:val="22"/>
        </w:rPr>
        <w:t xml:space="preserve">K constants: K_full = exp(−3.487) = 0.03060, K_hl = exp(−3.390) = 0.03372 (both verified to all digits from raw files). The normalisation factor is 0.5/Γ₀ = 6.17×10⁻⁴.</w:t>
      </w:r>
    </w:p>
    <w:p>
      <w:pPr>
        <w:pStyle w:val="Heading2"/>
        <w:spacing w:after="120" w:before="240"/>
      </w:pPr>
      <w:r>
        <w:rPr>
          <w:rFonts w:ascii="Arial" w:cs="Arial" w:eastAsia="Arial" w:hAnsi="Arial"/>
          <w:b/>
          <w:bCs/>
          <w:sz w:val="24"/>
          <w:szCs w:val="24"/>
        </w:rPr>
        <w:t xml:space="preserve">10.3  The complete outer chain</w:t>
      </w:r>
    </w:p>
    <w:p>
      <w:pPr>
        <w:spacing w:after="100" w:before="100"/>
      </w:pPr>
      <w:r>
        <w:rPr>
          <w:rFonts w:ascii="Arial" w:cs="Arial" w:eastAsia="Arial" w:hAnsi="Arial"/>
          <w:sz w:val="22"/>
          <w:szCs w:val="22"/>
        </w:rPr>
        <w:t xml:space="preserve">Stage 1: X_out — dominates the empirical outer gate globally. Stage 2: B_out/X_out = R_d + R_b — residual cancellation, effectively disk-only. Stage 3: R_d = 0.5 V²_disk(r_out)/V²_obs(r_out) — disk-carried cancellation (AUC = 0.964 for buffered-branch identification). Stage 4: V²_disk(r_out)/r_out ∝ ⟨Σ_disk⟩^a × z^b — local outer disk density and gate-position geometry.</w:t>
      </w:r>
    </w:p>
    <w:p>
      <w:pPr>
        <w:pStyle w:val="Heading1"/>
        <w:spacing w:after="160" w:before="320"/>
      </w:pPr>
      <w:r>
        <w:rPr>
          <w:rFonts w:ascii="Arial" w:cs="Arial" w:eastAsia="Arial" w:hAnsi="Arial"/>
          <w:b/>
          <w:bCs/>
          <w:sz w:val="28"/>
          <w:szCs w:val="28"/>
        </w:rPr>
        <w:t xml:space="preserve">11.  H+ Branch Mathematics</w:t>
      </w:r>
    </w:p>
    <w:p>
      <w:pPr>
        <w:pStyle w:val="Heading2"/>
        <w:spacing w:after="120" w:before="240"/>
      </w:pPr>
      <w:r>
        <w:rPr>
          <w:rFonts w:ascii="Arial" w:cs="Arial" w:eastAsia="Arial" w:hAnsi="Arial"/>
          <w:b/>
          <w:bCs/>
          <w:sz w:val="24"/>
          <w:szCs w:val="24"/>
        </w:rPr>
        <w:t xml:space="preserve">11.1  Sign gate and suppression structure</w:t>
      </w:r>
    </w:p>
    <w:p>
      <w:pPr>
        <w:spacing w:after="100" w:before="100"/>
      </w:pPr>
      <w:r>
        <w:rPr>
          <w:rFonts w:ascii="Arial" w:cs="Arial" w:eastAsia="Arial" w:hAnsi="Arial"/>
          <w:sz w:val="22"/>
          <w:szCs w:val="22"/>
        </w:rPr>
        <w:t xml:space="preserve">For H+ galaxies (Ω_in &gt; 1), the suppression integral G_supp must be computed via the integration-by-parts (IBP) form:</w:t>
      </w:r>
    </w:p>
    <w:p>
      <w:pPr>
        <w:spacing w:after="120" w:before="120"/>
        <w:jc w:val="center"/>
      </w:pPr>
      <w:r>
        <w:rPr>
          <w:rFonts w:ascii="Courier New" w:cs="Courier New" w:eastAsia="Courier New" w:hAnsi="Courier New"/>
          <w:sz w:val="22"/>
          <w:szCs w:val="22"/>
        </w:rPr>
        <w:t xml:space="preserve">G_supp = V̄²_bar(r_in) · κ*,   κ* = 1 − (1/x_B) ∫₀¹ exp(−(1−y)/x_B) B(y) dy</w:t>
      </w:r>
    </w:p>
    <w:p>
      <w:pPr>
        <w:spacing w:after="100" w:before="100"/>
      </w:pPr>
      <w:r>
        <w:rPr>
          <w:rFonts w:ascii="Arial" w:cs="Arial" w:eastAsia="Arial" w:hAnsi="Arial"/>
          <w:sz w:val="22"/>
          <w:szCs w:val="22"/>
        </w:rPr>
        <w:t xml:space="preserve">The exact algebraic decomposition: κ* = exp(−1/x_B) + U, where:</w:t>
      </w:r>
    </w:p>
    <w:p>
      <w:pPr>
        <w:spacing w:after="120" w:before="120"/>
        <w:jc w:val="center"/>
      </w:pPr>
      <w:r>
        <w:rPr>
          <w:rFonts w:ascii="Courier New" w:cs="Courier New" w:eastAsia="Courier New" w:hAnsi="Courier New"/>
          <w:sz w:val="22"/>
          <w:szCs w:val="22"/>
        </w:rPr>
        <w:t xml:space="preserve">U = (1/x_B) ∫₀¹ exp(−(1−y)/x_B) [1 − B(y)] dy</w:t>
      </w:r>
    </w:p>
    <w:p>
      <w:pPr>
        <w:pStyle w:val="Heading2"/>
        <w:spacing w:after="120" w:before="240"/>
      </w:pPr>
      <w:r>
        <w:rPr>
          <w:rFonts w:ascii="Arial" w:cs="Arial" w:eastAsia="Arial" w:hAnsi="Arial"/>
          <w:b/>
          <w:bCs/>
          <w:sz w:val="24"/>
          <w:szCs w:val="24"/>
        </w:rPr>
        <w:t xml:space="preserve">11.2  The J-branch and amplitude cancellation</w:t>
      </w:r>
    </w:p>
    <w:p>
      <w:pPr>
        <w:spacing w:after="100" w:before="100"/>
      </w:pPr>
      <w:r>
        <w:rPr>
          <w:rFonts w:ascii="Arial" w:cs="Arial" w:eastAsia="Arial" w:hAnsi="Arial"/>
          <w:sz w:val="22"/>
          <w:szCs w:val="22"/>
        </w:rPr>
        <w:t xml:space="preserve">Defining Δ = 1 − Q12, H(y) = (1 − B(y))/Δ, and substituting x_B = AΔ:</w:t>
      </w:r>
    </w:p>
    <w:p>
      <w:pPr>
        <w:spacing w:after="120" w:before="120"/>
        <w:jc w:val="center"/>
      </w:pPr>
      <w:r>
        <w:rPr>
          <w:rFonts w:ascii="Courier New" w:cs="Courier New" w:eastAsia="Courier New" w:hAnsi="Courier New"/>
          <w:sz w:val="22"/>
          <w:szCs w:val="22"/>
        </w:rPr>
        <w:t xml:space="preserve">U = J(A)/A,   J(A) = ∫₀¹ exp(−(1−y)/(AΔ)) H(y) dy</w:t>
      </w:r>
    </w:p>
    <w:p>
      <w:pPr>
        <w:spacing w:after="100" w:before="100"/>
      </w:pPr>
      <w:r>
        <w:rPr>
          <w:rFonts w:ascii="Arial" w:cs="Arial" w:eastAsia="Arial" w:hAnsi="Arial"/>
          <w:sz w:val="22"/>
          <w:szCs w:val="22"/>
        </w:rPr>
        <w:t xml:space="preserve">This substitution removes the explicit deficit amplitude from the U prefactor, reducing U to a kernel-weighted integral of the normalised profile shape H(y).</w:t>
      </w:r>
    </w:p>
    <w:p>
      <w:pPr>
        <w:pStyle w:val="Heading2"/>
        <w:spacing w:after="120" w:before="240"/>
      </w:pPr>
      <w:r>
        <w:rPr>
          <w:rFonts w:ascii="Arial" w:cs="Arial" w:eastAsia="Arial" w:hAnsi="Arial"/>
          <w:b/>
          <w:bCs/>
          <w:sz w:val="24"/>
          <w:szCs w:val="24"/>
        </w:rPr>
        <w:t xml:space="preserve">11.3  Branch invariants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900"/>
        <w:gridCol w:w="900"/>
        <w:gridCol w:w="900"/>
        <w:gridCol w:w="1760"/>
      </w:tblGrid>
      <w:t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Galaxy</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r_in</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Q12</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Q14</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Ω_in</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U_max</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x_loc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Class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NGC2685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0.5448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0.1944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1.1231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0.4981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1.548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single-ch.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NGC3626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0.370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0.6179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0.2040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1.3160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0.7334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1.303</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single-ch.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NGC3941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0.6858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0.2606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1.2246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0.7738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0.216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1.013</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single-ch.</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NGC4203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0.460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0.6208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1.2757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1.3374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0.107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n/a</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two-ch.</w:t>
            </w:r>
          </w:p>
        </w:tc>
      </w:tr>
    </w:tbl>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Single-channel calibrators: U* = 0.201803 (mean; CV = 0.00% by construction), A_loc = 3.344 (CV = 2.56%). Branch law: x_B ≈ 3.34(1 − Q12), L_B ≈ 3.34 r_in(1 − Q12).</w:t>
      </w:r>
    </w:p>
    <w:p>
      <w:pPr>
        <w:pStyle w:val="Heading2"/>
        <w:spacing w:after="120" w:before="240"/>
      </w:pPr>
      <w:r>
        <w:rPr>
          <w:rFonts w:ascii="Arial" w:cs="Arial" w:eastAsia="Arial" w:hAnsi="Arial"/>
          <w:b/>
          <w:bCs/>
          <w:sz w:val="24"/>
          <w:szCs w:val="24"/>
        </w:rPr>
        <w:t xml:space="preserve">11.4  No confirmed LTG H+ objects</w:t>
      </w:r>
    </w:p>
    <w:p>
      <w:pPr>
        <w:spacing w:after="100" w:before="100"/>
      </w:pPr>
      <w:r>
        <w:rPr>
          <w:rFonts w:ascii="Arial" w:cs="Arial" w:eastAsia="Arial" w:hAnsi="Arial"/>
          <w:sz w:val="22"/>
          <w:szCs w:val="22"/>
        </w:rPr>
        <w:t xml:space="preserve">Priority O is closed. NGC2841 fails Ω_in &gt; 1 (Ω_in = 0.609 from raw files; max Ω = 0.659 at R₀). NGC4157 passes the numerical gate (Ω_in = 1.212) but is a central-deficit crossing object (u(R₀) = −1.07) and the strongest local-shape outlier in the clean LTG buffered sample (Mahalanobis D² = 25.4, rank 1 of 75). No confirmed LTG H+ objects exist.</w:t>
      </w:r>
    </w:p>
    <w:p>
      <w:pPr>
        <w:pStyle w:val="Heading1"/>
        <w:spacing w:after="160" w:before="320"/>
      </w:pPr>
      <w:r>
        <w:rPr>
          <w:rFonts w:ascii="Arial" w:cs="Arial" w:eastAsia="Arial" w:hAnsi="Arial"/>
          <w:b/>
          <w:bCs/>
          <w:sz w:val="28"/>
          <w:szCs w:val="28"/>
        </w:rPr>
        <w:t xml:space="preserve">12.  Falsification Controls</w:t>
      </w:r>
    </w:p>
    <w:p>
      <w:pPr>
        <w:spacing w:after="100" w:before="100"/>
      </w:pPr>
      <w:r>
        <w:rPr>
          <w:rFonts w:ascii="Arial" w:cs="Arial" w:eastAsia="Arial" w:hAnsi="Arial"/>
          <w:b/>
          <w:bCs/>
          <w:sz w:val="22"/>
          <w:szCs w:val="22"/>
        </w:rPr>
        <w:t xml:space="preserve">Sign gate isolation: NGC3838 vs NGC3626.</w:t>
      </w:r>
      <w:r>
        <w:rPr>
          <w:rFonts w:ascii="Arial" w:cs="Arial" w:eastAsia="Arial" w:hAnsi="Arial"/>
          <w:sz w:val="22"/>
          <w:szCs w:val="22"/>
        </w:rPr>
        <w:t xml:space="preserve"> Both in the viable profile locus, both outer-feasible, both inner-feasible. H(0.3) = 1.8664 vs 1.8668 — near-identical normalised deficit shapes. The split is entirely due to absolute inner baryonic amplitude: V̄_bar(r_in) = 194 km/s (Ω_in = 0.705) vs 284 km/s (Ω_in = 1.316).</w:t>
      </w:r>
    </w:p>
    <w:p>
      <w:pPr>
        <w:spacing w:after="100" w:before="100"/>
      </w:pPr>
      <w:r>
        <w:rPr>
          <w:rFonts w:ascii="Arial" w:cs="Arial" w:eastAsia="Arial" w:hAnsi="Arial"/>
          <w:sz w:val="22"/>
          <w:szCs w:val="22"/>
        </w:rPr>
        <w:t xml:space="preserve"/>
      </w:r>
    </w:p>
    <w:p>
      <w:pPr>
        <w:spacing w:after="100" w:before="100"/>
      </w:pPr>
      <w:r>
        <w:rPr>
          <w:rFonts w:ascii="Arial" w:cs="Arial" w:eastAsia="Arial" w:hAnsi="Arial"/>
          <w:b/>
          <w:bCs/>
          <w:sz w:val="22"/>
          <w:szCs w:val="22"/>
        </w:rPr>
        <w:t xml:space="preserve">Outer demand isolation: NGC4203 vs NGC3626.</w:t>
      </w:r>
      <w:r>
        <w:rPr>
          <w:rFonts w:ascii="Arial" w:cs="Arial" w:eastAsia="Arial" w:hAnsi="Arial"/>
          <w:sz w:val="22"/>
          <w:szCs w:val="22"/>
        </w:rPr>
        <w:t xml:space="preserve"> Both H+ (Ω_in &gt; 1). NGC4203 has S = 10.07 vs 0.534, and u = 1.337 &gt; 1. It fails both inner feasibility and outer capacity independently.</w:t>
      </w:r>
    </w:p>
    <w:p>
      <w:pPr>
        <w:spacing w:after="100" w:before="100"/>
      </w:pPr>
      <w:r>
        <w:rPr>
          <w:rFonts w:ascii="Arial" w:cs="Arial" w:eastAsia="Arial" w:hAnsi="Arial"/>
          <w:sz w:val="22"/>
          <w:szCs w:val="22"/>
        </w:rPr>
        <w:t xml:space="preserve"/>
      </w:r>
    </w:p>
    <w:p>
      <w:pPr>
        <w:spacing w:after="100" w:before="100"/>
      </w:pPr>
      <w:r>
        <w:rPr>
          <w:rFonts w:ascii="Arial" w:cs="Arial" w:eastAsia="Arial" w:hAnsi="Arial"/>
          <w:b/>
          <w:bCs/>
          <w:sz w:val="22"/>
          <w:szCs w:val="22"/>
        </w:rPr>
        <w:t xml:space="preserve">Disk-buffered outer isolation: NGC3941 vs UGC6176.</w:t>
      </w:r>
      <w:r>
        <w:rPr>
          <w:rFonts w:ascii="Arial" w:cs="Arial" w:eastAsia="Arial" w:hAnsi="Arial"/>
          <w:sz w:val="22"/>
          <w:szCs w:val="22"/>
        </w:rPr>
        <w:t xml:space="preserve"> X_out = 2.308 vs 2.240 (nearly identical). f_bul = 0.086 vs 0.086 (identical). The outer disk term is the sole separator. Keplerian tail log-slope = −0.500 for all six buffered ETGs.</w:t>
      </w:r>
    </w:p>
    <w:p>
      <w:pPr>
        <w:pStyle w:val="Heading1"/>
        <w:spacing w:after="160" w:before="320"/>
      </w:pPr>
      <w:r>
        <w:rPr>
          <w:rFonts w:ascii="Arial" w:cs="Arial" w:eastAsia="Arial" w:hAnsi="Arial"/>
          <w:b/>
          <w:bCs/>
          <w:sz w:val="28"/>
          <w:szCs w:val="28"/>
        </w:rPr>
        <w:t xml:space="preserve">13.  Computation Conventions</w:t>
      </w:r>
    </w:p>
    <w:p>
      <w:pPr>
        <w:spacing w:after="100" w:before="100"/>
      </w:pPr>
      <w:r>
        <w:rPr>
          <w:rFonts w:ascii="Arial" w:cs="Arial" w:eastAsia="Arial" w:hAnsi="Arial"/>
          <w:sz w:val="22"/>
          <w:szCs w:val="22"/>
        </w:rPr>
        <w:t xml:space="preserve">The following conventions apply to all verified results in this paper. Any recomputation that deviates from these will produce different numbers.</w:t>
      </w:r>
    </w:p>
    <w:p>
      <w:pPr>
        <w:spacing w:after="10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Context</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Convention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Inner profile quantities
(Q12, Q14, Δ, S, U_max)</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Interpolate V² directly. Do NOT interpolate V then square. Critical for UGC6176 (coarse grid between R=0 and R=0.124 kpc at r_in = 0.170 kpc).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 radial u(r) profiles,
crossing-window work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Interpolate V_obs in V-space then square. Interpolate disk/bulge component terms in V²-space. This mixed convention is required to reproduce the canonical crossing positions and common-law c1/c2.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memory law</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Use exact gas-dependent form: L_eff = 1.8h[1 + S_mem(1 − exp(−memory_load/S_mem))]. The saturated approximation L_eff = 1.8h(1+S_mem) gives lower RMSE by ~0.7 km/s but is not the canonical formula.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U_max integration grid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Require n_y ≥ 2000 for 4-digit stability. Grid density of n_y = 500 underestimates U_max by ~0.0003 uniformly across all galaxies.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 &lt; 1.70 threshold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Motivated by the regression-implied crossing U_max = U*. ETG-implied S* = 1.699, LTG-implied S* = 1.69–1.73. Not set arbitrarily.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Baryonic convention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V̄²_bar = V²_gas + 0.5 V²_disk + 0.7 V²_bul. M/L_disk = 0.5, M/L_bul = 0.7.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AUC classifier (g_sep, g4)</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Computed on N=55 buffered galaxies with valid S_inner. 22 buffered galaxies have no valid inner variables and cannot be included.</w:t>
            </w:r>
          </w:p>
        </w:tc>
      </w:tr>
    </w:tbl>
    <w:p>
      <w:pPr>
        <w:pStyle w:val="Heading1"/>
        <w:spacing w:after="160" w:before="320"/>
      </w:pPr>
      <w:r>
        <w:rPr>
          <w:rFonts w:ascii="Arial" w:cs="Arial" w:eastAsia="Arial" w:hAnsi="Arial"/>
          <w:b/>
          <w:bCs/>
          <w:sz w:val="28"/>
          <w:szCs w:val="28"/>
        </w:rPr>
        <w:t xml:space="preserve">14.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Level</w:t>
            </w:r>
          </w:p>
        </w:tc>
        <w:tc>
          <w:tcPr>
            <w:tcW w:type="dxa" w:w="7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Content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Background transport (Γ₀, L, q)</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Photometric closure (L_pred = 2kh)</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Memory saturation (L_eff, zero parameters)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Response shape (q = 1 + n_out)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LTG/ETG population separation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 four-condition intersection (Δ, Q14, Ω_in, u)</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 sign-changing H+ sector (gate, suppression, outer capacity, branch law)</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 chain reduction (X_out, R_d, Stage-4 disk-force law)</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Radial threshold structure (u(r) law, δu = 1−u, buffered profile collapse)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w:t>
            </w:r>
          </w:p>
        </w:tc>
        <w:tc>
          <w:tcPr>
            <w:tcW w:type="dxa" w:w="7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Universal S-law (U_max ≈ 0.23–0.24 − 0.058 ln(S), R²≈0.85–0.92, both LTG and ETG); LTG outer route split; LTG buffered regime split (52 upward / 25 single-crossing); Q12–Q14 inner law</w:t>
            </w:r>
          </w:p>
        </w:tc>
      </w:tr>
    </w:tbl>
    <w:p>
      <w:pPr>
        <w:pStyle w:val="Heading1"/>
        <w:spacing w:after="160" w:before="320"/>
      </w:pPr>
      <w:r>
        <w:rPr>
          <w:rFonts w:ascii="Arial" w:cs="Arial" w:eastAsia="Arial" w:hAnsi="Arial"/>
          <w:b/>
          <w:bCs/>
          <w:sz w:val="28"/>
          <w:szCs w:val="28"/>
        </w:rPr>
        <w:t xml:space="preserve">15.  Derived vs Empirical Status</w:t>
      </w:r>
    </w:p>
    <w:p>
      <w:pPr>
        <w:pStyle w:val="Heading2"/>
        <w:spacing w:after="120" w:before="240"/>
      </w:pPr>
      <w:r>
        <w:rPr>
          <w:rFonts w:ascii="Arial" w:cs="Arial" w:eastAsia="Arial" w:hAnsi="Arial"/>
          <w:b/>
          <w:bCs/>
          <w:sz w:val="24"/>
          <w:szCs w:val="24"/>
        </w:rPr>
        <w:t xml:space="preserve">Derived</w:t>
      </w:r>
    </w:p>
    <w:p>
      <w:pPr>
        <w:spacing w:after="100" w:before="100"/>
      </w:pPr>
      <w:r>
        <w:rPr>
          <w:rFonts w:ascii="Arial" w:cs="Arial" w:eastAsia="Arial" w:hAnsi="Arial"/>
          <w:sz w:val="22"/>
          <w:szCs w:val="22"/>
        </w:rPr>
        <w:t xml:space="preserve">Transport equation and background law; photometric closure; memory-load structure; suppression operator form; H+ sign-change mechanism; exact outer viability boundary X_out &lt; R_max/(1 − R_d − R_b); exact identity δu = (X_crit − X_out)/X_crit; structural form of the Stage-4 disk-force law.</w:t>
      </w:r>
    </w:p>
    <w:p>
      <w:pPr>
        <w:pStyle w:val="Heading2"/>
        <w:spacing w:after="120" w:before="240"/>
      </w:pPr>
      <w:r>
        <w:rPr>
          <w:rFonts w:ascii="Arial" w:cs="Arial" w:eastAsia="Arial" w:hAnsi="Arial"/>
          <w:b/>
          <w:bCs/>
          <w:sz w:val="24"/>
          <w:szCs w:val="24"/>
        </w:rPr>
        <w:t xml:space="preserve">Empirical (verified from raw files)</w:t>
      </w:r>
    </w:p>
    <w:p>
      <w:pPr>
        <w:spacing w:after="100" w:before="100"/>
      </w:pPr>
      <w:r>
        <w:rPr>
          <w:rFonts w:ascii="Arial" w:cs="Arial" w:eastAsia="Arial" w:hAnsi="Arial"/>
          <w:sz w:val="22"/>
          <w:szCs w:val="22"/>
        </w:rPr>
        <w:t xml:space="preserve">q ≈ 0.77; R_max = 1.758948; U* = 0.201803; A_loc = 3.344 (3-galaxy calibration); Stage-4 exponents a ≈ 0.78, b ≈ 1.61 (full sample); buffered profile collapse u(x) ≈ 1 − 1.587(x−1) + 1.398(x−1)²; outer bulge Keplerian tail log-slope = −0.500; K_full = 0.03060, K_hl = 0.03372; LTG buffered split 52/25; regime classifier AUC = 0.912 (N=55); Q12–Q14 law intercept = 0.317, slope = 0.811, R² = 0.768 (N=124); single-crossing outer error two-scalar model: outer_MAE ≈ −10.4 + 8.6g + 10.5 L_gap (strict N=19, LOO RMSE ≈ 10.1 km/s); severity ranking Pearson = 0.935, Spearman = 0.888; S-law A ≈ 0.240, B ≈ −0.070, R² ≈ 0.919 (LTG), A ≈ 0.233, B ≈ −0.058, R² ≈ 0.851 (ETG); L_gap independence: corr(g, L_gap) ≈ 0 (VIF ≈ 1.000), partial r(outer_MAE, L_gap | g) = 0.852; xcross → c1 partial relation: r = −0.763 (N=6, p=0.078), r = −0.853 (N=7 incl. NGC2685, p=0.015); CDC-low-load branch: N=17, median outer MAE = 12.75 km/s; CDC-low RMSE model rise_amp + h/r_out: R² = 0.576, LOO = 8.9 km/s.</w:t>
      </w:r>
    </w:p>
    <w:p>
      <w:pPr>
        <w:pStyle w:val="Heading2"/>
        <w:spacing w:after="120" w:before="240"/>
      </w:pPr>
      <w:r>
        <w:rPr>
          <w:rFonts w:ascii="Arial" w:cs="Arial" w:eastAsia="Arial" w:hAnsi="Arial"/>
          <w:b/>
          <w:bCs/>
          <w:sz w:val="24"/>
          <w:szCs w:val="24"/>
        </w:rPr>
        <w:t xml:space="preserve">Provisional / unresolved</w:t>
      </w:r>
    </w:p>
    <w:p>
      <w:pPr>
        <w:spacing w:after="100" w:before="100"/>
      </w:pPr>
      <w:r>
        <w:rPr>
          <w:rFonts w:ascii="Arial" w:cs="Arial" w:eastAsia="Arial" w:hAnsi="Arial"/>
          <w:sz w:val="22"/>
          <w:szCs w:val="22"/>
        </w:rPr>
        <w:t xml:space="preserve">ETG buffered residual mode organiser Z = log(R_b/δu) + 0.30S: crossing-window geometry is verified; the claimed LOO scale (0.00412, 0.00170) is not reproducible from any self-contained radius in the uploaded ETG files. The underlying mode is captured by c1 (LOO = 0.00163 using c1 directly). A partial geometric relation xcross → c1 (r = −0.763, N=6) is confirmed as a structural hint but is leverage-sensitive (NGC6798 Cook’s D = 1.18) and not predictive-law grade. The Z/R_b result should not be cited with specific LOO values. Priority L three-variable extensions: both tested third variables (n_scales and memory_load) improve global LOO by ∼0.5 km/s but their coefficients cross zero under jackknife in both strict N=19 and strict-clean N=18 sets. The n_scales coefficient ranges from −0.59 to +0.24 (strict N=19) and −0.68 to +0.10 (clean N=18); the memory_load coefficient ranges from −1.58 to +0.71 (strict) and −2.70 to +0.22 (clean). Neither passes sign-stability. The two-scalar g + L_gap model remains the preferred formula; three-variable extensions are diagnostic only. NGC5582 Stage-4 leverage: Cook’s D = 3.3, LOO residual ≈ −1.04 log units. The Stage-4 high-load row is leverage-sensitive to NGC5582 (largest disk in the subset); the physical profile shows no obvious truncation, but the exact high-load coefficient row should be treated as provisional.</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LTG global headline RMSE table: the values 20.60 km/s (N=137 clean) and 29.44 km/s (N=174 all) originated in earlier formula versions (29.44 from L_eff ≈ 0.7735h no-memory baseline; 20.60 from no-memory L_eff = 1.8h with outer bulge cut, N=154 not 137). Neither is current-formula performance. Do not cite without the current values in §4.</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Stage-4 disk-force exact coefficients: definition-sensitive. Full table (4.91, 0.78, 1.61, R²=0.856) reproduced by Σ at 0.910 r_out; high-load table (5.17, 0.69, 1.55, R²=0.876) requires a different annular averaging. No single definition reproduces both.</w:t>
      </w:r>
    </w:p>
    <w:p>
      <w:pPr>
        <w:pStyle w:val="Heading2"/>
        <w:spacing w:after="120" w:before="240"/>
      </w:pPr>
      <w:r>
        <w:rPr>
          <w:rFonts w:ascii="Arial" w:cs="Arial" w:eastAsia="Arial" w:hAnsi="Arial"/>
          <w:b/>
          <w:bCs/>
          <w:sz w:val="24"/>
          <w:szCs w:val="24"/>
        </w:rPr>
        <w:t xml:space="preserve">Open theoretical targets</w:t>
      </w:r>
    </w:p>
    <w:p>
      <w:pPr>
        <w:spacing w:after="100" w:before="100"/>
      </w:pPr>
      <w:r>
        <w:rPr>
          <w:rFonts w:ascii="Arial" w:cs="Arial" w:eastAsia="Arial" w:hAnsi="Arial"/>
          <w:sz w:val="22"/>
          <w:szCs w:val="22"/>
        </w:rPr>
        <w:t xml:space="preserve">A. First-principles derivation of λ_B and branch coefficient A ≈ 3.34. B. Extension beyond 3-galaxy single-channel calibration. C. Physical mechanism connecting λ_exc to transport dynamics. D. Confirm independent second two-channel H+ galaxy to verify NGC4203 solution. E. Derivation of Stage-4 exponents from ETG disk profile structure. F. Analytic derivation of buffered profile local slope c1 ≈ −1.59. G. The Z/LOO scalar is not reproducible from uploaded files; the underlying mode is captured by c1 (LOO = 0.00163). The partial geometric relation xcross → c1 (r = −0.763 six-object) is verified as a structural hint but not predictive-law grade. H. IllustrisTNG/EAGLE test. I. Lock Priority L two-scalar applicability conditions and fully characterise three residual-failure subtypes (late-load, broad-scale, compact overprediction).</w:t>
      </w:r>
    </w:p>
    <w:p>
      <w:pPr>
        <w:pStyle w:val="Heading1"/>
        <w:spacing w:after="160" w:before="320"/>
      </w:pPr>
      <w:r>
        <w:rPr>
          <w:rFonts w:ascii="Arial" w:cs="Arial" w:eastAsia="Arial" w:hAnsi="Arial"/>
          <w:b/>
          <w:bCs/>
          <w:sz w:val="28"/>
          <w:szCs w:val="28"/>
        </w:rPr>
        <w:t xml:space="preserve">16.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80"/>
        <w:gridCol w:w="2340"/>
        <w:gridCol w:w="2340"/>
        <w:gridCol w:w="156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Population</w:t>
            </w:r>
          </w:p>
        </w:tc>
        <w:tc>
          <w:tcPr>
            <w:tcW w:type="dxa" w:w="7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N</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Model/Test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Metric</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sz w:val="18"/>
                <w:szCs w:val="18"/>
              </w:rPr>
              <w:t xml:space="preserve">Value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All LTGs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Median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17.15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Upward-crossing buffered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Median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21.28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Single-crossing buffered</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 memory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Median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27.59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Upward vs single-crossing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Welch t-test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RMSE p-value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0.00985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outer routes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 crossing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Low-load / buffered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81 / 77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outer infeasible</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u(r_out) ≥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Count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Regime classifier</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g_sep = −u(R₀)+0.35S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LTG S-law</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Umax = A + B ln(S)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R²</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0.919</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ETG S-law</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Umax = A + B ln(S)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R²</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0.851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 &lt; 1.70 threshold (LTG)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141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vs U_max ≥ 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Accuracy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135/141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Outer gate (16 ETGs)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X_out &lt; R_max/(1−R_d)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Classification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16/16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Buffered-branch ID (AUC)</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R_d alone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0.964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Kernel law (full ETG)</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H_real ∝ z² η^{−0.92}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R²</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0.931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K_full / K_hl</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Normalised kernel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 constants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0.03060 / 0.03372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δu identity (all ETGs)</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δu = (X_crit−X_out)/X_crit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Max error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&lt; 5×10⁻¹⁶</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Single-crossing error model</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 + L_gap (Priority L, prov.)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LOO RMSE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10.1 km/s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CDC-low-load branch</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u(R₀) &lt; 0, max u &lt; 1, low-load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Count / median outer MAE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17 / 12.75 km/s</w:t>
            </w:r>
          </w:p>
        </w:tc>
      </w:tr>
    </w:tbl>
    <w:p>
      <w:pPr>
        <w:spacing w:after="100" w:before="100"/>
      </w:pPr>
      <w:r>
        <w:rPr>
          <w:rFonts w:ascii="Arial" w:cs="Arial" w:eastAsia="Arial" w:hAnsi="Arial"/>
          <w:sz w:val="22"/>
          <w:szCs w:val="22"/>
        </w:rPr>
        <w:t xml:space="preserve"/>
      </w:r>
    </w:p>
    <w:p>
      <w:pPr>
        <w:spacing w:after="60" w:before="60"/>
        <w:ind w:left="720"/>
      </w:pPr>
      <w:r>
        <w:rPr>
          <w:rFonts w:ascii="Arial" w:cs="Arial" w:eastAsia="Arial" w:hAnsi="Arial"/>
          <w:i/>
          <w:iCs/>
          <w:color w:val="555555"/>
          <w:sz w:val="20"/>
          <w:szCs w:val="20"/>
        </w:rPr>
        <w:t xml:space="preserve">*AUC for regime classifier conditions on 55 buffered galaxies with valid S_inner, not all 77. **Priority L strict set: single-crossing galaxies with h ≥ R₀ (N = 19) or additionally x_cross &gt; 0.10 (N = 18, clean set). Excludes 6 h &lt; R₀ artefact galaxies.</w:t>
      </w:r>
    </w:p>
    <w:p>
      <w:pPr>
        <w:pStyle w:val="Heading1"/>
        <w:spacing w:after="160" w:before="320"/>
      </w:pPr>
      <w:r>
        <w:rPr>
          <w:rFonts w:ascii="Arial" w:cs="Arial" w:eastAsia="Arial" w:hAnsi="Arial"/>
          <w:b/>
          <w:bCs/>
          <w:sz w:val="28"/>
          <w:szCs w:val="28"/>
        </w:rPr>
        <w:t xml:space="preserve">17.  Conclusion</w:t>
      </w:r>
    </w:p>
    <w:p>
      <w:pPr>
        <w:spacing w:after="100" w:before="100"/>
      </w:pPr>
      <w:r>
        <w:rPr>
          <w:rFonts w:ascii="Arial" w:cs="Arial" w:eastAsia="Arial" w:hAnsi="Arial"/>
          <w:sz w:val="22"/>
          <w:szCs w:val="22"/>
        </w:rPr>
        <w:t xml:space="preserve">The MTS framework yields a transport-response law for disk galaxies with cosmological normalisation, photometric scale closure, zero-parameter memory correction, and emergent response branching.</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LTGs follow a closed first-order law with memory-driven corrections. The current-formula global median RMSE is 17.15 km/s (N=175). The LTG buffered branch splits into 52 upward-crossing and 25 single-crossing objects, predictable from initial load u(R₀) and inner concentration S_inner (AUC = 0.912). Single-crossing outer error is organised by a two-scalar model: outer_MAE ≈ −10.4 + 8.6g + 10.5(L_sat − L_exact), where g = memory_load × x_cross (LOO RMSE ≈ 10 km/s, strict N=19; Spearman severity ranking = 0.888). A further 17 galaxies form the CDC-low-load branch (u(R₀) &lt; 0, max u(r) &lt; 1), structurally distinct from both ordinary low-load and CDC-upward objects.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ETGs form a multi-family, multi-sign response sector governed by a four-condition intersection. The outer gate factorises exactly into X_out and R_d. The viability boundary X_out &lt; R_max/(1 − R_d) classifies all 16 ETGs correctly. Buffered ETGs share a common rescaled radial approach profile (common law u(x) ≈ 1 − 1.587(x−1) + 1.398(x−1)², PC1 = 99.85%). The outer chain reduces to a density-plus-geometry disk-force kernel law (K_full = 0.03060, R² = 0.931).</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A universal completion-ratio law U_max ≈ A − B ln(S) holds across both galaxy types (LTG: R² = 0.919, ETG: R² = 0.851), with both regression lines implying a threshold crossing U_max = U* near S ≈ 1.70. No confirmed LTG H+ objects exist (NGC2841 rejected; NGC4157 is a central-deficit object).</w:t>
      </w:r>
    </w:p>
    <w:p>
      <w:pPr>
        <w:pStyle w:val="Heading1"/>
        <w:spacing w:after="160" w:before="320"/>
      </w:pPr>
      <w:r>
        <w:rPr>
          <w:rFonts w:ascii="Arial" w:cs="Arial" w:eastAsia="Arial" w:hAnsi="Arial"/>
          <w:b/>
          <w:bCs/>
          <w:sz w:val="28"/>
          <w:szCs w:val="28"/>
        </w:rPr>
        <w:t xml:space="preserve">18.  Methods and Data</w:t>
      </w:r>
    </w:p>
    <w:p>
      <w:pPr>
        <w:spacing w:after="100" w:before="100"/>
      </w:pPr>
      <w:r>
        <w:rPr>
          <w:rFonts w:ascii="Arial" w:cs="Arial" w:eastAsia="Arial" w:hAnsi="Arial"/>
          <w:sz w:val="22"/>
          <w:szCs w:val="22"/>
        </w:rPr>
        <w:t xml:space="preserve">Data: SPARC ROTMOD files (Lelli et al. 2016, 175 disk galaxies). ETG rotation curves from ATLAS³D (16 galaxies). High-resolution bulge/disk component profiles used for all inner-branch and outer-chain computations.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Baryonic convention: V̄²_bar = V²_gas + 0.5 V²_disk + 0.7 V²_bul; M/L_disk = 0.5, M/L_bul = 0.7.</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File conventions: ROTMOD files: comments='#'. Bulge/disk component files: comments='!'. G_supp must use the IBP form; derivative-based form underestimates by 10–15% on coarse grids.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Canonical r_in values: NGC2685 = 0.310, NGC3626 = 0.370, NGC3941 = 0.270, NGC4203 = 0.460 kpc (locked). All other ETGs use first ROTMOD row.</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Framework constants: Γ₀ = 809.956 km²/s²/kpc; R_max = 1.758948; U* = 0.201803.</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Evaluation: RMSE = √(mean[(V_model − V_obs)²]).</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All tables verified from raw ETG and LTG files. Residual split and performance tables use the exact gas-dependent memory law. AUC classifier figures condition on N=55 buffered galaxies with valid S_inner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E7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4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2026-04-25T15:20:18.814Z</dcterms:created>
  <dcterms:modified xsi:type="dcterms:W3CDTF">2026-04-25T15:20:18.815Z</dcterms:modified>
</cp:coreProperties>
</file>

<file path=docProps/custom.xml><?xml version="1.0" encoding="utf-8"?>
<Properties xmlns="http://schemas.openxmlformats.org/officeDocument/2006/custom-properties" xmlns:vt="http://schemas.openxmlformats.org/officeDocument/2006/docPropsVTypes"/>
</file>