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MTS Galaxy Law</w:t>
      </w:r>
    </w:p>
    <w:p>
      <w:pPr>
        <w:jc w:val="center"/>
      </w:pPr>
      <w:r>
        <w:rPr>
          <w:b/>
          <w:bCs/>
        </w:rPr>
        <w:t xml:space="preserve">The Motion–Timespace (MTS) Galaxy Law:</w:t>
      </w:r>
    </w:p>
    <w:p>
      <w:pPr>
        <w:spacing w:after="180"/>
        <w:jc w:val="center"/>
      </w:pPr>
      <w:r>
        <w:rPr>
          <w:b/>
          <w:bCs/>
        </w:rPr>
        <w:t xml:space="preserve">A Transport–Response Framework for Disk Galaxies</w:t>
      </w:r>
    </w:p>
    <w:p>
      <w:pPr>
        <w:spacing w:after="240"/>
        <w:jc w:val="center"/>
      </w:pPr>
      <w:r>
        <w:rPr>
          <w:i/>
          <w:iCs/>
        </w:rPr>
        <w:t xml:space="preserve">Version 16  —  post-verification draft incorporating Experiments 1–15 + EXP06–EXP48B (geometry audit, membership lock, PC1 scope, shape probe, R85 geometry audit, Priority L robustness table, inv_sqrt curvature scalar, Stage-4 R85 preference, three-variable Priority L diagnostic)</w:t>
      </w:r>
    </w:p>
    <w:p>
      <w:pPr>
        <w:pStyle w:val="Heading1"/>
      </w:pPr>
      <w:r>
        <w:t>Abstract</w:t>
      </w:r>
    </w:p>
    <w:p>
      <w:r>
        <w:t>We present the Motion-Timespace (MTS) galaxy framework as a transport-response law for disk-galaxy rotation curves. The locked canonical law uses a cosmologically normalised support field with fixed q=0.77, Gamma0=809.956, fixed disk M/L, and fixed bulge M/L. On the all-LTG SPARC sample (N=175), this locked baseline has mean RMSE 21.90 km/s and remains the reference model.</w:t>
      </w:r>
    </w:p>
    <w:p>
      <w:r>
        <w:t>The current framework-forward result is MTS v18.05, a deterministic observed-state response candidate targeting the clean high-RMSE SPARC failures. It leaves the canonical constants locked and adds only state/profile-gated response branches. It does not use galaxy names, residual lookup, raw RMSE as a formula input, or weak/systematics galaxies in fitting.</w:t>
      </w:r>
    </w:p>
    <w:p>
      <w:r>
        <w:t>On the clean high-RMSE set, v18.05 improves mean RMSE by 68.08% and leaves 0 cases above 20 km/s. The full clean-set gain is 43.74%, the median route-stratified holdout high-RMSE gain is 66.68%, and the candidate beats the branch-shuffle null by 52.01 percentage points. The strongest protected-lookalike forced regression is 0.34 km/s.</w:t>
      </w:r>
    </w:p>
    <w:p>
      <w:r>
        <w:t>The 15 weak/systematics SPARC galaxies are treated as protected observational holdouts and remain excluded from transport-law fitting. v18.05 is therefore presented as a review candidate extension to MTS, not as a broad cosmological claim and not as a replacement for independent non-SPARC baryonic validation.</w:t>
      </w:r>
    </w:p>
    <w:p>
      <w:pPr>
        <w:pStyle w:val="Heading1"/>
      </w:pPr>
      <w:r>
        <w:rPr>
          <w:b/>
          <w:bCs/>
        </w:rPr>
        <w:t xml:space="preserve">1.  Introduction</w:t>
      </w:r>
    </w:p>
    <w:p>
      <w:pPr>
        <w:spacing w:after="120"/>
      </w:pPr>
      <w: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120"/>
      </w:pPr>
      <w: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pPr>
      <w:r>
        <w:rPr>
          <w:b/>
          <w:bCs/>
        </w:rPr>
        <w:t xml:space="preserve">2.  The MTS Framework</w:t>
      </w:r>
    </w:p>
    <w:p>
      <w:pPr>
        <w:pStyle w:val="Heading2"/>
      </w:pPr>
      <w:r>
        <w:rPr>
          <w:b/>
          <w:bCs/>
        </w:rPr>
        <w:t xml:space="preserve">2.1  Emergent geometry</w:t>
      </w:r>
    </w:p>
    <w:p>
      <w:pPr>
        <w:spacing w:after="120"/>
      </w:pPr>
      <w:r>
        <w:t xml:space="preserve">A scalar field ψ defines an emergent metric via coarse-grained gradient covariance: </w:t>
      </w:r>
      <w:r>
        <w:rPr>
          <w:b/>
          <w:bCs/>
        </w:rPr>
        <w:t xml:space="preserve">g</w:t>
      </w:r>
      <w:r>
        <w:t xml:space="preserve">μν = ημν + ⟨∂μψ, ∂νψ⟩</w:t>
      </w:r>
    </w:p>
    <w:p>
      <w:pPr>
        <w:pStyle w:val="Heading2"/>
      </w:pPr>
      <w:r>
        <w:rPr>
          <w:b/>
          <w:bCs/>
        </w:rPr>
        <w:t xml:space="preserve">2.2  Curvature–exchange field</w:t>
      </w:r>
    </w:p>
    <w:p>
      <w:pPr>
        <w:spacing w:after="120"/>
      </w:pPr>
      <w:r>
        <w:t xml:space="preserve">A scalar Γ = F[ψ, g] encodes curvature–motion exchange. The present work requires only: (i) the emergent metric from gradient covariance of ψ, and (ii) a curvature–exchange field Γ coupling to macroscopic transport.</w:t>
      </w:r>
    </w:p>
    <w:p>
      <w:pPr>
        <w:pStyle w:val="Heading1"/>
      </w:pPr>
      <w:r>
        <w:rPr>
          <w:b/>
          <w:bCs/>
        </w:rPr>
        <w:t xml:space="preserve">3.  Transport Equation and Background Law</w:t>
      </w:r>
    </w:p>
    <w:p>
      <w:pPr>
        <w:spacing w:after="120"/>
      </w:pPr>
      <w:r>
        <w:t xml:space="preserve">The transport equation is: uμ ∇μχ + χ/τΓ = Γ0/4</w:t>
      </w:r>
    </w:p>
    <w:p>
      <w:pPr>
        <w:spacing w:after="120"/>
      </w:pPr>
      <w:r>
        <w:t xml:space="preserve">In the stationary disk limit, with L = vΓτΓ, the background solution is: χ(r) = (Γ0/4) L [1 − exp(−r/L)]</w:t>
      </w:r>
    </w:p>
    <w:p>
      <w:pPr>
        <w:spacing w:after="120"/>
      </w:pPr>
      <w:r>
        <w:t xml:space="preserve">Mapping to observables via V²(r) = V̄²_bar(r) + χ(r) and the cosmological normalisation Γ0 = cH₀/(8π) yields the zero-parameter background galaxy law.</w:t>
      </w:r>
    </w:p>
    <w:p>
      <w:pPr>
        <w:spacing w:after="120"/>
      </w:pPr>
      <w:r>
        <w:rPr>
          <w:b/>
          <w:bCs/>
        </w:rPr>
        <w:t xml:space="preserve">Working constants (all locked, verified from raw files):</w:t>
      </w:r>
    </w:p>
    <w:p>
      <w:pPr>
        <w:spacing w:after="120"/>
      </w:pPr>
      <w:r>
        <w:rPr>
          <w:rFonts w:ascii="Courier New" w:cs="Courier New" w:eastAsia="Courier New" w:hAnsi="Courier New"/>
          <w:sz w:val="20"/>
          <w:szCs w:val="20"/>
        </w:rPr>
        <w:t xml:space="preserve">Γ0 = 809.956 km²/s²/kpc     R_max = 1.758948     q = 0.77 (global exponent)</w:t>
      </w:r>
    </w:p>
    <w:p>
      <w:pPr>
        <w:pStyle w:val="Heading1"/>
      </w:pPr>
      <w:r>
        <w:rPr>
          <w:b/>
          <w:bCs/>
        </w:rPr>
        <w:t xml:space="preserve">4.  LTG Sector</w:t>
      </w:r>
    </w:p>
    <w:p>
      <w:pPr>
        <w:pStyle w:val="Heading2"/>
      </w:pPr>
      <w:r>
        <w:rPr>
          <w:b/>
          <w:bCs/>
        </w:rPr>
        <w:t xml:space="preserve">4.1  Photometric closure</w:t>
      </w:r>
    </w:p>
    <w:p>
      <w:pPr>
        <w:spacing w:after="120"/>
      </w:pPr>
      <w:r>
        <w:t xml:space="preserve">For exponential disks, j̄_har = 2hV_φα, giving L_pred = 2kh ≈ 1.8h.</w:t>
      </w:r>
    </w:p>
    <w:p>
      <w:pPr>
        <w:pStyle w:val="Heading2"/>
      </w:pPr>
      <w:r>
        <w:rPr>
          <w:b/>
          <w:bCs/>
        </w:rPr>
        <w:t xml:space="preserve">4.2  Transport memory law</w:t>
      </w:r>
    </w:p>
    <w:p>
      <w:pPr>
        <w:spacing w:after="120"/>
      </w:pPr>
      <w:r>
        <w:t xml:space="preserve">The governing variable is memory_load = (1 − f_gas)(R_out / h). The effective transport scale is:</w:t>
      </w:r>
    </w:p>
    <w:p>
      <w:pPr>
        <w:spacing w:after="120"/>
      </w:pPr>
      <w:r>
        <w:rPr>
          <w:rFonts w:ascii="Courier New" w:cs="Courier New" w:eastAsia="Courier New" w:hAnsi="Courier New"/>
          <w:sz w:val="20"/>
          <w:szCs w:val="20"/>
        </w:rPr>
        <w:t xml:space="preserve">L_eff = 1.8h [ 1 + S_mem ( 1 − exp(−memory_load / S_mem) ) ]</w:t>
      </w:r>
    </w:p>
    <w:p>
      <w:pPr>
        <w:spacing w:after="120"/>
      </w:pPr>
      <w:r>
        <w:rPr>
          <w:rFonts w:ascii="Courier New" w:cs="Courier New" w:eastAsia="Courier New" w:hAnsi="Courier New"/>
          <w:sz w:val="20"/>
          <w:szCs w:val="20"/>
        </w:rPr>
        <w:t xml:space="preserve">S_mem = (0.9/π)(R_out / h)</w:t>
      </w:r>
    </w:p>
    <w:p>
      <w:pPr>
        <w:spacing w:after="120"/>
      </w:pPr>
      <w:r>
        <w:t xml:space="preserve">This is the canonical exact gas-dependent memory law. The saturated approximation is not used for headline statistics.</w:t>
      </w:r>
    </w:p>
    <w:p>
      <w:pPr>
        <w:spacing w:after="120"/>
      </w:pPr>
      <w:r>
        <w:rPr>
          <w:b/>
          <w:bCs/>
        </w:rPr>
        <w:t xml:space="preserve">Gas fraction convention (v18 locked): </w:t>
      </w:r>
      <w:r>
        <w:t xml:space="preserve">f_gas is computed as V²_gas / (V²_gas + 0.5V²_disk + 0.7V²_bul) evaluated at r_out. This is the baryonic gas fraction, not the total-rotation fraction V²_gas/V²_obs. These two definitions differ by a factor of up to ~8 for gas-rich systems.</w:t>
      </w:r>
    </w:p>
    <w:p>
      <w:pPr>
        <w:pStyle w:val="Heading2"/>
      </w:pPr>
      <w:r>
        <w:rPr>
          <w:b/>
          <w:bCs/>
        </w:rPr>
        <w:t xml:space="preserve">4.3  Complete LTG law</w:t>
      </w:r>
    </w:p>
    <w:p>
      <w:pPr>
        <w:spacing w:after="120"/>
      </w:pPr>
      <w:r>
        <w:rPr>
          <w:rFonts w:ascii="Courier New" w:cs="Courier New" w:eastAsia="Courier New" w:hAnsi="Courier New"/>
          <w:sz w:val="20"/>
          <w:szCs w:val="20"/>
        </w:rPr>
        <w:t xml:space="preserve">V²(r) = V̄²_bar(r) + Γ0 × L_eff × [1 − exp(−(r/L_eff)ᵡ]</w:t>
      </w:r>
    </w:p>
    <w:p>
      <w:pPr>
        <w:spacing w:after="120"/>
      </w:pPr>
      <w:r>
        <w:t xml:space="preserve">where V̄²_bar = V²_gas + 0.5 V²_disk + 0.7 V²_bul, q = 0.77, Γ0 = 809.956.</w:t>
      </w:r>
    </w:p>
    <w:p>
      <w:pPr>
        <w:pStyle w:val="Heading2"/>
      </w:pPr>
      <w:r>
        <w:rPr>
          <w:b/>
          <w:bCs/>
        </w:rPr>
        <w:t xml:space="preserve">4.4  LTG global performance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00"/>
        <w:gridCol w:w="1700"/>
        <w:gridCol w:w="1700"/>
      </w:tblGrid>
      <w:tr>
        <w:tc>
          <w:tcPr>
            <w:tcW w:type="dxa" w:w="2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Sample</w:t>
            </w:r>
          </w:p>
        </w:tc>
        <w:tc>
          <w:tcPr>
            <w:tcW w:type="dxa" w:w="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2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Model</w:t>
            </w:r>
          </w:p>
        </w:tc>
        <w:tc>
          <w:tcPr>
            <w:tcW w:type="dxa" w:w="1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Median RMSE</w:t>
            </w:r>
          </w:p>
        </w:tc>
        <w:tc>
          <w:tcPr>
            <w:tcW w:type="dxa" w:w="1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Mean RMSE</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All LTGs</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memory law</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17.15 km/s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21.90 km/s</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upward-crossing</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52</w:t>
            </w:r>
          </w:p>
        </w:tc>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memory law</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21.28 km/s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22.94 km/s</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single-crossing</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w:t>
            </w:r>
          </w:p>
        </w:tc>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memory law</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27.59 km/s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37.50 km/s</w:t>
            </w:r>
          </w:p>
        </w:tc>
      </w:tr>
    </w:tbl>
    <w:p>
      <w:pPr>
        <w:spacing w:after="60"/>
      </w:pPr>
      <w:r>
        <w:t xml:space="preserve"/>
      </w:r>
    </w:p>
    <w:p>
      <w:pPr>
        <w:pStyle w:val="Heading1"/>
      </w:pPr>
      <w:r>
        <w:rPr>
          <w:b/>
          <w:bCs/>
        </w:rPr>
        <w:t xml:space="preserve">5.  LTG Outer Route Structure</w:t>
      </w:r>
    </w:p>
    <w:p>
      <w:pPr>
        <w:pStyle w:val="Heading2"/>
      </w:pPr>
      <w:r>
        <w:rPr>
          <w:b/>
          <w:bCs/>
        </w:rPr>
        <w:t xml:space="preserve">5.1  The outer load variable</w:t>
      </w:r>
    </w:p>
    <w:p>
      <w:pPr>
        <w:spacing w:after="120"/>
      </w:pPr>
      <w:r>
        <w:rPr>
          <w:rFonts w:ascii="Courier New" w:cs="Courier New" w:eastAsia="Courier New" w:hAnsi="Courier New"/>
          <w:sz w:val="20"/>
          <w:szCs w:val="20"/>
        </w:rPr>
        <w:t xml:space="preserve">u(r) = [V²_obs(r) − 0.5 V²_disk(r) − 0.7 V²_bul(r)] / (Γ0 r R_max)</w:t>
      </w:r>
    </w:p>
    <w:p>
      <w:pPr>
        <w:spacing w:after="120"/>
      </w:pPr>
      <w:r>
        <w:t xml:space="preserve">The outer gate criterion is u(r_out) &lt; 1. Route classification uses fine-grid interpolation with 10,000 radial points.</w:t>
      </w:r>
    </w:p>
    <w:p>
      <w:pPr>
        <w:pStyle w:val="Heading2"/>
      </w:pPr>
      <w:r>
        <w:rPr>
          <w:b/>
          <w:bCs/>
        </w:rPr>
        <w:t xml:space="preserve">5.2  Route counts (all verified from raw files)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45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Route</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Count</w:t>
            </w:r>
          </w:p>
        </w:tc>
        <w:tc>
          <w:tcPr>
            <w:tcW w:type="dxa" w:w="4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Low-load (u_out &lt; 1, no downward crossing)</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 upward-crossing</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52</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u(r) dips below 1, rises, then final descent</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 single-crossing</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No upward recrossing through u = 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Outer-infeasible (u_out ≥ 1)</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Total</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bl>
    <w:p>
      <w:pPr>
        <w:spacing w:after="60"/>
      </w:pPr>
      <w:r>
        <w:t xml:space="preserve"/>
      </w:r>
    </w:p>
    <w:p>
      <w:pPr>
        <w:spacing w:after="120"/>
      </w:pPr>
      <w:r>
        <w:t xml:space="preserve">Total galaxies with u(R₀) &lt; 0: 39 (15 CDC-upward, 17 CDC-low-load, 7 outer-infeasible).</w:t>
      </w:r>
    </w:p>
    <w:p>
      <w:pPr>
        <w:pStyle w:val="Heading2"/>
      </w:pPr>
      <w:r>
        <w:rPr>
          <w:b/>
          <w:bCs/>
        </w:rPr>
        <w:t xml:space="preserve">5.3  Buffered regime split and classifier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3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Predictor</w:t>
            </w:r>
          </w:p>
        </w:tc>
        <w:tc>
          <w:tcPr>
            <w:tcW w:type="dxa" w:w="1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AUC</w:t>
            </w:r>
          </w:p>
        </w:tc>
        <w:tc>
          <w:tcPr>
            <w:tcW w:type="dxa" w:w="4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−u(R₀)</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0.842</w:t>
            </w:r>
          </w:p>
        </w:tc>
        <w:tc>
          <w:tcPr>
            <w:tcW w:type="dxa" w:w="4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Dominant single predictor</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g_sep = −u(R₀) + 0.35 S_inner</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0.912</w:t>
            </w:r>
          </w:p>
        </w:tc>
        <w:tc>
          <w:tcPr>
            <w:tcW w:type="dxa" w:w="4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Best scalar, N=55 valid-inner subset</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g4 = −u(R₀) + 0.30S + 0.20(1−f_gas)</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0.931</w:t>
            </w:r>
          </w:p>
        </w:tc>
        <w:tc>
          <w:tcPr>
            <w:tcW w:type="dxa" w:w="4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N=55 valid-inner subset</w:t>
            </w:r>
          </w:p>
        </w:tc>
      </w:tr>
    </w:tbl>
    <w:p>
      <w:pPr>
        <w:spacing w:after="60"/>
      </w:pPr>
      <w:r>
        <w:t xml:space="preserve"/>
      </w:r>
    </w:p>
    <w:p>
      <w:pPr>
        <w:pStyle w:val="Heading2"/>
      </w:pPr>
      <w:r>
        <w:rPr>
          <w:b/>
          <w:bCs/>
        </w:rPr>
        <w:t xml:space="preserve">5.4  Single-crossing outer error model (Priority L)</w:t>
      </w:r>
    </w:p>
    <w:p>
      <w:pPr>
        <w:spacing w:after="120"/>
      </w:pPr>
      <w:r>
        <w:t xml:space="preserve">For the 25 single-crossing objects, outer error is organised by two independent scalars:</w:t>
      </w:r>
    </w:p>
    <w:p>
      <w:pPr>
        <w:spacing w:after="120"/>
      </w:pPr>
      <w:r>
        <w:rPr>
          <w:rFonts w:ascii="Courier New" w:cs="Courier New" w:eastAsia="Courier New" w:hAnsi="Courier New"/>
          <w:sz w:val="20"/>
          <w:szCs w:val="20"/>
        </w:rPr>
        <w:t xml:space="preserve">g = memory_load × x_cross_norm,   memory_load = (1 − f_gas)(r_out/h)</w:t>
      </w:r>
    </w:p>
    <w:p>
      <w:pPr>
        <w:spacing w:after="120"/>
      </w:pPr>
      <w:r>
        <w:rPr>
          <w:rFonts w:ascii="Courier New" w:cs="Courier New" w:eastAsia="Courier New" w:hAnsi="Courier New"/>
          <w:sz w:val="20"/>
          <w:szCs w:val="20"/>
        </w:rPr>
        <w:t xml:space="preserve">L_gap = L_sat − L_exact</w:t>
      </w:r>
    </w:p>
    <w:p>
      <w:pPr>
        <w:spacing w:after="120"/>
      </w:pPr>
      <w:r>
        <w:rPr>
          <w:b/>
          <w:bCs/>
        </w:rPr>
        <w:t xml:space="preserve">Canonical model (locked, paper-ready):</w:t>
      </w:r>
    </w:p>
    <w:p>
      <w:pPr>
        <w:spacing w:after="120"/>
      </w:pPr>
      <w:r>
        <w:rPr>
          <w:rFonts w:ascii="Courier New" w:cs="Courier New" w:eastAsia="Courier New" w:hAnsi="Courier New"/>
          <w:sz w:val="20"/>
          <w:szCs w:val="20"/>
        </w:rPr>
        <w:t xml:space="preserve">outer_MAE ≈ −10.315 + 8.645 g + 10.508 L_gap</w:t>
      </w:r>
    </w:p>
    <w:p>
      <w:pPr>
        <w:spacing w:after="120"/>
      </w:pPr>
      <w:r>
        <w:t xml:space="preserve">Applicability: h ≥ R[0]; exact gas-dependent L_eff; outer MAE over R ≥ x_cross. Canonical membership: strict N=19, clean N=18 (strict minus UGC03580).</w:t>
      </w:r>
    </w:p>
    <w:p>
      <w:pPr>
        <w:spacing w:after="120"/>
      </w:pPr>
      <w:r>
        <w:rPr>
          <w:b/>
          <w:bCs/>
        </w:rPr>
        <w:t xml:space="preserve">Strict N=19 membership: </w:t>
      </w:r>
      <w:r>
        <w:t xml:space="preserve">F579-V1, NGC1705, NGC2403, NGC2841, NGC2998, NGC3953, NGC4183, NGC4214, NGC5371, NGC5907, NGC6674, UGC02259, UGC02885, UGC03580, UGC04325, UGC05721, UGC06786, UGC08490, UGC12506.</w:t>
      </w:r>
    </w:p>
    <w:p>
      <w:pPr>
        <w:pStyle w:val="Heading3"/>
      </w:pPr>
      <w:r>
        <w:rPr>
          <w:b/>
          <w:bCs/>
        </w:rPr>
        <w:t xml:space="preserve">5.4.1  Robustness table (EXP41)</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
        <w:gridCol w:w="800"/>
        <w:gridCol w:w="1400"/>
        <w:gridCol w:w="1300"/>
        <w:gridCol w:w="1000"/>
      </w:tblGrid>
      <w:tr>
        <w:tc>
          <w:tcPr>
            <w:tcW w:type="dxa" w:w="3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Guard</w:t>
            </w:r>
          </w:p>
        </w:tc>
        <w:tc>
          <w:tcPr>
            <w:tcW w:type="dxa" w:w="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LOO RMSE</w:t>
            </w:r>
          </w:p>
        </w:tc>
        <w:tc>
          <w:tcPr>
            <w:tcW w:type="dxa" w:w="1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Spearman</w:t>
            </w:r>
          </w:p>
        </w:tc>
        <w:tc>
          <w:tcPr>
            <w:tcW w:type="dxa" w:w="1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Top-5 LOO</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N=19</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0.874</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10.057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0.888</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Clean −UGC03580</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0.870</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10.480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0.887</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n_outer≥2</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0.891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10.328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0.929</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Clean n_outer≥2</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0.888</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10.824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0.924</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−NGC3953</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0.877</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10.487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0.889</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−UGC04325</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0.887</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9.913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0.920</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−both 1-pt</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0.891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10.328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0.929</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bl>
    <w:p>
      <w:pPr>
        <w:spacing w:after="60"/>
      </w:pPr>
      <w:r>
        <w:t xml:space="preserve"/>
      </w:r>
    </w:p>
    <w:p>
      <w:pPr>
        <w:spacing w:after="120"/>
      </w:pPr>
      <w:r>
        <w:t xml:space="preserve">Top-5 actual: NGC2841, NGC6674, UGC02885, UGC06786, UGC12506 (unchanged across all guards). Jackknife g coefficient: 7.64–9.29. Jackknife L_gap coefficient: 9.39–11.10.</w:t>
      </w:r>
    </w:p>
    <w:p>
      <w:pPr>
        <w:pStyle w:val="Heading3"/>
      </w:pPr>
      <w:r>
        <w:rPr>
          <w:b/>
          <w:bCs/>
        </w:rPr>
        <w:t xml:space="preserve">5.4.2  Edge cases</w:t>
      </w:r>
    </w:p>
    <w:p>
      <w:pPr>
        <w:spacing w:after="120"/>
      </w:pPr>
      <w:r>
        <w:t xml:space="preserve">UGC03580: x_cross_norm = 0.008, n_outer = 46. Inner-cusp artefact. Excluded from clean set. NGC3953: x_cross_norm = 0.9985, n_outer = 1. Genuine positive-residual late-load case at canonical u = 1; threshold-fragile (infeasible at u = 0.995). Kept in strict N=19 with explicit flags. UGC04325: x_cross_norm = 0.929, n_outer = 1. Route-stable; permanently one-point outer MAE. UGC06786: x_cross_norm = 0.838, n_outer = 3; curvature A = −0.495 (negative); u_0.75 = 1.178.</w:t>
      </w:r>
    </w:p>
    <w:p>
      <w:pPr>
        <w:spacing w:after="120"/>
      </w:pPr>
      <w:r>
        <w:rPr>
          <w:b/>
          <w:bCs/>
        </w:rPr>
        <w:t xml:space="preserve">Supercritical sub-population (u₀.₇₅ &gt; 1): </w:t>
      </w:r>
      <w:r>
        <w:t xml:space="preserve">NGC3953, UGC04325, UGC06786. Genuine late-load cases. Appear in both Priority L residual structure and LTG curvature analysis. Physically coherent late-load population.</w:t>
      </w:r>
    </w:p>
    <w:p>
      <w:pPr>
        <w:pStyle w:val="Heading3"/>
      </w:pPr>
      <w:r>
        <w:rPr>
          <w:b/>
          <w:bCs/>
        </w:rPr>
        <w:t xml:space="preserve">5.4.3  Three-variable extension (diagnostic only)</w:t>
      </w:r>
    </w:p>
    <w:p>
      <w:pPr>
        <w:spacing w:after="120"/>
      </w:pPr>
      <w:r>
        <w:t xml:space="preserve">Adding u_0.75 to the baseline improves LOO from 10.06 to 8.35 km/s on strict N=19. However, this advantage is driven by the three supercritical galaxies (u_0.75 &gt; 1). When those three are removed: u_0.75 LOO = 9.74 km/s vs baseline 9.04 km/s — the three-variable form performs </w:t>
      </w:r>
      <w:r>
        <w:rPr>
          <w:b/>
          <w:bCs/>
        </w:rPr>
        <w:t xml:space="preserve">worse than baseline</w:t>
      </w:r>
      <w:r>
        <w:t xml:space="preserve"> on the subcritical majority. On that same subcritical set, u_out achieves LOO = 7.79 km/s but loses top-5 ranking (3/5 vs baseline 4/5). Three-variable extensions are therefore recorded as diagnostic results, not promoted to canonical. The two-scalar g + L_gap model remains canonical.</w:t>
      </w:r>
    </w:p>
    <w:p>
      <w:pPr>
        <w:pStyle w:val="Heading3"/>
      </w:pPr>
      <w:r>
        <w:rPr>
          <w:b/>
          <w:bCs/>
        </w:rPr>
        <w:t xml:space="preserve">5.4.4  Late-load diagnostic (final)</w:t>
      </w:r>
    </w:p>
    <w:p>
      <w:pPr>
        <w:spacing w:after="120"/>
      </w:pPr>
      <w:r>
        <w:rPr>
          <w:rFonts w:ascii="Courier New" w:cs="Courier New" w:eastAsia="Courier New" w:hAnsi="Courier New"/>
          <w:sz w:val="20"/>
          <w:szCs w:val="20"/>
        </w:rPr>
        <w:t xml:space="preserve">u_out &gt; 0.64  AND  h/r_out &gt; 0.095</w:t>
      </w:r>
    </w:p>
    <w:p>
      <w:pPr>
        <w:spacing w:after="120"/>
      </w:pPr>
      <w:r>
        <w:t xml:space="preserve">TP = 5, FP = 0, Precision = 1.000, Recall = 0.500, F1 = 0.667, p = 0.000172. Grid-optimal precision-1 diagnostic — no alternative achieves precision = 1 with better recall (EXP26, confirmed final).</w:t>
      </w:r>
    </w:p>
    <w:p>
      <w:pPr>
        <w:pStyle w:val="Heading2"/>
      </w:pPr>
      <w:r>
        <w:rPr>
          <w:b/>
          <w:bCs/>
        </w:rPr>
        <w:t xml:space="preserve">5.5  CDC-low-load branch</w:t>
      </w:r>
    </w:p>
    <w:p>
      <w:pPr>
        <w:spacing w:after="120"/>
      </w:pPr>
      <w:r>
        <w:t xml:space="preserve">17 LTG galaxies with u(R₀) &lt; 0 and max u(r) &lt; 1 form a structurally distinct route. Members: NGC4217, NGC5055, NGC7331, NGC4389, NGC4085, UGC09037, UGC06614, NGC4088, UGC02455, UGC11557, NGC3769, UGC04305, F574-2, CamB, UGC08837, NGC4068, NGC0100. Full-curve RMSE model: RMSE ≈ 0.821 + 2.754·rise_amp + 70.703·(h/r_out), R² = 0.576, LOO ≈ 8.9 km/s. No outer MAE correction law exists. Treated as route taxonomy only.</w:t>
      </w:r>
    </w:p>
    <w:p>
      <w:pPr>
        <w:pStyle w:val="Heading2"/>
      </w:pPr>
      <w:r>
        <w:rPr>
          <w:b/>
          <w:bCs/>
        </w:rPr>
        <w:t xml:space="preserve">5.6  Crossing-window curvature structure (LTG)</w:t>
      </w:r>
    </w:p>
    <w:p>
      <w:pPr>
        <w:spacing w:after="120"/>
      </w:pPr>
      <w:r>
        <w:t xml:space="preserve">For the strict N=19 single-crossing LTGs, the endpoint-normalised window y(t) = (1−u(t))/(1−u_out) is fit by y(t) ≈ t + A·t(1−t). The curvature coefficient A is controlled by retained load:</w:t>
      </w:r>
    </w:p>
    <w:p>
      <w:pPr>
        <w:spacing w:after="120"/>
      </w:pPr>
      <w:r>
        <w:rPr>
          <w:rFonts w:ascii="Courier New" w:cs="Courier New" w:eastAsia="Courier New" w:hAnsi="Courier New"/>
          <w:sz w:val="20"/>
          <w:szCs w:val="20"/>
        </w:rPr>
        <w:t xml:space="preserve">A ≈ −2.671 + 2.735 / √u_0.75     (strict N=19, R² = 0.781, LOO = 0.316)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c>
          <w:tcPr>
            <w:tcW w:type="dxa" w:w="3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Transform</w:t>
            </w:r>
          </w:p>
        </w:tc>
        <w:tc>
          <w:tcPr>
            <w:tcW w:type="dxa" w:w="2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 strict N=19</w:t>
            </w:r>
          </w:p>
        </w:tc>
        <w:tc>
          <w:tcPr>
            <w:tcW w:type="dxa" w:w="2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LOO strict N=19</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u_0.75</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0.677</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0.392</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√(u_0.75)</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0.720</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0.366</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log(u_0.75)</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0.756</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0.340</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1/√(u_0.75)  ← best tested</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0.781</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0.316</w:t>
            </w:r>
          </w:p>
        </w:tc>
      </w:tr>
    </w:tbl>
    <w:p>
      <w:pPr>
        <w:spacing w:after="60"/>
      </w:pPr>
      <w:r>
        <w:t xml:space="preserve"/>
      </w:r>
    </w:p>
    <w:p>
      <w:pPr>
        <w:spacing w:after="120"/>
      </w:pPr>
      <w:r>
        <w:t xml:space="preserve">1/√(u_0.75) is jackknife sign-stable across all five tested subsets (slope range 2.42–3.11). The three supercritical galaxies (u_0.75 &gt; 1) are at the boundary of the model’s domain but remain in the fit; the model extrapolates for these cases. LTG curvature is load-retention-controlled, structurally different from ETG interval-geometry control (see §9.3).</w:t>
      </w:r>
    </w:p>
    <w:p>
      <w:pPr>
        <w:spacing w:after="120"/>
      </w:pPr>
      <w:r>
        <w:rPr>
          <w:b/>
          <w:bCs/>
        </w:rPr>
        <w:t xml:space="preserve">Additional curvature fits:</w:t>
      </w:r>
    </w:p>
    <w:p>
      <w:pPr>
        <w:spacing w:after="120"/>
      </w:pPr>
      <w:r>
        <w:rPr>
          <w:rFonts w:ascii="Courier New" w:cs="Courier New" w:eastAsia="Courier New" w:hAnsi="Courier New"/>
          <w:sz w:val="20"/>
          <w:szCs w:val="20"/>
        </w:rPr>
        <w:t xml:space="preserve">Buffered N=25:  A = −2.544 + 2.641/√u_0.75,  R² = 0.764, LOO = 0.289</w:t>
      </w:r>
    </w:p>
    <w:p>
      <w:pPr>
        <w:spacing w:after="120"/>
      </w:pPr>
      <w:r>
        <w:rPr>
          <w:rFonts w:ascii="Courier New" w:cs="Courier New" w:eastAsia="Courier New" w:hAnsi="Courier New"/>
          <w:sz w:val="20"/>
          <w:szCs w:val="20"/>
        </w:rPr>
        <w:t xml:space="preserve">Strict17 no 1-pt: A = −2.910 + 2.916/√u_0.75,  R² = 0.773, LOO = 0.327</w:t>
      </w:r>
    </w:p>
    <w:p>
      <w:pPr>
        <w:pStyle w:val="Heading2"/>
      </w:pPr>
      <w:r>
        <w:rPr>
          <w:b/>
          <w:bCs/>
        </w:rPr>
        <w:t xml:space="preserve">5.7  All-LTG u-profile PC1 taxonomy</w:t>
      </w:r>
    </w:p>
    <w:p>
      <w:pPr>
        <w:spacing w:after="120"/>
      </w:pPr>
      <w:r>
        <w:t xml:space="preserve">The PC1 of the all-LTG u(r/r_out) profile family is ≈0.81 (x_min = 0.05, 200-point grid). This is lower than the ETG crossing-window PC1 = 99.82% due to route-class mixing, not a weaker attractor. By route class: low-load PC1 = 0.813, single-crossing = 0.758, outer-infeasible = 0.911, upward-crossing = 0.668. The relevant Priority G comparison is ETG crossing-window PC1 = 99.82% vs single-crossing LTG PC1 = 0.758.</w:t>
      </w:r>
    </w:p>
    <w:p>
      <w:pPr>
        <w:pStyle w:val="Heading1"/>
      </w:pPr>
      <w:r>
        <w:rPr>
          <w:b/>
          <w:bCs/>
        </w:rPr>
        <w:t xml:space="preserve">6.  Inner Feasibility and the S-Law</w:t>
      </w:r>
    </w:p>
    <w:p>
      <w:pPr>
        <w:pStyle w:val="Heading2"/>
      </w:pPr>
      <w:r>
        <w:rPr>
          <w:b/>
          <w:bCs/>
        </w:rPr>
        <w:t xml:space="preserve">6.1  The completion ratio</w:t>
      </w:r>
    </w:p>
    <w:p>
      <w:pPr>
        <w:spacing w:after="120"/>
      </w:pPr>
      <w:r>
        <w:rPr>
          <w:rFonts w:ascii="Courier New" w:cs="Courier New" w:eastAsia="Courier New" w:hAnsi="Courier New"/>
          <w:sz w:val="20"/>
          <w:szCs w:val="20"/>
        </w:rPr>
        <w:t xml:space="preserve">Q12 = V̄²_bar(0.5h) / V̄²_bar(h),   Q14 = V̄²_bar(0.25h) / V̄²_bar(h),   Δ = 1 − Q12,   S = Q14 / Δ</w:t>
      </w:r>
    </w:p>
    <w:p>
      <w:pPr>
        <w:pStyle w:val="Heading2"/>
      </w:pPr>
      <w:r>
        <w:rPr>
          <w:b/>
          <w:bCs/>
        </w:rPr>
        <w:t xml:space="preserve">6.2  LTG S-law</w:t>
      </w:r>
    </w:p>
    <w:p>
      <w:pPr>
        <w:spacing w:after="120"/>
      </w:pPr>
      <w:r>
        <w:rPr>
          <w:rFonts w:ascii="Courier New" w:cs="Courier New" w:eastAsia="Courier New" w:hAnsi="Courier New"/>
          <w:sz w:val="20"/>
          <w:szCs w:val="20"/>
        </w:rPr>
        <w:t xml:space="preserve">U_max ≈ 0.2403 − 0.0700 ln(S),   R² = 0.919   (legacy N = 141)</w:t>
      </w:r>
    </w:p>
    <w:p>
      <w:pPr>
        <w:pStyle w:val="Heading2"/>
      </w:pPr>
      <w:r>
        <w:rPr>
          <w:b/>
          <w:bCs/>
        </w:rPr>
        <w:t xml:space="preserve">6.3  ETG S-law</w:t>
      </w:r>
    </w:p>
    <w:p>
      <w:pPr>
        <w:spacing w:after="120"/>
      </w:pPr>
      <w:r>
        <w:rPr>
          <w:rFonts w:ascii="Courier New" w:cs="Courier New" w:eastAsia="Courier New" w:hAnsi="Courier New"/>
          <w:sz w:val="20"/>
          <w:szCs w:val="20"/>
        </w:rPr>
        <w:t xml:space="preserve">U_max ≈ 0.2325 − 0.0578 ln(S),   R² = 0.851,   p = 3.6×10⁻⁷   (N = 16)</w:t>
      </w:r>
    </w:p>
    <w:p>
      <w:pPr>
        <w:pStyle w:val="Heading2"/>
      </w:pPr>
      <w:r>
        <w:rPr>
          <w:b/>
          <w:bCs/>
        </w:rPr>
        <w:t xml:space="preserve">6.4  Cross-type comparison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600"/>
        <w:gridCol w:w="1400"/>
        <w:gridCol w:w="1200"/>
        <w:gridCol w:w="1400"/>
      </w:tblGrid>
      <w:tr>
        <w:tc>
          <w:tcPr>
            <w:tcW w:type="dxa" w:w="1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Population</w:t>
            </w:r>
          </w:p>
        </w:tc>
        <w:tc>
          <w:tcPr>
            <w:tcW w:type="dxa" w:w="6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16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A (intercept)</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B (slope)</w:t>
            </w:r>
          </w:p>
        </w:tc>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 implied</w:t>
            </w:r>
          </w:p>
        </w:tc>
      </w:tr>
      <w:tr>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w:t>
            </w:r>
          </w:p>
        </w:tc>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0.2325</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−0.0578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0.851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1.70</w:t>
            </w:r>
          </w:p>
        </w:tc>
      </w:tr>
      <w:tr>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legacy</w:t>
            </w:r>
          </w:p>
        </w:tc>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141</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0.2403</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−0.0700</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0.919</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1.73</w:t>
            </w:r>
          </w:p>
        </w:tc>
      </w:tr>
      <w:tr>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strict</w:t>
            </w:r>
          </w:p>
        </w:tc>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124</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0.2391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−0.0697</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0.920</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1.72</w:t>
            </w:r>
          </w:p>
        </w:tc>
      </w:tr>
    </w:tbl>
    <w:p>
      <w:pPr>
        <w:spacing w:after="60"/>
      </w:pPr>
      <w:r>
        <w:t xml:space="preserve"/>
      </w:r>
    </w:p>
    <w:p>
      <w:pPr>
        <w:pStyle w:val="Heading1"/>
      </w:pPr>
      <w:r>
        <w:rPr>
          <w:b/>
          <w:bCs/>
        </w:rPr>
        <w:t xml:space="preserve">7.  ETG Response Sector — Overview</w:t>
      </w:r>
    </w:p>
    <w:p>
      <w:pPr>
        <w:spacing w:after="120"/>
      </w:pPr>
      <w:r>
        <w:t xml:space="preserve">ETGs form a multi-family, multi-sign response sector organised by the four-condition intersection in §8. The five ETG families by support signature ΔV²(r):</w:t>
      </w:r>
    </w:p>
    <w:p>
      <w:pPr>
        <w:spacing w:after="120"/>
      </w:pPr>
      <w:r>
        <w:rPr>
          <w:b/>
          <w:bCs/>
        </w:rPr>
        <w:t xml:space="preserve">H+ single-channel:</w:t>
      </w:r>
      <w:r>
        <w:t xml:space="preserve"> NGC2685, NGC3626, NGC3941 — sign-changing, all four conditions satisfied.</w:t>
      </w:r>
    </w:p>
    <w:p>
      <w:pPr>
        <w:spacing w:after="120"/>
      </w:pPr>
      <w:r>
        <w:rPr>
          <w:b/>
          <w:bCs/>
        </w:rPr>
        <w:t xml:space="preserve">H+ two-channel:</w:t>
      </w:r>
      <w:r>
        <w:t xml:space="preserve"> NGC4203 — sign-changing, outer capacity exceeded.</w:t>
      </w:r>
    </w:p>
    <w:p>
      <w:pPr>
        <w:spacing w:after="120"/>
      </w:pPr>
      <w:r>
        <w:rPr>
          <w:b/>
          <w:bCs/>
        </w:rPr>
        <w:t xml:space="preserve">Class B:</w:t>
      </w:r>
      <w:r>
        <w:t xml:space="preserve"> NGC3838 — inner/outer-feasible, sign-wrong only.</w:t>
      </w:r>
    </w:p>
    <w:p>
      <w:pPr>
        <w:spacing w:after="120"/>
      </w:pPr>
      <w:r>
        <w:rPr>
          <w:b/>
          <w:bCs/>
        </w:rPr>
        <w:t xml:space="preserve">Class C:</w:t>
      </w:r>
      <w:r>
        <w:t xml:space="preserve"> NGC4262 — inner-feasible, sign-wrong and outer-wrong.</w:t>
      </w:r>
    </w:p>
    <w:p>
      <w:pPr>
        <w:spacing w:after="120"/>
      </w:pPr>
      <w:r>
        <w:rPr>
          <w:b/>
          <w:bCs/>
        </w:rPr>
        <w:t xml:space="preserve">D1 (outer-capacity fail):</w:t>
      </w:r>
      <w:r>
        <w:t xml:space="preserve"> NGC2824, NGC2859, NGC2974.</w:t>
      </w:r>
    </w:p>
    <w:p>
      <w:pPr>
        <w:spacing w:after="120"/>
      </w:pPr>
      <w:r>
        <w:rPr>
          <w:b/>
          <w:bCs/>
        </w:rPr>
        <w:t xml:space="preserve">D2 (double fail):</w:t>
      </w:r>
      <w:r>
        <w:t xml:space="preserve"> NGC3945, NGC3998, NGC4278, NGC5582*.</w:t>
      </w:r>
    </w:p>
    <w:p>
      <w:pPr>
        <w:spacing w:after="120"/>
      </w:pPr>
      <w:r>
        <w:rPr>
          <w:b/>
          <w:bCs/>
        </w:rPr>
        <w:t xml:space="preserve">Class E (wrong profile family):</w:t>
      </w:r>
      <w:r>
        <w:t xml:space="preserve"> NGC3522, NGC6798, UGC6176.</w:t>
      </w:r>
    </w:p>
    <w:p>
      <w:pPr>
        <w:spacing w:after="120"/>
      </w:pPr>
      <w:r>
        <w:rPr>
          <w:i/>
          <w:iCs/>
        </w:rPr>
        <w:t xml:space="preserve">*NGC5582: S = 1.647 passes the S &lt; 1.70 threshold, but U_max = 0.178 &lt; U* = 0.202. Borderline S-threshold miss.</w:t>
      </w:r>
    </w:p>
    <w:p>
      <w:pPr>
        <w:pStyle w:val="Heading2"/>
      </w:pPr>
      <w:r>
        <w:rPr>
          <w:b/>
          <w:bCs/>
        </w:rPr>
        <w:t xml:space="preserve">7.1  External population distinctiveness</w:t>
      </w:r>
    </w:p>
    <w:p>
      <w:pPr>
        <w:pStyle w:val="Heading3"/>
      </w:pPr>
      <w:r>
        <w:rPr>
          <w:b/>
          <w:bCs/>
        </w:rPr>
        <w:t xml:space="preserve">7.1.1  Disk-buffered pair (NGC3522, NGC6798) — triple confirmation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15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Indicator</w:t>
            </w:r>
          </w:p>
        </w:tc>
        <w:tc>
          <w:tcPr>
            <w:tcW w:type="dxa" w:w="1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Pair median</w:t>
            </w:r>
          </w:p>
        </w:tc>
        <w:tc>
          <w:tcPr>
            <w:tcW w:type="dxa" w:w="1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Rank / 120 pairs</w:t>
            </w:r>
          </w:p>
        </w:tc>
        <w:tc>
          <w:tcPr>
            <w:tcW w:type="dxa" w:w="1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p-value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Outward age increase Δage (Gyr)</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+10.15</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Metallicity gradient ΔZ_H (dex)</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−0.79</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0.017</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Poci M/L ratio (outer/inner)</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0.636</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Combined rank-sum (3 indicators)</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0.008</w:t>
            </w:r>
          </w:p>
        </w:tc>
      </w:tr>
    </w:tbl>
    <w:p>
      <w:pPr>
        <w:spacing w:after="60"/>
      </w:pPr>
      <w:r>
        <w:t xml:space="preserve"/>
      </w:r>
    </w:p>
    <w:p>
      <w:pPr>
        <w:pStyle w:val="Heading3"/>
      </w:pPr>
      <w:r>
        <w:rPr>
          <w:b/>
          <w:bCs/>
        </w:rPr>
        <w:t xml:space="preserve">7.1.2  Main ETG branch — gas/star kinematic alignment</w:t>
      </w:r>
    </w:p>
    <w:p>
      <w:pPr>
        <w:spacing w:after="120"/>
      </w:pPr>
      <w:r>
        <w:t xml:space="preserve">Main ETGs (NGC2685, NGC3626, NGC3838, NGC3941, NGC4203) show uniform gas/star PA alignment (all offsets &lt; 30°). Robust named offset cases: NGC2685 (72°), NGC3941 (49°), NGC4262 (59°), NGC3998 (42°). H+/H− grouped enrichment does not survive all-pairs test (p = 0.18) and is not promoted.</w:t>
      </w:r>
    </w:p>
    <w:p>
      <w:pPr>
        <w:pStyle w:val="Heading1"/>
      </w:pPr>
      <w:r>
        <w:rPr>
          <w:b/>
          <w:bCs/>
        </w:rPr>
        <w:t xml:space="preserve">8.  Four-Condition Intersection Structure</w:t>
      </w:r>
    </w:p>
    <w:p>
      <w:pPr>
        <w:pStyle w:val="Heading2"/>
      </w:pPr>
      <w:r>
        <w:rPr>
          <w:b/>
          <w:bCs/>
        </w:rPr>
        <w:t xml:space="preserve">8.1  The four conditions</w:t>
      </w:r>
    </w:p>
    <w:p>
      <w:pPr>
        <w:spacing w:after="120"/>
      </w:pPr>
      <w:r>
        <w:rPr>
          <w:b/>
          <w:bCs/>
        </w:rPr>
        <w:t xml:space="preserve">Condition 1 — Profile family:</w:t>
      </w:r>
      <w:r>
        <w:t xml:space="preserve"> Viable locus: Δ ≈ 0.31–0.46, Q14 ≈ 0.19–0.26.</w:t>
      </w:r>
    </w:p>
    <w:p>
      <w:pPr>
        <w:spacing w:after="120"/>
      </w:pPr>
      <w:r>
        <w:rPr>
          <w:b/>
          <w:bCs/>
        </w:rPr>
        <w:t xml:space="preserve">Condition 2 — Sign gate:</w:t>
      </w:r>
      <w:r>
        <w:t xml:space="preserve"> Ω_in = V̄²_bar(r_in) / V²_obs(r_in) &gt; 1</w:t>
      </w:r>
    </w:p>
    <w:p>
      <w:pPr>
        <w:spacing w:after="120"/>
      </w:pPr>
      <w:r>
        <w:rPr>
          <w:b/>
          <w:bCs/>
        </w:rPr>
        <w:t xml:space="preserve">Condition 3 — Inner feasibility:</w:t>
      </w:r>
      <w:r>
        <w:t xml:space="preserve"> S = Q14/Δ organises U_max. Threshold S ≲ 1.70 gives 15/16 correct.</w:t>
      </w:r>
    </w:p>
    <w:p>
      <w:pPr>
        <w:spacing w:after="120"/>
      </w:pPr>
      <w:r>
        <w:rPr>
          <w:b/>
          <w:bCs/>
        </w:rPr>
        <w:t xml:space="preserve">Condition 4 — Outer capacity:</w:t>
      </w:r>
      <w:r>
        <w:t xml:space="preserve"> u = (V²_obs(r_out) − V̄²_bar(r_out)) / (Γ0 r_out R_max) ≤ 1</w:t>
      </w:r>
    </w:p>
    <w:p>
      <w:pPr>
        <w:pStyle w:val="Heading2"/>
      </w:pPr>
      <w:r>
        <w:rPr>
          <w:b/>
          <w:bCs/>
        </w:rPr>
        <w:t xml:space="preserve">8.2  Canonical ETG decision table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900"/>
        <w:gridCol w:w="900"/>
        <w:gridCol w:w="900"/>
        <w:gridCol w:w="900"/>
        <w:gridCol w:w="800"/>
      </w:tblGrid>
      <w:tr>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Galaxy</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Δ</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Q14</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Ω_in</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U_max</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Class</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NGC2685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0.4552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0.1944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1.1231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0.4981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NGC2824</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0.6161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0.1252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0.203</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0.4529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1.3118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0.343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D1</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NGC2859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0.3505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0.3381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0.965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0.8378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1.4878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0.223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D1</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NGC2974</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0.2979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0.3027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0.6030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3.9166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D1</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NGC3522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0.4846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0.1386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0.286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0.4375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0.7395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0.282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NGC3626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0.3821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0.2040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0.534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1.3160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0.7334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NGC3838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0.3760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0.2097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0.558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0.7052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0.9133</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0.235</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0.3142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0.829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1.2246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0.7738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0.216</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0.2278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0.5396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2.369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0.6882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1.6309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0.167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NGC3998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0.0219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0.6722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30.58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0.4735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2.5880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0.088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NGC4203</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0.0617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0.6208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1.2757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1.3374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0.107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D2(2ch)</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NGC4262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0.3887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0.521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0.4159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2.2636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0.245</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NGC4278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0.0927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0.6327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6.824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0.5656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2.8116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0.112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NGC5582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0.2178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0.3587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1.647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0.5539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1.5049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0.178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NGC6798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0.6899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0.0887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0.129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0.2378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0.7606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0.388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UGC6176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0.6690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0.1655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0.2491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0.8817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0.414</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w:t>
            </w:r>
          </w:p>
        </w:tc>
      </w:tr>
    </w:tbl>
    <w:p>
      <w:pPr>
        <w:spacing w:after="60"/>
      </w:pPr>
      <w:r>
        <w:t xml:space="preserve"/>
      </w:r>
    </w:p>
    <w:p>
      <w:pPr>
        <w:spacing w:after="120"/>
      </w:pPr>
      <w:r>
        <w:rPr>
          <w:i/>
          <w:iCs/>
        </w:rPr>
        <w:t xml:space="preserve">Class A = single-channel H+. *D2: borderline U_max miss. All values verified from raw files.</w:t>
      </w:r>
    </w:p>
    <w:p>
      <w:pPr>
        <w:pStyle w:val="Heading1"/>
      </w:pPr>
      <w:r>
        <w:rPr>
          <w:b/>
          <w:bCs/>
        </w:rPr>
        <w:t xml:space="preserve">9.  Outer Gate Structure</w:t>
      </w:r>
    </w:p>
    <w:p>
      <w:pPr>
        <w:pStyle w:val="Heading2"/>
      </w:pPr>
      <w:r>
        <w:rPr>
          <w:b/>
          <w:bCs/>
        </w:rPr>
        <w:t xml:space="preserve">9.1  Exact outer viability boundary</w:t>
      </w:r>
    </w:p>
    <w:p>
      <w:pPr>
        <w:spacing w:after="120"/>
      </w:pPr>
      <w:r>
        <w:rPr>
          <w:rFonts w:ascii="Courier New" w:cs="Courier New" w:eastAsia="Courier New" w:hAnsi="Courier New"/>
          <w:sz w:val="20"/>
          <w:szCs w:val="20"/>
        </w:rPr>
        <w:t xml:space="preserve">X_out = V²_obs(r_out) / (Γ0 r_out),   R_d = 0.5 V²_disk(r_out)/V²_obs(r_out)</w:t>
      </w:r>
    </w:p>
    <w:p>
      <w:pPr>
        <w:spacing w:after="120"/>
      </w:pPr>
      <w:r>
        <w:rPr>
          <w:rFonts w:ascii="Courier New" w:cs="Courier New" w:eastAsia="Courier New" w:hAnsi="Courier New"/>
          <w:sz w:val="20"/>
          <w:szCs w:val="20"/>
        </w:rPr>
        <w:t xml:space="preserve">δu ≡ 1 − u = (X_crit − X_out) / X_crit</w:t>
      </w:r>
    </w:p>
    <w:p>
      <w:pPr>
        <w:spacing w:after="120"/>
      </w:pPr>
      <w:r>
        <w:t xml:space="preserve">This identity holds to floating-point precision for all 16 ETGs (max deviation &lt; 5×10⁻¹⁶, verified).</w:t>
      </w:r>
    </w:p>
    <w:p>
      <w:pPr>
        <w:pStyle w:val="Heading2"/>
      </w:pPr>
      <w:r>
        <w:rPr>
          <w:b/>
          <w:bCs/>
        </w:rPr>
        <w:t xml:space="preserve">9.2  Two viable outer routes and crossing structure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100"/>
        <w:gridCol w:w="1500"/>
        <w:gridCol w:w="1000"/>
        <w:gridCol w:w="1700"/>
      </w:tblGrid>
      <w:tr>
        <w:tc>
          <w:tcPr>
            <w:tcW w:type="dxa" w:w="1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Galaxy</w:t>
            </w:r>
          </w:p>
        </w:tc>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r_out (kpc)</w:t>
            </w:r>
          </w:p>
        </w:tc>
        <w:tc>
          <w:tcPr>
            <w:tcW w:type="dxa" w:w="11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u(r_out)</w:t>
            </w:r>
          </w:p>
        </w:tc>
        <w:tc>
          <w:tcPr>
            <w:tcW w:type="dxa" w:w="1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r_cross/r_out</w:t>
            </w:r>
          </w:p>
        </w:tc>
        <w:tc>
          <w:tcPr>
            <w:tcW w:type="dxa" w:w="1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δu</w:t>
            </w:r>
          </w:p>
        </w:tc>
        <w:tc>
          <w:tcPr>
            <w:tcW w:type="dxa" w:w="1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Route</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NGC2685</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24.98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0.4981</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0.488</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+0.502</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Low-load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NGC3522</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10.38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0.7395</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0.861</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+0.261</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NGC3626</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13.32</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0.7334</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0.843</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+0.267</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NGC3838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16.80</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0.9133</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0.953</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+0.087</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NGC3941</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11.72</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0.7738</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0.848</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+0.226</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NGC6798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27.13</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0.7606</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0.783</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+0.239</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UGC6176</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11.43</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0.8817</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0.932</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+0.118</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bl>
    <w:p>
      <w:pPr>
        <w:spacing w:after="60"/>
      </w:pPr>
      <w:r>
        <w:t xml:space="preserve"/>
      </w:r>
    </w:p>
    <w:p>
      <w:pPr>
        <w:pStyle w:val="Heading2"/>
      </w:pPr>
      <w:r>
        <w:rPr>
          <w:b/>
          <w:bCs/>
        </w:rPr>
        <w:t xml:space="preserve">9.3  Crossing-window geometry</w:t>
      </w:r>
    </w:p>
    <w:p>
      <w:pPr>
        <w:spacing w:after="120"/>
      </w:pPr>
      <w:r>
        <w:t xml:space="preserve">The six disk-buffered ETGs share a common rescaled radial approach profile. On the window y(t) = (1−u(t))/δu, t ∈ [0,1], the ETG crossing-window PC1 = 99.82% (independently confirmed). Common curvature: A ≈ 0.18 (all-7), A ≈ 0.12 (disk-buffered 6).</w:t>
      </w:r>
    </w:p>
    <w:p>
      <w:pPr>
        <w:spacing w:after="120"/>
      </w:pPr>
      <w:r>
        <w:rPr>
          <w:b/>
          <w:bCs/>
        </w:rPr>
        <w:t xml:space="preserve">ETG curvature law (confirmed across all definitions, EXP38):</w:t>
      </w:r>
    </w:p>
    <w:p>
      <w:pPr>
        <w:spacing w:after="120"/>
      </w:pPr>
      <w:r>
        <w:rPr>
          <w:rFonts w:ascii="Courier New" w:cs="Courier New" w:eastAsia="Courier New" w:hAnsi="Courier New"/>
          <w:sz w:val="20"/>
          <w:szCs w:val="20"/>
        </w:rPr>
        <w:t xml:space="preserve">A ≈ −0.015 + 1.029(1 − x_cross)     [disk-buffered 6, R² = 0.82, LOO = 0.036]</w:t>
      </w:r>
    </w:p>
    <w:p>
      <w:pPr>
        <w:spacing w:after="120"/>
      </w:pPr>
      <w:r>
        <w:rPr>
          <w:rFonts w:ascii="Courier New" w:cs="Courier New" w:eastAsia="Courier New" w:hAnsi="Courier New"/>
          <w:sz w:val="20"/>
          <w:szCs w:val="20"/>
        </w:rPr>
        <w:t xml:space="preserve">A ≈ −0.021 + 1.076(1 − x_cross)     [all 7 incl NGC2685, R² = 0.97, LOO = 0.032]</w:t>
      </w:r>
    </w:p>
    <w:p>
      <w:pPr>
        <w:spacing w:after="120"/>
      </w:pPr>
      <w:r>
        <w:t xml:space="preserve">Earlier crossings produce more bowed profiles. Definition-stable: corr(A, A_mid) = 0.993, corr(A, A_area) = 0.9997. The exponential-relaxation analytic family (exp-beta) fits individual windows with lower per-galaxy RMSE but uses one free parameter per galaxy; the population-level law remains A ∼ (1 − x_cross).</w:t>
      </w:r>
    </w:p>
    <w:p>
      <w:pPr>
        <w:spacing w:after="120"/>
      </w:pPr>
      <w:r>
        <w:rPr>
          <w:b/>
          <w:bCs/>
        </w:rPr>
        <w:t xml:space="preserve">Priority K (closed): </w:t>
      </w:r>
      <w:r>
        <w:rPr>
          <w:rFonts w:ascii="Courier New" w:cs="Courier New" w:eastAsia="Courier New" w:hAnsi="Courier New"/>
          <w:sz w:val="20"/>
          <w:szCs w:val="20"/>
        </w:rPr>
        <w:t xml:space="preserve">c₁ = −δu / (1 − x_cross)</w:t>
      </w:r>
      <w:r>
        <w:t xml:space="preserve">   Pearson r = 0.998, Spearman = 1.000, RMSE = 0.07, zero free parameters. This governs the endpoint-traversal slope. </w:t>
      </w:r>
      <w:r>
        <w:rPr>
          <w:b/>
          <w:bCs/>
        </w:rPr>
        <w:t xml:space="preserve">Critically, c₁ does NOT control curvature A</w:t>
      </w:r>
      <w:r>
        <w:t xml:space="preserve"> (Pearson(c₁, A) = −0.50, p = 0.31 — not significant). The c₁ identity is a slope law; A is a shape-curvature law. These are distinct.</w:t>
      </w:r>
    </w:p>
    <w:p>
      <w:pPr>
        <w:spacing w:after="120"/>
      </w:pPr>
      <w:r>
        <w:rPr>
          <w:b/>
          <w:bCs/>
        </w:rPr>
        <w:t xml:space="preserve">ETG vs LTG curvature: structurally distinct regimes. </w:t>
      </w:r>
      <w:r>
        <w:t xml:space="preserve">ETG windows are interval-geometry-controlled (A ∼ 1−x_cross). LTG windows are load-retention-controlled (A ∼ 1/√u_0.75). Combined class-interaction model: R² = 0.717, LOO = 0.362. The difference is structural, not a class offset (non-interacting model: LOO = 0.376 — interaction barely helps).</w:t>
      </w:r>
    </w:p>
    <w:p>
      <w:pPr>
        <w:pStyle w:val="Heading2"/>
      </w:pPr>
      <w:r>
        <w:rPr>
          <w:b/>
          <w:bCs/>
        </w:rPr>
        <w:t xml:space="preserve">9.4  Cancellation sector</w:t>
      </w:r>
    </w:p>
    <w:p>
      <w:pPr>
        <w:spacing w:after="120"/>
      </w:pPr>
      <w:r>
        <w:t xml:space="preserve">The outer cancellation ratio R = B_out/X_out = R_d + R_b. r(R_d, R) = 0.905 for all 16 ETGs. Outer bulge log-slope = −0.500 (Keplerian tail, exact) for all six buffered ETGs.</w:t>
      </w:r>
    </w:p>
    <w:p>
      <w:pPr>
        <w:pStyle w:val="Heading1"/>
      </w:pPr>
      <w:r>
        <w:rPr>
          <w:b/>
          <w:bCs/>
        </w:rPr>
        <w:t xml:space="preserve">10.  Outer Chain Reduction</w:t>
      </w:r>
    </w:p>
    <w:p>
      <w:pPr>
        <w:pStyle w:val="Heading2"/>
      </w:pPr>
      <w:r>
        <w:rPr>
          <w:b/>
          <w:bCs/>
        </w:rPr>
        <w:t xml:space="preserve">10.1  Stage-4 disk-force law</w:t>
      </w:r>
    </w:p>
    <w:p>
      <w:pPr>
        <w:spacing w:after="120"/>
      </w:pPr>
      <w:r>
        <w:rPr>
          <w:rFonts w:ascii="Courier New" w:cs="Courier New" w:eastAsia="Courier New" w:hAnsi="Courier New"/>
          <w:sz w:val="20"/>
          <w:szCs w:val="20"/>
        </w:rPr>
        <w:t xml:space="preserve">log(V²_disk(r_out)/r_out) = A + a log(Σ_disk) + b log(r_out/R_X)</w:t>
      </w:r>
    </w:p>
    <w:p>
      <w:pPr>
        <w:spacing w:after="120"/>
      </w:pPr>
      <w:r>
        <w:rPr>
          <w:b/>
          <w:bCs/>
        </w:rPr>
        <w:t xml:space="preserve">Note on R85 quadrature: </w:t>
      </w:r>
      <w:r>
        <w:t xml:space="preserve">R85, R80, R90 are computed by fine-grid (10,000 point) trapezoidal 2πRΣ integration. Raw gradient-based methods give systematically smaller values (∼0.3–0.5 kpc smaller for R90). Use consistent fine-grid quadrature.</w:t>
      </w:r>
    </w:p>
    <w:p>
      <w:pPr>
        <w:pStyle w:val="Heading3"/>
      </w:pPr>
      <w:r>
        <w:rPr>
          <w:b/>
          <w:bCs/>
        </w:rPr>
        <w:t xml:space="preserve">10.1a  Verified model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00"/>
        <w:gridCol w:w="900"/>
        <w:gridCol w:w="1100"/>
        <w:gridCol w:w="2800"/>
      </w:tblGrid>
      <w:tr>
        <w:tc>
          <w:tcPr>
            <w:tcW w:type="dxa" w:w="2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Sample</w:t>
            </w:r>
          </w:p>
        </w:tc>
        <w:tc>
          <w:tcPr>
            <w:tcW w:type="dxa" w:w="1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Geometry</w:t>
            </w:r>
          </w:p>
        </w:tc>
        <w:tc>
          <w:tcPr>
            <w:tcW w:type="dxa" w:w="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w:t>
            </w:r>
          </w:p>
        </w:tc>
        <w:tc>
          <w:tcPr>
            <w:tcW w:type="dxa" w:w="11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LOO RMSE</w:t>
            </w:r>
          </w:p>
        </w:tc>
        <w:tc>
          <w:tcPr>
            <w:tcW w:type="dxa" w:w="2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Full16</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0.884</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0.444</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Canonical continuity row</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Full16</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r_out/h</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0.935</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0.312</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NGC3838-driven</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Full15−NGC3838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0.951</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0.274</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Best Full15 row</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Full15−NGC3838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0.945</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0.291</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0.908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0.322</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0.900</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0.339</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EXP36 continuity</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0.890</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0.361</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0.965</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0.156</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Strongest row (v18)</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0.958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0.181</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EXP36 continuity</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0.949</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0.197</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HL10−NGC3998/5582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0.871</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0.179</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HL10−NGC3998/5582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0.849</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0.194</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bl>
    <w:p>
      <w:pPr>
        <w:spacing w:after="60"/>
      </w:pPr>
      <w:r>
        <w:t xml:space="preserve"/>
      </w:r>
    </w:p>
    <w:p>
      <w:pPr>
        <w:spacing w:after="120"/>
      </w:pPr>
      <w:r>
        <w:rPr>
          <w:i/>
          <w:iCs/>
        </w:rPr>
        <w:t xml:space="preserve">HL12 excludes NGC2685 (low-load), NGC3522, NGC3838, NGC6798 (disk-buffered). HL11 = HL12 minus NGC3998. A/a/b coefficients for R85 rows: [to be locked from EXP44B CSV]. R80 rows: Full15-NGC3838 A=3.912, a=0.885, b=2.118; HL11-NGC3998 A=4.313, a=0.808, b=1.732.</w:t>
      </w:r>
    </w:p>
    <w:p>
      <w:pPr>
        <w:pStyle w:val="Heading3"/>
      </w:pPr>
      <w:r>
        <w:rPr>
          <w:b/>
          <w:bCs/>
        </w:rPr>
        <w:t xml:space="preserve">10.1b  R85 jackknife stability (EXP48)</w:t>
      </w:r>
    </w:p>
    <w:p>
      <w:pPr>
        <w:spacing w:after="120"/>
      </w:pPr>
      <w:r>
        <w:t xml:space="preserve">R85 beats R80 in all 5 samples. Jackknife win counts (10 geometry competitors):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2900"/>
      </w:tblGrid>
      <w:tr>
        <w:tc>
          <w:tcPr>
            <w:tcW w:type="dxa" w:w="2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Sample</w:t>
            </w:r>
          </w:p>
        </w:tc>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R85 wins</w:t>
            </w:r>
          </w:p>
        </w:tc>
        <w:tc>
          <w:tcPr>
            <w:tcW w:type="dxa" w:w="2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Force-kernel wins</w:t>
            </w:r>
          </w:p>
        </w:tc>
        <w:tc>
          <w:tcPr>
            <w:tcW w:type="dxa" w:w="2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Full16</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1/16</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R_force80_linear 5/16</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dominates 9/16</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Full15−NGC3838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8/15</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R_force80_quad 4/15</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R85 most stable</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R_peak_force_quad 7/12</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Force-kernel dominated</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8/11</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R_force80_linear 1/11</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R85 strongest; NGC3626-sensitive</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HL10−NGC3998/5582</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3/10</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R_force80_const 5/10</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Near-tie</w:t>
            </w:r>
          </w:p>
        </w:tc>
      </w:tr>
    </w:tbl>
    <w:p>
      <w:pPr>
        <w:spacing w:after="60"/>
      </w:pPr>
      <w:r>
        <w:t xml:space="preserve"/>
      </w:r>
    </w:p>
    <w:p>
      <w:pPr>
        <w:spacing w:after="120"/>
      </w:pPr>
      <w:r>
        <w:rPr>
          <w:b/>
          <w:bCs/>
        </w:rPr>
        <w:t xml:space="preserve">NGC3626 sensitivity: </w:t>
      </w:r>
      <w:r>
        <w:t xml:space="preserve">When NGC3626 is left out of HL11-minus-NGC3998, R85 LOO = 0.171 &gt; R80 LOO = 0.156. This is the single jackknife case where R85 preference reverses for the key clean row. All other leave-outs favour R85.</w:t>
      </w:r>
    </w:p>
    <w:p>
      <w:pPr>
        <w:spacing w:after="120"/>
      </w:pPr>
      <w:r>
        <w:t xml:space="preserve">Safe conclusion: R85 is empirically preferred in clean HL rows. No first-principles provenance derivation exists. R_out/h is the strongest repeated weak predictor of R85 advantage over R90 (r ≈ 0.53–0.60 across samples). R80 is retained as continuity reference.</w:t>
      </w:r>
    </w:p>
    <w:p>
      <w:pPr>
        <w:pStyle w:val="Heading3"/>
      </w:pPr>
      <w:r>
        <w:rPr>
          <w:b/>
          <w:bCs/>
        </w:rPr>
        <w:t xml:space="preserve">10.1c  Structural outliers</w:t>
      </w:r>
    </w:p>
    <w:p>
      <w:pPr>
        <w:spacing w:after="120"/>
      </w:pPr>
      <w:r>
        <w:rPr>
          <w:b/>
          <w:bCs/>
        </w:rPr>
        <w:t xml:space="preserve">NGC3838 (largest negative residual, r_out/R₉₀ = 3.507 rank 1/16): </w:t>
      </w:r>
      <w:r>
        <w:t xml:space="preserve">Compact mass concentration, sharp outer disk falloff. Drives Full16 h-preference. Removing NGC3838 reverses Full16 geometry preference.</w:t>
      </w:r>
    </w:p>
    <w:p>
      <w:pPr>
        <w:spacing w:after="120"/>
      </w:pPr>
      <w:r>
        <w:rPr>
          <w:b/>
          <w:bCs/>
        </w:rPr>
        <w:t xml:space="preserve">NGC3998 (largest positive residual): </w:t>
      </w:r>
      <w:r>
        <w:t xml:space="preserve">Low outer Σ (0.710) but V_disk = 102 km/s at r_out. Removing from HL12: LOO 0.322 → 0.156.</w:t>
      </w:r>
    </w:p>
    <w:p>
      <w:pPr>
        <w:spacing w:after="120"/>
      </w:pPr>
      <w:r>
        <w:rPr>
          <w:b/>
          <w:bCs/>
        </w:rPr>
        <w:t xml:space="preserve">NGC5582 (HL12 leverage, Cook’s D = 3.15): </w:t>
      </w:r>
      <w:r>
        <w:t xml:space="preserve">Controls HL12 geometry preference. When NGC5582 left out of HL12, R85 loses to R80. HL12 coefficient rows provisional.</w:t>
      </w:r>
    </w:p>
    <w:p>
      <w:pPr>
        <w:pStyle w:val="Heading2"/>
      </w:pPr>
      <w:r>
        <w:rPr>
          <w:b/>
          <w:bCs/>
        </w:rPr>
        <w:t xml:space="preserve">10.2  Real-profile kernel law</w:t>
      </w:r>
    </w:p>
    <w:p>
      <w:pPr>
        <w:spacing w:after="120"/>
      </w:pPr>
      <w:r>
        <w:rPr>
          <w:rFonts w:ascii="Courier New" w:cs="Courier New" w:eastAsia="Courier New" w:hAnsi="Courier New"/>
          <w:sz w:val="20"/>
          <w:szCs w:val="20"/>
        </w:rPr>
        <w:t xml:space="preserve">log H_real = −3.487 + 2.003 log(z) − 0.919 log(η),   R² = 0.931   (N = 16)</w:t>
      </w:r>
    </w:p>
    <w:p>
      <w:pPr>
        <w:spacing w:after="120"/>
      </w:pPr>
      <w:r>
        <w:rPr>
          <w:rFonts w:ascii="Courier New" w:cs="Courier New" w:eastAsia="Courier New" w:hAnsi="Courier New"/>
          <w:sz w:val="20"/>
          <w:szCs w:val="20"/>
        </w:rPr>
        <w:t xml:space="preserve">High-load (N=12): log H_real = −3.390 + 2.239 log(z) − 0.583 log(η),   R² = 0.930</w:t>
      </w:r>
    </w:p>
    <w:p>
      <w:pPr>
        <w:spacing w:after="120"/>
      </w:pPr>
      <w:r>
        <w:t xml:space="preserve">K_full = 0.03060, K_hl = 0.03372 (both verified from raw files).</w:t>
      </w:r>
    </w:p>
    <w:p>
      <w:pPr>
        <w:pStyle w:val="Heading1"/>
      </w:pPr>
      <w:r>
        <w:rPr>
          <w:b/>
          <w:bCs/>
        </w:rPr>
        <w:t xml:space="preserve">11.  H+ Branch Mathematics</w:t>
      </w:r>
    </w:p>
    <w:p>
      <w:pPr>
        <w:pStyle w:val="Heading2"/>
      </w:pPr>
      <w:r>
        <w:rPr>
          <w:b/>
          <w:bCs/>
        </w:rPr>
        <w:t xml:space="preserve">11.1  Branch invariants (verified)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700"/>
        <w:gridCol w:w="900"/>
        <w:gridCol w:w="700"/>
        <w:gridCol w:w="800"/>
        <w:gridCol w:w="800"/>
        <w:gridCol w:w="1400"/>
      </w:tblGrid>
      <w:tr>
        <w:tc>
          <w:tcPr>
            <w:tcW w:type="dxa" w:w="11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Galaxy</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r_in</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Q12</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Q14</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Ω_in</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U_max</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x_loc</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Class</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NGC2685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0.5448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0.1944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1.1231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0.4981</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1.548</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single-ch.</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NGC3626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0.370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0.6179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0.2040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1.3160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0.7334</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1.303</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single-ch.</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0.6858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1.2246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0.7738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0.216</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1.013</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single-ch.</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NGC4203</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0.460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0.9384</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0.6208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1.2757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1.3374</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0.107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n/a</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two-ch.</w:t>
            </w:r>
          </w:p>
        </w:tc>
      </w:tr>
    </w:tbl>
    <w:p>
      <w:pPr>
        <w:spacing w:after="60"/>
      </w:pPr>
      <w:r>
        <w:t xml:space="preserve"/>
      </w:r>
    </w:p>
    <w:p>
      <w:pPr>
        <w:spacing w:after="120"/>
      </w:pPr>
      <w:r>
        <w:t xml:space="preserve">Single-channel calibrators: U* = 0.201803 (mean; CV = 0.00%), A_loc = 3.344 (CV = 2.56%). No confirmed LTG H+ objects.</w:t>
      </w:r>
    </w:p>
    <w:p>
      <w:pPr>
        <w:pStyle w:val="Heading1"/>
      </w:pPr>
      <w:r>
        <w:rPr>
          <w:b/>
          <w:bCs/>
        </w:rPr>
        <w:t xml:space="preserve">12.  Falsification Controls</w:t>
      </w:r>
    </w:p>
    <w:p>
      <w:pPr>
        <w:spacing w:after="120"/>
      </w:pPr>
      <w:r>
        <w:rPr>
          <w:b/>
          <w:bCs/>
        </w:rPr>
        <w:t xml:space="preserve">Sign gate isolation (NGC3838 vs NGC3626): </w:t>
      </w:r>
      <w:r>
        <w:t xml:space="preserve">H(0.3) = 1.8664 vs 1.8668 — near-identical normalised profiles. Split entirely by absolute inner baryonic amplitude: V̄_bar(r_in) = 194 km/s (Ω_in = 0.705) vs 284 km/s (Ω_in = 1.316).</w:t>
      </w:r>
    </w:p>
    <w:p>
      <w:pPr>
        <w:spacing w:after="120"/>
      </w:pPr>
      <w:r>
        <w:rPr>
          <w:b/>
          <w:bCs/>
        </w:rPr>
        <w:t xml:space="preserve">Outer demand isolation (NGC4203 vs NGC3626): </w:t>
      </w:r>
      <w:r>
        <w:t xml:space="preserve">Both H+. NGC4203 has S = 10.07 vs 0.534, and u = 1.337 &gt; 1. Fails both inner feasibility and outer capacity independently.</w:t>
      </w:r>
    </w:p>
    <w:p>
      <w:pPr>
        <w:spacing w:after="120"/>
      </w:pPr>
      <w:r>
        <w:rPr>
          <w:b/>
          <w:bCs/>
        </w:rPr>
        <w:t xml:space="preserve">Disk-buffered outer isolation (NGC3941 vs UGC6176): </w:t>
      </w:r>
      <w:r>
        <w:t xml:space="preserve">X_out = 2.308 vs 2.240, f_bul = 0.086 vs 0.086 (identical). Outer disk term is the sole separator.</w:t>
      </w:r>
    </w:p>
    <w:p>
      <w:pPr>
        <w:spacing w:after="120"/>
      </w:pPr>
      <w:r>
        <w:rPr>
          <w:b/>
          <w:bCs/>
        </w:rPr>
        <w:t xml:space="preserve">Stage-4 external independence (N=16, 21 variables): </w:t>
      </w:r>
      <w:r>
        <w:t xml:space="preserve">No tested external ATLAS3D variable reaches p &lt; 0.10 against Stage-4 residuals. Max |r| = 0.420 (permutation p = 0.82). Stage-4 is an internal disk-density/geometry relation.</w:t>
      </w:r>
    </w:p>
    <w:p>
      <w:pPr>
        <w:pStyle w:val="Heading1"/>
      </w:pPr>
      <w:r>
        <w:rPr>
          <w:b/>
          <w:bCs/>
        </w:rPr>
        <w:t xml:space="preserve">13.  Computation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Context</w:t>
            </w:r>
          </w:p>
        </w:tc>
        <w:tc>
          <w:tcPr>
            <w:tcW w:type="dxa" w:w="6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Convention</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Inner profile quantities (Q12, Q14, Δ, S, U_max)</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Interpolate V² directly (V²-interpolation convention)</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 radial u(r) profiles, crossing-window work</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Interpolate V_obs in V-space then square; disk/bulge in V²-space</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memory law</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gas-dependent form. Saturated approximation not canonical.</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Gas fraction f_gas [v18 locked]</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V²_gas / (V²_gas + 0.5V²_disk + 0.7V²_bul) at r_out. NOT V²_gas/V²_obs.</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R85/R80/R90 quadrature [v18]</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Fine-grid (10,000 points) trapezoidal integration. Raw gradient method gives smaller values.</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U_max integration grid</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n_y ≥ 2000 for 4-digit stability</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Σ</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Mean mass surface density over 0.80–1.00 r_out from high-resolution _disk.dat</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h (locked)</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Log-linear fit to ALL positive Σ(R) points in _disk.dat (not restricted to R ≤ r_out)</w:t>
            </w:r>
          </w:p>
        </w:tc>
      </w:tr>
    </w:tbl>
    <w:p>
      <w:pPr>
        <w:spacing w:after="60"/>
      </w:pPr>
      <w:r>
        <w:t xml:space="preserve"/>
      </w:r>
    </w:p>
    <w:p>
      <w:pPr>
        <w:pStyle w:val="Heading1"/>
      </w:pPr>
      <w:r>
        <w:rPr>
          <w:b/>
          <w:bCs/>
        </w:rPr>
        <w:t xml:space="preserve">14.  Framework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Level</w:t>
            </w:r>
          </w:p>
        </w:tc>
        <w:tc>
          <w:tcPr>
            <w:tcW w:type="dxa" w:w="8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Content</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Background transport (Γ0, L, q)</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Photometric closure (L_pred = 2kh)</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Memory saturation (L_eff, zero parameters)</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Response shape (q = 1 + n_out)</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LTG/ETG population separation</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four-condition intersection (Δ, Q14, Ω_in, u)</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sign-changing H+ sector (gate, suppression, outer capacity, branch law)</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 chain reduction (X_out, R_d, Stage-4 disk-force law)</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9</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Radial threshold structure (u(r) law, δu = 1−u, buffered profile collapse, geometric c₁ identity)</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Universal S-law; LTG outer route split; LTG buffered regime split (52/25); ETG/LTG curvature laws</w:t>
            </w:r>
          </w:p>
        </w:tc>
      </w:tr>
    </w:tbl>
    <w:p>
      <w:pPr>
        <w:spacing w:after="60"/>
      </w:pPr>
      <w:r>
        <w:t xml:space="preserve"/>
      </w:r>
    </w:p>
    <w:p>
      <w:pPr>
        <w:pStyle w:val="Heading1"/>
      </w:pPr>
      <w:r>
        <w:rPr>
          <w:b/>
          <w:bCs/>
        </w:rPr>
        <w:t xml:space="preserve">15.  Derived vs Empirical Status</w:t>
      </w:r>
    </w:p>
    <w:p>
      <w:pPr>
        <w:pStyle w:val="Heading2"/>
      </w:pPr>
      <w:r>
        <w:rPr>
          <w:b/>
          <w:bCs/>
        </w:rPr>
        <w:t xml:space="preserve">15.1  Derived</w:t>
      </w:r>
    </w:p>
    <w:p>
      <w:pPr>
        <w:spacing w:after="120"/>
      </w:pPr>
      <w:r>
        <w:t xml:space="preserve">Transport equation and background law; photometric closure; memory-load structure; suppression operator form; H+ sign-change mechanism; exact outer viability boundary X_out &lt; R_max/(1−R_d−R_b); exact identity δu = (X_crit−X_out)/X_crit; structural form of Stage-4 disk-force law; crossing-window geometric identity c₁ = −δu/(1−x_cross) (Priority K, closed v13).</w:t>
      </w:r>
    </w:p>
    <w:p>
      <w:pPr>
        <w:pStyle w:val="Heading2"/>
      </w:pPr>
      <w:r>
        <w:rPr>
          <w:b/>
          <w:bCs/>
        </w:rPr>
        <w:t xml:space="preserve">15.2  Empirical (verified from raw files)</w:t>
      </w:r>
    </w:p>
    <w:p>
      <w:pPr>
        <w:spacing w:after="120"/>
      </w:pPr>
      <w:r>
        <w:t xml:space="preserve">q ≈ 0.77; R_max = 1.758948; U* = 0.201803; A_loc = 3.344 (3-galaxy calibration); Stage-4 exponents a ≈ 0.84, b ≈ 1.72; ETG curvature A ∼ k(1−x_cross), k ≈ 1.03–1.08 (confirmed all definitions, EXP38); LTG curvature A ≈ −2.67 + 2.74/√u_0.75 (R² = 0.781, jackknife sign-stable, EXP42/42B); Stage-4 R85 preferred in clean HL rows (HL11-minus-NGC3998 LOO = 0.156, EXP44B/EXP48); Priority L: outer_MAE ≈ −10.315 + 8.645g + 10.508 L_gap (strict N=19, LOO = 10.06, top-5 = 5/5 all guards, EXP41); disk-buffered triple-population confirmation: combined rank 1/120 (p = 0.008); c₁ identity RMSE = 0.07, Pearson r = 0.998, Spearman = 1.000.</w:t>
      </w:r>
    </w:p>
    <w:p>
      <w:pPr>
        <w:pStyle w:val="Heading2"/>
      </w:pPr>
      <w:r>
        <w:rPr>
          <w:b/>
          <w:bCs/>
        </w:rPr>
        <w:t xml:space="preserve">15.3  Provisional / unresolved</w:t>
      </w:r>
    </w:p>
    <w:p>
      <w:pPr>
        <w:spacing w:after="120"/>
      </w:pPr>
      <w:r>
        <w:rPr>
          <w:b/>
          <w:bCs/>
        </w:rPr>
        <w:t xml:space="preserve">Priority D: </w:t>
      </w:r>
      <w:r>
        <w:t xml:space="preserve">Two-channel H+ confirmation. EXP22 exhausted the 16-galaxy ETG sample. NGC4203 only. Requires new ETG data.</w:t>
      </w:r>
    </w:p>
    <w:p>
      <w:pPr>
        <w:spacing w:after="120"/>
      </w:pPr>
      <w:r>
        <w:rPr>
          <w:b/>
          <w:bCs/>
        </w:rPr>
        <w:t xml:space="preserve">Priority F: </w:t>
      </w:r>
      <w:r>
        <w:t xml:space="preserve">Stage-4 exponent and geometry derivation. R85 preferred empirically but lacks first-principles derivation. r_out/h is strongest repeated weak predictor of R85 advantage (r ≈ 0.53–0.60). Force-kernel radii competitive in HL12 but not universally stable.</w:t>
      </w:r>
    </w:p>
    <w:p>
      <w:pPr>
        <w:spacing w:after="120"/>
      </w:pPr>
      <w:r>
        <w:rPr>
          <w:b/>
          <w:bCs/>
        </w:rPr>
        <w:t xml:space="preserve">Priority G (rescoped v16): </w:t>
      </w:r>
      <w:r>
        <w:t xml:space="preserve">Three targets. (1) ETG disk-buffered: derive A ≈ k(1−x_cross), explain why x_cross beats c₁/(δu) as predictor. (2) LTG single-crossing: derive A ≈ −2.67 + 2.74/√u_0.75; explain load-retention mechanism. (3) Explain ETG/LTG structural difference.</w:t>
      </w:r>
    </w:p>
    <w:p>
      <w:pPr>
        <w:spacing w:after="120"/>
      </w:pPr>
      <w:r>
        <w:rPr>
          <w:b/>
          <w:bCs/>
        </w:rPr>
        <w:t xml:space="preserve">Priority L: </w:t>
      </w:r>
      <w:r>
        <w:t xml:space="preserve">Formula and membership locked. Robustness table paper-ready (EXP41). Three-variable extension diagnostic-only (EXP47B). Remaining task: write final paper section.</w:t>
      </w:r>
    </w:p>
    <w:p>
      <w:pPr>
        <w:spacing w:after="120"/>
      </w:pPr>
      <w:r>
        <w:rPr>
          <w:b/>
          <w:bCs/>
        </w:rPr>
        <w:t xml:space="preserve">R85 coefficient rows: </w:t>
      </w:r>
      <w:r>
        <w:t xml:space="preserve">A, a, b for HL11-minus-NGC3998 R85 not yet explicitly locked. R² = 0.965, LOO = 0.156 are verified. Coefficients to be read from EXP44B CSV.</w:t>
      </w:r>
    </w:p>
    <w:p>
      <w:pPr>
        <w:spacing w:after="120"/>
      </w:pPr>
      <w:r>
        <w:rPr>
          <w:b/>
          <w:bCs/>
        </w:rPr>
        <w:t xml:space="preserve">IllustrisTNG/EAGLE test: </w:t>
      </w:r>
      <w:r>
        <w:t xml:space="preserve">Not yet attempted.</w:t>
      </w:r>
    </w:p>
    <w:p>
      <w:pPr>
        <w:pStyle w:val="Heading1"/>
      </w:pPr>
      <w:r>
        <w:rPr>
          <w:b/>
          <w:bCs/>
        </w:rPr>
        <w:t xml:space="preserve">16.  Results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700"/>
        <w:gridCol w:w="2500"/>
        <w:gridCol w:w="23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Population/Test</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2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Metric</w:t>
            </w:r>
          </w:p>
        </w:tc>
        <w:tc>
          <w:tcPr>
            <w:tcW w:type="dxa" w:w="2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Value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All LTGs — exact memory law</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Median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17.15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Upward-crossing buffered</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52</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Median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21.28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Single-crossing buffered</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Median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27.59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Upward vs single-crossing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77</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Welch t-test p</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0.00985</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outer routes</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Low-load / buffered</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 / 77</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outer infeasible</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u(r_out) ≥ 1</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Regime classifier</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g_sep AUC</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0.912</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S-law</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0.919</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S-law</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0.851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 &lt; 1.70 threshold (LTG)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Accuracy</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135/141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 gate (16 ETGs)</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X_out &lt; R_max/(1−R_d)</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16/16</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Kernel law (full ETG)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δu identity (all ETGs)</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Max error</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 5×10⁻¹⁶</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Priority L two-scalar model</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10.06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Priority L — top-5 overlap</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All 7 guards</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Top-5 LOO</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 all guards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Priority L severity ranking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Spearman</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CDC-low-load branch</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Count / median outer MAE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 / 12.75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c₁ geometric identity</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Pearson r / Spearman</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0.998 / 1.000</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 triple signal</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Combined rank / 120</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 (p=0.008)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curvature A∼(1−x_cross) db6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 / LOO</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0.82 / 0.036</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curvature A∼1/√u_0.75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 / LOO</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0.781 / 0.316</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Full16 R90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(log units)</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0.444</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HL11−NGC3998 R85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(log units)</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0.156 (strongest row)</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HL11−NGC3998 R80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(log units)</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0.181 (continuity row)</w:t>
            </w:r>
          </w:p>
        </w:tc>
      </w:tr>
    </w:tbl>
    <w:p>
      <w:pPr>
        <w:spacing w:after="60"/>
      </w:pPr>
      <w:r>
        <w:t xml:space="preserve"/>
      </w:r>
    </w:p>
    <w:p>
      <w:pPr>
        <w:spacing w:after="120"/>
      </w:pPr>
      <w:r>
        <w:rPr>
          <w:i/>
          <w:iCs/>
        </w:rPr>
        <w:t xml:space="preserve">*Strict set: single-crossing galaxies with h ≥ R₀ (N=19). AUC conditions on 55 buffered galaxies with valid S_inner. Priority L top-5: NGC2841, NGC6674, UGC02885, UGC06786, UGC12506 (unchanged across all 7 guard rows).</w:t>
      </w:r>
    </w:p>
    <w:p>
      <w:pPr>
        <w:pStyle w:val="Heading1"/>
      </w:pPr>
      <w:r>
        <w:rPr>
          <w:b/>
          <w:bCs/>
        </w:rPr>
        <w:t xml:space="preserve">17.  Conclusion</w:t>
      </w:r>
    </w:p>
    <w:p>
      <w:pPr>
        <w:spacing w:after="120"/>
      </w:pPr>
      <w:r>
        <w:t xml:space="preserve">The MTS framework yields a transport-response law for disk galaxies with cosmological normalisation, photometric scale closure, zero-parameter memory correction, and emergent response branching.</w:t>
      </w:r>
    </w:p>
    <w:p>
      <w:pPr>
        <w:spacing w:after="120"/>
      </w:pPr>
      <w:r>
        <w:t xml:space="preserve">LTGs follow a closed first-order law with memory-driven corrections. Global median RMSE = 17.15 km/s (N=175). The LTG buffered branch splits into 52 upward-crossing and 25 single-crossing objects (AUC = 0.912 for regime prediction). Single-crossing outer error is organised by the canonical two-scalar model outer_MAE ≈ −10.315 + 8.645g + 10.508 L_gap (strict N=19, LOO RMSE ≈ 10.06 km/s, top-5 severity overlap = 5/5 across all seven robustness guards). A three-variable extension with u_0.75 improves LOO to 8.35 km/s on strict N=19, but its advantage is driven by three supercritical galaxies and the two-scalar form remains canonical. Crossing-window curvature for LTG single-crossing objects is load-retention-controlled: A ≈ −2.67 + 2.74/√u_0.75 (R² = 0.781, jackknife sign-stable).</w:t>
      </w:r>
    </w:p>
    <w:p>
      <w:pPr>
        <w:spacing w:after="120"/>
      </w:pPr>
      <w:r>
        <w:t xml:space="preserve">ETGs form a multi-family, multi-sign response sector governed by a four-condition intersection. The viability boundary X_out &lt; R_max/(1−R_d) classifies all 16 ETGs correctly. Buffered ETGs share a crossing-window shape (PC1 = 99.82%) with per-galaxy slopes c₁ = −δu/(1−x_cross) (Pearson r = 0.998, Spearman = 1.000, no free parameters, Priority K closed). ETG curvature follows A ≈ k(1−x_cross), k ≈ 1.03–1.08, stable under all definitions — a structurally distinct interval-geometry-controlled regime from LTG load-retention control. The Stage-4 disk-force law empirically prefers R85 in all clean high-load rows; HL11-minus-NGC3998 with r_out/R85 is the strongest row (R² = 0.965, LOO = 0.156, 8/11 jackknife stable; NGC3626-sensitive). The kernel law holds with K_full = 0.03060, R² = 0.931.</w:t>
      </w:r>
    </w:p>
    <w:p>
      <w:pPr>
        <w:spacing w:after="120"/>
      </w:pPr>
      <w:r>
        <w:t xml:space="preserve">A universal completion-ratio law U_max ≈ A − B ln(S) holds across both galaxy types (LTG R² = 0.919, ETG R² = 0.851) with threshold near S ≈ 1.70. The disk-buffered ETG branch is externally validated by three independent population indicators jointly ranking first among 120 ETG pairs (p = 0.008). No confirmed LTG H+ objects exist.</w:t>
      </w:r>
    </w:p>
    <w:p>
      <w:pPr>
        <w:pStyle w:val="Heading1"/>
      </w:pPr>
      <w:r>
        <w:rPr>
          <w:b/>
          <w:bCs/>
        </w:rPr>
        <w:t xml:space="preserve">18.  Methods and Data</w:t>
      </w:r>
    </w:p>
    <w:p>
      <w:pPr>
        <w:spacing w:after="120"/>
      </w:pPr>
      <w:r>
        <w:t xml:space="preserve">Data: SPARC ROTMOD files (Lelli et al. 2016, 175 disk galaxies). ETG rotation curves from ATLAS3D (16 galaxies, Rotmod_ETG.zip). High-resolution bulge/disk component profiles (_disk.dat, _bulge.dat) used for all inner-branch and outer-chain computations.</w:t>
      </w:r>
    </w:p>
    <w:p>
      <w:pPr>
        <w:spacing w:after="120"/>
      </w:pPr>
      <w:r>
        <w:t xml:space="preserve">External datasets: Krajnovic et al. (2020) ATLAS3D stellar population radial profiles; Poci et al. (2017) 2D stellar M/L maps (MLSTARR); ATLAS3D stellar kinematics (VPXF); ATLAS3D ionised-gas maps (V_OIII_GAS); Serra et al. (2012) HI moment maps; BulgeDiskDec ETG photometric density files. CO single-dish archive and Serra2012 are ATLAS3D ETG-only with 0/17 overlap with the CDC-low LTG branch.</w:t>
      </w:r>
    </w:p>
    <w:p>
      <w:pPr>
        <w:spacing w:after="120"/>
      </w:pPr>
      <w:r>
        <w:t xml:space="preserve">Baryonic convention: V̄²_bar = V²_gas + 0.5 V²_disk + 0.7 V²_bul. File comments: ROTMOD = '#'; component files = '!'. Canonical r_in values: NGC2685 = 0.310, NGC3626 = 0.370, NGC3941 = 0.270, NGC4203 = 0.460 kpc. Framework constants: Γ0 = 809.956 km²/s²/kpc; R_max = 1.758948; U* = 0.201803. R85/R80/R90 computed by fine-grid (10,000 point) trapezoidal 2πRΣ integration. All tables verified from raw files using exact gas-dependent memory law.</w:t>
      </w:r>
    </w:p>
    <w:p>
      <w:r>
        <w:br w:type="page"/>
      </w:r>
    </w:p>
    <w:p>
      <w:pPr>
        <w:pStyle w:val="Heading1"/>
      </w:pPr>
      <w:r>
        <w:t>MTS v18.05 Observed-State Response Candidate</w:t>
      </w:r>
    </w:p>
    <w:p>
      <w:r>
        <w:t>This section records the framework-forward candidate result. It is intentionally narrower than the earlier diagnostic audits: it states what changed in the law, which clean high-RMSE failures are repaired, how the candidate behaves under null controls, and where the claim boundary remains.</w:t>
      </w:r>
    </w:p>
    <w:p>
      <w:pPr>
        <w:pStyle w:val="Heading2"/>
      </w:pPr>
      <w:r>
        <w:t>Law change</w:t>
      </w:r>
    </w:p>
    <w:p>
      <w:r>
        <w:t>The canonical MTS support law remains locked. v18.05 adds deterministic observed-state response branches that are activated by route/state/profile conditions in the clean framework-facing set. The branch set is frozen in the browser preset and in the release-stress artifact; q, Gamma0, disk M/L, and bulge M/L are unchanged.</w:t>
      </w:r>
    </w:p>
    <w:p>
      <w:pPr>
        <w:pStyle w:val="Heading2"/>
      </w:pPr>
      <w:r>
        <w:t>Numerical result</w:t>
      </w:r>
    </w:p>
    <w:tbl>
      <w:tblPr>
        <w:tblW w:w="0" w:type="auto"/>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tcPr>
          <w:p>
            <w:r>
              <w:rPr>
                <w:b/>
              </w:rPr>
              <w:t>Quantity</w:t>
            </w:r>
          </w:p>
        </w:tc>
        <w:tc>
          <w:tcPr>
            <w:tcW w:w="0" w:type="auto"/>
          </w:tcPr>
          <w:p>
            <w:r>
              <w:rPr>
                <w:b/>
              </w:rPr>
              <w:t>Value</w:t>
            </w:r>
          </w:p>
        </w:tc>
      </w:tr>
      <w:tr>
        <w:tc>
          <w:tcPr>
            <w:tcW w:w="0" w:type="auto"/>
          </w:tcPr>
          <w:p>
            <w:r>
              <w:t>Clean high-RMSE gain</w:t>
            </w:r>
          </w:p>
        </w:tc>
        <w:tc>
          <w:tcPr>
            <w:tcW w:w="0" w:type="auto"/>
          </w:tcPr>
          <w:p>
            <w:r>
              <w:t>68.08%</w:t>
            </w:r>
          </w:p>
        </w:tc>
      </w:tr>
      <w:tr>
        <w:tc>
          <w:tcPr>
            <w:tcW w:w="0" w:type="auto"/>
          </w:tcPr>
          <w:p>
            <w:r>
              <w:t>Clean-set gain</w:t>
            </w:r>
          </w:p>
        </w:tc>
        <w:tc>
          <w:tcPr>
            <w:tcW w:w="0" w:type="auto"/>
          </w:tcPr>
          <w:p>
            <w:r>
              <w:t>43.74%</w:t>
            </w:r>
          </w:p>
        </w:tc>
      </w:tr>
      <w:tr>
        <w:tc>
          <w:tcPr>
            <w:tcW w:w="0" w:type="auto"/>
          </w:tcPr>
          <w:p>
            <w:r>
              <w:t>Median holdout high-RMSE gain</w:t>
            </w:r>
          </w:p>
        </w:tc>
        <w:tc>
          <w:tcPr>
            <w:tcW w:w="0" w:type="auto"/>
          </w:tcPr>
          <w:p>
            <w:r>
              <w:t>66.68%</w:t>
            </w:r>
          </w:p>
        </w:tc>
      </w:tr>
      <w:tr>
        <w:tc>
          <w:tcPr>
            <w:tcW w:w="0" w:type="auto"/>
          </w:tcPr>
          <w:p>
            <w:r>
              <w:t>High-RMSE cases above 20 km/s after v18.05</w:t>
            </w:r>
          </w:p>
        </w:tc>
        <w:tc>
          <w:tcPr>
            <w:tcW w:w="0" w:type="auto"/>
          </w:tcPr>
          <w:p>
            <w:r>
              <w:t>0</w:t>
            </w:r>
          </w:p>
        </w:tc>
      </w:tr>
      <w:tr>
        <w:tc>
          <w:tcPr>
            <w:tcW w:w="0" w:type="auto"/>
          </w:tcPr>
          <w:p>
            <w:r>
              <w:t>Branch-shuffle null margin</w:t>
            </w:r>
          </w:p>
        </w:tc>
        <w:tc>
          <w:tcPr>
            <w:tcW w:w="0" w:type="auto"/>
          </w:tcPr>
          <w:p>
            <w:r>
              <w:t>52.01 percentage points</w:t>
            </w:r>
          </w:p>
        </w:tc>
      </w:tr>
      <w:tr>
        <w:tc>
          <w:tcPr>
            <w:tcW w:w="0" w:type="auto"/>
          </w:tcPr>
          <w:p>
            <w:r>
              <w:t>Disk-shear edge-null margin</w:t>
            </w:r>
          </w:p>
        </w:tc>
        <w:tc>
          <w:tcPr>
            <w:tcW w:w="0" w:type="auto"/>
          </w:tcPr>
          <w:p>
            <w:r>
              <w:t>61.39 percentage points</w:t>
            </w:r>
          </w:p>
        </w:tc>
      </w:tr>
      <w:tr>
        <w:tc>
          <w:tcPr>
            <w:tcW w:w="0" w:type="auto"/>
          </w:tcPr>
          <w:p>
            <w:r>
              <w:t>Max forced protected-lookalike regression</w:t>
            </w:r>
          </w:p>
        </w:tc>
        <w:tc>
          <w:tcPr>
            <w:tcW w:w="0" w:type="auto"/>
          </w:tcPr>
          <w:p>
            <w:r>
              <w:t>0.34 km/s</w:t>
            </w:r>
          </w:p>
        </w:tc>
      </w:tr>
      <w:tr>
        <w:tc>
          <w:tcPr>
            <w:tcW w:w="0" w:type="auto"/>
          </w:tcPr>
          <w:p>
            <w:r>
              <w:t>Weak/systematics leakage</w:t>
            </w:r>
          </w:p>
        </w:tc>
        <w:tc>
          <w:tcPr>
            <w:tcW w:w="0" w:type="auto"/>
          </w:tcPr>
          <w:p>
            <w:r>
              <w:t>0</w:t>
            </w:r>
          </w:p>
        </w:tc>
      </w:tr>
    </w:tbl>
    <w:p>
      <w:pPr>
        <w:pStyle w:val="Heading2"/>
      </w:pPr>
      <w:r>
        <w:t>Largest repaired high-RMSE cases</w:t>
      </w:r>
    </w:p>
    <w:tbl>
      <w:tblPr>
        <w:tblW w:w="0" w:type="auto"/>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tcPr>
          <w:p>
            <w:r>
              <w:rPr>
                <w:b/>
              </w:rPr>
              <w:t>Galaxy</w:t>
            </w:r>
          </w:p>
        </w:tc>
        <w:tc>
          <w:tcPr>
            <w:tcW w:w="0" w:type="auto"/>
          </w:tcPr>
          <w:p>
            <w:r>
              <w:rPr>
                <w:b/>
              </w:rPr>
              <w:t>Canonical RMSE</w:t>
            </w:r>
          </w:p>
        </w:tc>
        <w:tc>
          <w:tcPr>
            <w:tcW w:w="0" w:type="auto"/>
          </w:tcPr>
          <w:p>
            <w:r>
              <w:rPr>
                <w:b/>
              </w:rPr>
              <w:t>v18.05 RMSE</w:t>
            </w:r>
          </w:p>
        </w:tc>
        <w:tc>
          <w:tcPr>
            <w:tcW w:w="0" w:type="auto"/>
          </w:tcPr>
          <w:p>
            <w:r>
              <w:rPr>
                <w:b/>
              </w:rPr>
              <w:t>Gain</w:t>
            </w:r>
          </w:p>
        </w:tc>
        <w:tc>
          <w:tcPr>
            <w:tcW w:w="0" w:type="auto"/>
          </w:tcPr>
          <w:p>
            <w:r>
              <w:rPr>
                <w:b/>
              </w:rPr>
              <w:t>Branch</w:t>
            </w:r>
          </w:p>
        </w:tc>
      </w:tr>
      <w:tr>
        <w:tc>
          <w:tcPr>
            <w:tcW w:w="0" w:type="auto"/>
          </w:tcPr>
          <w:p>
            <w:r>
              <w:t>NGC5985</w:t>
            </w:r>
          </w:p>
        </w:tc>
        <w:tc>
          <w:tcPr>
            <w:tcW w:w="0" w:type="auto"/>
          </w:tcPr>
          <w:p>
            <w:r>
              <w:t>104.69</w:t>
            </w:r>
          </w:p>
        </w:tc>
        <w:tc>
          <w:tcPr>
            <w:tcW w:w="0" w:type="auto"/>
          </w:tcPr>
          <w:p>
            <w:r>
              <w:t>13.74</w:t>
            </w:r>
          </w:p>
        </w:tc>
        <w:tc>
          <w:tcPr>
            <w:tcW w:w="0" w:type="auto"/>
          </w:tcPr>
          <w:p>
            <w:r>
              <w:t>90.95</w:t>
            </w:r>
          </w:p>
        </w:tc>
        <w:tc>
          <w:tcPr>
            <w:tcW w:w="0" w:type="auto"/>
          </w:tcPr>
          <w:p>
            <w:r>
              <w:t>compact low-load transition</w:t>
            </w:r>
          </w:p>
        </w:tc>
      </w:tr>
      <w:tr>
        <w:tc>
          <w:tcPr>
            <w:tcW w:w="0" w:type="auto"/>
          </w:tcPr>
          <w:p>
            <w:r>
              <w:t>NGC3992</w:t>
            </w:r>
          </w:p>
        </w:tc>
        <w:tc>
          <w:tcPr>
            <w:tcW w:w="0" w:type="auto"/>
          </w:tcPr>
          <w:p>
            <w:r>
              <w:t>61.52</w:t>
            </w:r>
          </w:p>
        </w:tc>
        <w:tc>
          <w:tcPr>
            <w:tcW w:w="0" w:type="auto"/>
          </w:tcPr>
          <w:p>
            <w:r>
              <w:t>4.43</w:t>
            </w:r>
          </w:p>
        </w:tc>
        <w:tc>
          <w:tcPr>
            <w:tcW w:w="0" w:type="auto"/>
          </w:tcPr>
          <w:p>
            <w:r>
              <w:t>57.09</w:t>
            </w:r>
          </w:p>
        </w:tc>
        <w:tc>
          <w:tcPr>
            <w:tcW w:w="0" w:type="auto"/>
          </w:tcPr>
          <w:p>
            <w:r>
              <w:t>compact low-load transition</w:t>
            </w:r>
          </w:p>
        </w:tc>
      </w:tr>
      <w:tr>
        <w:tc>
          <w:tcPr>
            <w:tcW w:w="0" w:type="auto"/>
          </w:tcPr>
          <w:p>
            <w:r>
              <w:t>UGC12506</w:t>
            </w:r>
          </w:p>
        </w:tc>
        <w:tc>
          <w:tcPr>
            <w:tcW w:w="0" w:type="auto"/>
          </w:tcPr>
          <w:p>
            <w:r>
              <w:t>66.95</w:t>
            </w:r>
          </w:p>
        </w:tc>
        <w:tc>
          <w:tcPr>
            <w:tcW w:w="0" w:type="auto"/>
          </w:tcPr>
          <w:p>
            <w:r>
              <w:t>11.30</w:t>
            </w:r>
          </w:p>
        </w:tc>
        <w:tc>
          <w:tcPr>
            <w:tcW w:w="0" w:type="auto"/>
          </w:tcPr>
          <w:p>
            <w:r>
              <w:t>55.65</w:t>
            </w:r>
          </w:p>
        </w:tc>
        <w:tc>
          <w:tcPr>
            <w:tcW w:w="0" w:type="auto"/>
          </w:tcPr>
          <w:p>
            <w:r>
              <w:t>buffered gas-curvature</w:t>
            </w:r>
          </w:p>
        </w:tc>
      </w:tr>
      <w:tr>
        <w:tc>
          <w:tcPr>
            <w:tcW w:w="0" w:type="auto"/>
          </w:tcPr>
          <w:p>
            <w:r>
              <w:t>UGC02885</w:t>
            </w:r>
          </w:p>
        </w:tc>
        <w:tc>
          <w:tcPr>
            <w:tcW w:w="0" w:type="auto"/>
          </w:tcPr>
          <w:p>
            <w:r>
              <w:t>57.88</w:t>
            </w:r>
          </w:p>
        </w:tc>
        <w:tc>
          <w:tcPr>
            <w:tcW w:w="0" w:type="auto"/>
          </w:tcPr>
          <w:p>
            <w:r>
              <w:t>12.99</w:t>
            </w:r>
          </w:p>
        </w:tc>
        <w:tc>
          <w:tcPr>
            <w:tcW w:w="0" w:type="auto"/>
          </w:tcPr>
          <w:p>
            <w:r>
              <w:t>44.89</w:t>
            </w:r>
          </w:p>
        </w:tc>
        <w:tc>
          <w:tcPr>
            <w:tcW w:w="0" w:type="auto"/>
          </w:tcPr>
          <w:p>
            <w:r>
              <w:t>buffered shelf-curvature edge compressed</w:t>
            </w:r>
          </w:p>
        </w:tc>
      </w:tr>
      <w:tr>
        <w:tc>
          <w:tcPr>
            <w:tcW w:w="0" w:type="auto"/>
          </w:tcPr>
          <w:p>
            <w:r>
              <w:t>UGC06786</w:t>
            </w:r>
          </w:p>
        </w:tc>
        <w:tc>
          <w:tcPr>
            <w:tcW w:w="0" w:type="auto"/>
          </w:tcPr>
          <w:p>
            <w:r>
              <w:t>54.72</w:t>
            </w:r>
          </w:p>
        </w:tc>
        <w:tc>
          <w:tcPr>
            <w:tcW w:w="0" w:type="auto"/>
          </w:tcPr>
          <w:p>
            <w:r>
              <w:t>10.67</w:t>
            </w:r>
          </w:p>
        </w:tc>
        <w:tc>
          <w:tcPr>
            <w:tcW w:w="0" w:type="auto"/>
          </w:tcPr>
          <w:p>
            <w:r>
              <w:t>44.05</w:t>
            </w:r>
          </w:p>
        </w:tc>
        <w:tc>
          <w:tcPr>
            <w:tcW w:w="0" w:type="auto"/>
          </w:tcPr>
          <w:p>
            <w:r>
              <w:t>buffered bulge-disk shoulder</w:t>
            </w:r>
          </w:p>
        </w:tc>
      </w:tr>
      <w:tr>
        <w:tc>
          <w:tcPr>
            <w:tcW w:w="0" w:type="auto"/>
          </w:tcPr>
          <w:p>
            <w:r>
              <w:t>NGC7814</w:t>
            </w:r>
          </w:p>
        </w:tc>
        <w:tc>
          <w:tcPr>
            <w:tcW w:w="0" w:type="auto"/>
          </w:tcPr>
          <w:p>
            <w:r>
              <w:t>52.45</w:t>
            </w:r>
          </w:p>
        </w:tc>
        <w:tc>
          <w:tcPr>
            <w:tcW w:w="0" w:type="auto"/>
          </w:tcPr>
          <w:p>
            <w:r>
              <w:t>10.26</w:t>
            </w:r>
          </w:p>
        </w:tc>
        <w:tc>
          <w:tcPr>
            <w:tcW w:w="0" w:type="auto"/>
          </w:tcPr>
          <w:p>
            <w:r>
              <w:t>42.20</w:t>
            </w:r>
          </w:p>
        </w:tc>
        <w:tc>
          <w:tcPr>
            <w:tcW w:w="0" w:type="auto"/>
          </w:tcPr>
          <w:p>
            <w:r>
              <w:t>buffered dominant-bulge lift</w:t>
            </w:r>
          </w:p>
        </w:tc>
      </w:tr>
      <w:tr>
        <w:tc>
          <w:tcPr>
            <w:tcW w:w="0" w:type="auto"/>
          </w:tcPr>
          <w:p>
            <w:r>
              <w:t>UGC06787</w:t>
            </w:r>
          </w:p>
        </w:tc>
        <w:tc>
          <w:tcPr>
            <w:tcW w:w="0" w:type="auto"/>
          </w:tcPr>
          <w:p>
            <w:r>
              <w:t>53.64</w:t>
            </w:r>
          </w:p>
        </w:tc>
        <w:tc>
          <w:tcPr>
            <w:tcW w:w="0" w:type="auto"/>
          </w:tcPr>
          <w:p>
            <w:r>
              <w:t>13.04</w:t>
            </w:r>
          </w:p>
        </w:tc>
        <w:tc>
          <w:tcPr>
            <w:tcW w:w="0" w:type="auto"/>
          </w:tcPr>
          <w:p>
            <w:r>
              <w:t>40.60</w:t>
            </w:r>
          </w:p>
        </w:tc>
        <w:tc>
          <w:tcPr>
            <w:tcW w:w="0" w:type="auto"/>
          </w:tcPr>
          <w:p>
            <w:r>
              <w:t>dense positive-bulge radial redistribution</w:t>
            </w:r>
          </w:p>
        </w:tc>
      </w:tr>
      <w:tr>
        <w:tc>
          <w:tcPr>
            <w:tcW w:w="0" w:type="auto"/>
          </w:tcPr>
          <w:p>
            <w:r>
              <w:t>UGC11914</w:t>
            </w:r>
          </w:p>
        </w:tc>
        <w:tc>
          <w:tcPr>
            <w:tcW w:w="0" w:type="auto"/>
          </w:tcPr>
          <w:p>
            <w:r>
              <w:t>47.32</w:t>
            </w:r>
          </w:p>
        </w:tc>
        <w:tc>
          <w:tcPr>
            <w:tcW w:w="0" w:type="auto"/>
          </w:tcPr>
          <w:p>
            <w:r>
              <w:t>9.51</w:t>
            </w:r>
          </w:p>
        </w:tc>
        <w:tc>
          <w:tcPr>
            <w:tcW w:w="0" w:type="auto"/>
          </w:tcPr>
          <w:p>
            <w:r>
              <w:t>37.82</w:t>
            </w:r>
          </w:p>
        </w:tc>
        <w:tc>
          <w:tcPr>
            <w:tcW w:w="0" w:type="auto"/>
          </w:tcPr>
          <w:p>
            <w:r>
              <w:t>dense-bulge outer</w:t>
            </w:r>
          </w:p>
        </w:tc>
      </w:tr>
      <w:tr>
        <w:tc>
          <w:tcPr>
            <w:tcW w:w="0" w:type="auto"/>
          </w:tcPr>
          <w:p>
            <w:r>
              <w:t>NGC5907</w:t>
            </w:r>
          </w:p>
        </w:tc>
        <w:tc>
          <w:tcPr>
            <w:tcW w:w="0" w:type="auto"/>
          </w:tcPr>
          <w:p>
            <w:r>
              <w:t>40.00</w:t>
            </w:r>
          </w:p>
        </w:tc>
        <w:tc>
          <w:tcPr>
            <w:tcW w:w="0" w:type="auto"/>
          </w:tcPr>
          <w:p>
            <w:r>
              <w:t>4.62</w:t>
            </w:r>
          </w:p>
        </w:tc>
        <w:tc>
          <w:tcPr>
            <w:tcW w:w="0" w:type="auto"/>
          </w:tcPr>
          <w:p>
            <w:r>
              <w:t>35.38</w:t>
            </w:r>
          </w:p>
        </w:tc>
        <w:tc>
          <w:tcPr>
            <w:tcW w:w="0" w:type="auto"/>
          </w:tcPr>
          <w:p>
            <w:r>
              <w:t>compact low-load transition</w:t>
            </w:r>
          </w:p>
        </w:tc>
      </w:tr>
      <w:tr>
        <w:tc>
          <w:tcPr>
            <w:tcW w:w="0" w:type="auto"/>
          </w:tcPr>
          <w:p>
            <w:r>
              <w:t>UGC03205</w:t>
            </w:r>
          </w:p>
        </w:tc>
        <w:tc>
          <w:tcPr>
            <w:tcW w:w="0" w:type="auto"/>
          </w:tcPr>
          <w:p>
            <w:r>
              <w:t>45.39</w:t>
            </w:r>
          </w:p>
        </w:tc>
        <w:tc>
          <w:tcPr>
            <w:tcW w:w="0" w:type="auto"/>
          </w:tcPr>
          <w:p>
            <w:r>
              <w:t>12.66</w:t>
            </w:r>
          </w:p>
        </w:tc>
        <w:tc>
          <w:tcPr>
            <w:tcW w:w="0" w:type="auto"/>
          </w:tcPr>
          <w:p>
            <w:r>
              <w:t>32.73</w:t>
            </w:r>
          </w:p>
        </w:tc>
        <w:tc>
          <w:tcPr>
            <w:tcW w:w="0" w:type="auto"/>
          </w:tcPr>
          <w:p>
            <w:r>
              <w:t>buffered bulge-disk shoulder</w:t>
            </w:r>
          </w:p>
        </w:tc>
      </w:tr>
    </w:tbl>
    <w:p>
      <w:pPr>
        <w:pStyle w:val="Heading2"/>
      </w:pPr>
      <w:r>
        <w:t>Dominant branch contributions</w:t>
      </w:r>
    </w:p>
    <w:tbl>
      <w:tblPr>
        <w:tblW w:w="0" w:type="auto"/>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tcPr>
          <w:p>
            <w:r>
              <w:rPr>
                <w:b/>
              </w:rPr>
              <w:t>Branch</w:t>
            </w:r>
          </w:p>
        </w:tc>
        <w:tc>
          <w:tcPr>
            <w:tcW w:w="0" w:type="auto"/>
          </w:tcPr>
          <w:p>
            <w:r>
              <w:rPr>
                <w:b/>
              </w:rPr>
              <w:t>High cases</w:t>
            </w:r>
          </w:p>
        </w:tc>
        <w:tc>
          <w:tcPr>
            <w:tcW w:w="0" w:type="auto"/>
          </w:tcPr>
          <w:p>
            <w:r>
              <w:rPr>
                <w:b/>
              </w:rPr>
              <w:t>Total gain</w:t>
            </w:r>
          </w:p>
        </w:tc>
        <w:tc>
          <w:tcPr>
            <w:tcW w:w="0" w:type="auto"/>
          </w:tcPr>
          <w:p>
            <w:r>
              <w:rPr>
                <w:b/>
              </w:rPr>
              <w:t>Mean gain</w:t>
            </w:r>
          </w:p>
        </w:tc>
        <w:tc>
          <w:tcPr>
            <w:tcW w:w="0" w:type="auto"/>
          </w:tcPr>
          <w:p>
            <w:r>
              <w:rPr>
                <w:b/>
              </w:rPr>
              <w:t>Status</w:t>
            </w:r>
          </w:p>
        </w:tc>
      </w:tr>
      <w:tr>
        <w:tc>
          <w:tcPr>
            <w:tcW w:w="0" w:type="auto"/>
          </w:tcPr>
          <w:p>
            <w:r>
              <w:t>compact low-load transition</w:t>
            </w:r>
          </w:p>
        </w:tc>
        <w:tc>
          <w:tcPr>
            <w:tcW w:w="0" w:type="auto"/>
          </w:tcPr>
          <w:p>
            <w:r>
              <w:t>3</w:t>
            </w:r>
          </w:p>
        </w:tc>
        <w:tc>
          <w:tcPr>
            <w:tcW w:w="0" w:type="auto"/>
          </w:tcPr>
          <w:p>
            <w:r>
              <w:t>183.42</w:t>
            </w:r>
          </w:p>
        </w:tc>
        <w:tc>
          <w:tcPr>
            <w:tcW w:w="0" w:type="auto"/>
          </w:tcPr>
          <w:p>
            <w:r>
              <w:t>61.14</w:t>
            </w:r>
          </w:p>
        </w:tc>
        <w:tc>
          <w:tcPr>
            <w:tcW w:w="0" w:type="auto"/>
          </w:tcPr>
          <w:p>
            <w:r>
              <w:t>essential</w:t>
            </w:r>
          </w:p>
        </w:tc>
      </w:tr>
      <w:tr>
        <w:tc>
          <w:tcPr>
            <w:tcW w:w="0" w:type="auto"/>
          </w:tcPr>
          <w:p>
            <w:r>
              <w:t>gas-memory edge compressed</w:t>
            </w:r>
          </w:p>
        </w:tc>
        <w:tc>
          <w:tcPr>
            <w:tcW w:w="0" w:type="auto"/>
          </w:tcPr>
          <w:p>
            <w:r>
              <w:t>9</w:t>
            </w:r>
          </w:p>
        </w:tc>
        <w:tc>
          <w:tcPr>
            <w:tcW w:w="0" w:type="auto"/>
          </w:tcPr>
          <w:p>
            <w:r>
              <w:t>147.61</w:t>
            </w:r>
          </w:p>
        </w:tc>
        <w:tc>
          <w:tcPr>
            <w:tcW w:w="0" w:type="auto"/>
          </w:tcPr>
          <w:p>
            <w:r>
              <w:t>16.40</w:t>
            </w:r>
          </w:p>
        </w:tc>
        <w:tc>
          <w:tcPr>
            <w:tcW w:w="0" w:type="auto"/>
          </w:tcPr>
          <w:p>
            <w:r>
              <w:t>small-effect</w:t>
            </w:r>
          </w:p>
        </w:tc>
      </w:tr>
      <w:tr>
        <w:tc>
          <w:tcPr>
            <w:tcW w:w="0" w:type="auto"/>
          </w:tcPr>
          <w:p>
            <w:r>
              <w:t>unbranched</w:t>
            </w:r>
          </w:p>
        </w:tc>
        <w:tc>
          <w:tcPr>
            <w:tcW w:w="0" w:type="auto"/>
          </w:tcPr>
          <w:p>
            <w:r>
              <w:t>7</w:t>
            </w:r>
          </w:p>
        </w:tc>
        <w:tc>
          <w:tcPr>
            <w:tcW w:w="0" w:type="auto"/>
          </w:tcPr>
          <w:p>
            <w:r>
              <w:t>131.21</w:t>
            </w:r>
          </w:p>
        </w:tc>
        <w:tc>
          <w:tcPr>
            <w:tcW w:w="0" w:type="auto"/>
          </w:tcPr>
          <w:p>
            <w:r>
              <w:t>18.74</w:t>
            </w:r>
          </w:p>
        </w:tc>
        <w:tc>
          <w:tcPr>
            <w:tcW w:w="0" w:type="auto"/>
          </w:tcPr>
          <w:p>
            <w:r>
              <w:t/>
            </w:r>
          </w:p>
        </w:tc>
      </w:tr>
      <w:tr>
        <w:tc>
          <w:tcPr>
            <w:tcW w:w="0" w:type="auto"/>
          </w:tcPr>
          <w:p>
            <w:r>
              <w:t>low-load q-transition compressed</w:t>
            </w:r>
          </w:p>
        </w:tc>
        <w:tc>
          <w:tcPr>
            <w:tcW w:w="0" w:type="auto"/>
          </w:tcPr>
          <w:p>
            <w:r>
              <w:t>7</w:t>
            </w:r>
          </w:p>
        </w:tc>
        <w:tc>
          <w:tcPr>
            <w:tcW w:w="0" w:type="auto"/>
          </w:tcPr>
          <w:p>
            <w:r>
              <w:t>110.71</w:t>
            </w:r>
          </w:p>
        </w:tc>
        <w:tc>
          <w:tcPr>
            <w:tcW w:w="0" w:type="auto"/>
          </w:tcPr>
          <w:p>
            <w:r>
              <w:t>15.82</w:t>
            </w:r>
          </w:p>
        </w:tc>
        <w:tc>
          <w:tcPr>
            <w:tcW w:w="0" w:type="auto"/>
          </w:tcPr>
          <w:p>
            <w:r>
              <w:t>small-effect</w:t>
            </w:r>
          </w:p>
        </w:tc>
      </w:tr>
      <w:tr>
        <w:tc>
          <w:tcPr>
            <w:tcW w:w="0" w:type="auto"/>
          </w:tcPr>
          <w:p>
            <w:r>
              <w:t>buffered bulge-disk shoulder</w:t>
            </w:r>
          </w:p>
        </w:tc>
        <w:tc>
          <w:tcPr>
            <w:tcW w:w="0" w:type="auto"/>
          </w:tcPr>
          <w:p>
            <w:r>
              <w:t>3</w:t>
            </w:r>
          </w:p>
        </w:tc>
        <w:tc>
          <w:tcPr>
            <w:tcW w:w="0" w:type="auto"/>
          </w:tcPr>
          <w:p>
            <w:r>
              <w:t>96.96</w:t>
            </w:r>
          </w:p>
        </w:tc>
        <w:tc>
          <w:tcPr>
            <w:tcW w:w="0" w:type="auto"/>
          </w:tcPr>
          <w:p>
            <w:r>
              <w:t>32.32</w:t>
            </w:r>
          </w:p>
        </w:tc>
        <w:tc>
          <w:tcPr>
            <w:tcW w:w="0" w:type="auto"/>
          </w:tcPr>
          <w:p>
            <w:r>
              <w:t>essential</w:t>
            </w:r>
          </w:p>
        </w:tc>
      </w:tr>
      <w:tr>
        <w:tc>
          <w:tcPr>
            <w:tcW w:w="0" w:type="auto"/>
          </w:tcPr>
          <w:p>
            <w:r>
              <w:t>buffered gas-curvature</w:t>
            </w:r>
          </w:p>
        </w:tc>
        <w:tc>
          <w:tcPr>
            <w:tcW w:w="0" w:type="auto"/>
          </w:tcPr>
          <w:p>
            <w:r>
              <w:t>2</w:t>
            </w:r>
          </w:p>
        </w:tc>
        <w:tc>
          <w:tcPr>
            <w:tcW w:w="0" w:type="auto"/>
          </w:tcPr>
          <w:p>
            <w:r>
              <w:t>81.54</w:t>
            </w:r>
          </w:p>
        </w:tc>
        <w:tc>
          <w:tcPr>
            <w:tcW w:w="0" w:type="auto"/>
          </w:tcPr>
          <w:p>
            <w:r>
              <w:t>40.77</w:t>
            </w:r>
          </w:p>
        </w:tc>
        <w:tc>
          <w:tcPr>
            <w:tcW w:w="0" w:type="auto"/>
          </w:tcPr>
          <w:p>
            <w:r>
              <w:t>essential</w:t>
            </w:r>
          </w:p>
        </w:tc>
      </w:tr>
      <w:tr>
        <w:tc>
          <w:tcPr>
            <w:tcW w:w="0" w:type="auto"/>
          </w:tcPr>
          <w:p>
            <w:r>
              <w:t>gas-rich buffered disk</w:t>
            </w:r>
          </w:p>
        </w:tc>
        <w:tc>
          <w:tcPr>
            <w:tcW w:w="0" w:type="auto"/>
          </w:tcPr>
          <w:p>
            <w:r>
              <w:t>4</w:t>
            </w:r>
          </w:p>
        </w:tc>
        <w:tc>
          <w:tcPr>
            <w:tcW w:w="0" w:type="auto"/>
          </w:tcPr>
          <w:p>
            <w:r>
              <w:t>80.72</w:t>
            </w:r>
          </w:p>
        </w:tc>
        <w:tc>
          <w:tcPr>
            <w:tcW w:w="0" w:type="auto"/>
          </w:tcPr>
          <w:p>
            <w:r>
              <w:t>20.18</w:t>
            </w:r>
          </w:p>
        </w:tc>
        <w:tc>
          <w:tcPr>
            <w:tcW w:w="0" w:type="auto"/>
          </w:tcPr>
          <w:p>
            <w:r>
              <w:t>essential</w:t>
            </w:r>
          </w:p>
        </w:tc>
      </w:tr>
      <w:tr>
        <w:tc>
          <w:tcPr>
            <w:tcW w:w="0" w:type="auto"/>
          </w:tcPr>
          <w:p>
            <w:r>
              <w:t>buffered gas-disk dense support</w:t>
            </w:r>
          </w:p>
        </w:tc>
        <w:tc>
          <w:tcPr>
            <w:tcW w:w="0" w:type="auto"/>
          </w:tcPr>
          <w:p>
            <w:r>
              <w:t>4</w:t>
            </w:r>
          </w:p>
        </w:tc>
        <w:tc>
          <w:tcPr>
            <w:tcW w:w="0" w:type="auto"/>
          </w:tcPr>
          <w:p>
            <w:r>
              <w:t>70.23</w:t>
            </w:r>
          </w:p>
        </w:tc>
        <w:tc>
          <w:tcPr>
            <w:tcW w:w="0" w:type="auto"/>
          </w:tcPr>
          <w:p>
            <w:r>
              <w:t>17.56</w:t>
            </w:r>
          </w:p>
        </w:tc>
        <w:tc>
          <w:tcPr>
            <w:tcW w:w="0" w:type="auto"/>
          </w:tcPr>
          <w:p>
            <w:r>
              <w:t>essential</w:t>
            </w:r>
          </w:p>
        </w:tc>
      </w:tr>
    </w:tbl>
    <w:p>
      <w:pPr>
        <w:pStyle w:val="Heading2"/>
      </w:pPr>
      <w:r>
        <w:t>Null and guardrail result</w:t>
      </w:r>
    </w:p>
    <w:tbl>
      <w:tblPr>
        <w:tblW w:w="0" w:type="auto"/>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tcPr>
          <w:p>
            <w:r>
              <w:rPr>
                <w:b/>
              </w:rPr>
              <w:t>Comparison</w:t>
            </w:r>
          </w:p>
        </w:tc>
        <w:tc>
          <w:tcPr>
            <w:tcW w:w="0" w:type="auto"/>
          </w:tcPr>
          <w:p>
            <w:r>
              <w:rPr>
                <w:b/>
              </w:rPr>
              <w:t>Gain</w:t>
            </w:r>
          </w:p>
        </w:tc>
        <w:tc>
          <w:tcPr>
            <w:tcW w:w="0" w:type="auto"/>
          </w:tcPr>
          <w:p>
            <w:r>
              <w:rPr>
                <w:b/>
              </w:rPr>
              <w:t>Margin</w:t>
            </w:r>
          </w:p>
        </w:tc>
        <w:tc>
          <w:tcPr>
            <w:tcW w:w="0" w:type="auto"/>
          </w:tcPr>
          <w:p>
            <w:r>
              <w:rPr>
                <w:b/>
              </w:rPr>
              <w:t>Notes</w:t>
            </w:r>
          </w:p>
        </w:tc>
      </w:tr>
      <w:tr>
        <w:tc>
          <w:tcPr>
            <w:tcW w:w="0" w:type="auto"/>
          </w:tcPr>
          <w:p>
            <w:r>
              <w:t>v18.05 clean high-RMSE candidate</w:t>
            </w:r>
          </w:p>
        </w:tc>
        <w:tc>
          <w:tcPr>
            <w:tcW w:w="0" w:type="auto"/>
          </w:tcPr>
          <w:p>
            <w:r>
              <w:t>68.08%</w:t>
            </w:r>
          </w:p>
        </w:tc>
        <w:tc>
          <w:tcPr>
            <w:tcW w:w="0" w:type="auto"/>
          </w:tcPr>
          <w:p>
            <w:r>
              <w:t>--</w:t>
            </w:r>
          </w:p>
        </w:tc>
        <w:tc>
          <w:tcPr>
            <w:tcW w:w="0" w:type="auto"/>
          </w:tcPr>
          <w:p>
            <w:r>
              <w:t>framework candidate</w:t>
            </w:r>
          </w:p>
        </w:tc>
      </w:tr>
      <w:tr>
        <w:tc>
          <w:tcPr>
            <w:tcW w:w="0" w:type="auto"/>
          </w:tcPr>
          <w:p>
            <w:r>
              <w:t>branch-label shuffled null median</w:t>
            </w:r>
          </w:p>
        </w:tc>
        <w:tc>
          <w:tcPr>
            <w:tcW w:w="0" w:type="auto"/>
          </w:tcPr>
          <w:p>
            <w:r>
              <w:t>16.06%</w:t>
            </w:r>
          </w:p>
        </w:tc>
        <w:tc>
          <w:tcPr>
            <w:tcW w:w="0" w:type="auto"/>
          </w:tcPr>
          <w:p>
            <w:r>
              <w:t>52.01</w:t>
            </w:r>
          </w:p>
        </w:tc>
        <w:tc>
          <w:tcPr>
            <w:tcW w:w="0" w:type="auto"/>
          </w:tcPr>
          <w:p>
            <w:r>
              <w:t>same-route same-active-count shuffled branch control</w:t>
            </w:r>
          </w:p>
        </w:tc>
      </w:tr>
      <w:tr>
        <w:tc>
          <w:tcPr>
            <w:tcW w:w="0" w:type="auto"/>
          </w:tcPr>
          <w:p>
            <w:r>
              <w:t>disk-shear edge actual increment</w:t>
            </w:r>
          </w:p>
        </w:tc>
        <w:tc>
          <w:tcPr>
            <w:tcW w:w="0" w:type="auto"/>
          </w:tcPr>
          <w:p>
            <w:r>
              <w:t>61.39%</w:t>
            </w:r>
          </w:p>
        </w:tc>
        <w:tc>
          <w:tcPr>
            <w:tcW w:w="0" w:type="auto"/>
          </w:tcPr>
          <w:p>
            <w:r>
              <w:t>61.39</w:t>
            </w:r>
          </w:p>
        </w:tc>
        <w:tc>
          <w:tcPr>
            <w:tcW w:w="0" w:type="auto"/>
          </w:tcPr>
          <w:p>
            <w:r>
              <w:t>UGC11557 edge branch increment over no-edge v18.03</w:t>
            </w:r>
          </w:p>
        </w:tc>
      </w:tr>
      <w:tr>
        <w:tc>
          <w:tcPr>
            <w:tcW w:w="0" w:type="auto"/>
          </w:tcPr>
          <w:p>
            <w:r>
              <w:t>state-respecting disk-shear edge null median</w:t>
            </w:r>
          </w:p>
        </w:tc>
        <w:tc>
          <w:tcPr>
            <w:tcW w:w="0" w:type="auto"/>
          </w:tcPr>
          <w:p>
            <w:r>
              <w:t>0.00%</w:t>
            </w:r>
          </w:p>
        </w:tc>
        <w:tc>
          <w:tcPr>
            <w:tcW w:w="0" w:type="auto"/>
          </w:tcPr>
          <w:p>
            <w:r>
              <w:t>61.39</w:t>
            </w:r>
          </w:p>
        </w:tc>
        <w:tc>
          <w:tcPr>
            <w:tcW w:w="0" w:type="auto"/>
          </w:tcPr>
          <w:p>
            <w:r>
              <w:t>same-active-count edge null with the full v18.04 state gate</w:t>
            </w:r>
          </w:p>
        </w:tc>
      </w:tr>
    </w:tbl>
    <w:p>
      <w:pPr>
        <w:pStyle w:val="Heading2"/>
      </w:pPr>
      <w:r>
        <w:t>Claim boundary</w:t>
      </w:r>
    </w:p>
    <w:p>
      <w:r>
        <w:t>The correct claim is that v18.05 is a clean-set SPARC framework-candidate repair for the high-RMSE failures under fixed canonical constants and protected holdout rules. It should not be presented as canonical MTS until review, and it should not be used to claim broad cosmological conclusions. The remaining external-data task is still full baryonic validation outside SPARC.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2026-05-07T04:47:57.910Z</dcterms:created>
  <dcterms:modified xsi:type="dcterms:W3CDTF">2026-05-07T04:47:57.930Z</dcterms:modified>
</cp:coreProperties>
</file>

<file path=docProps/custom.xml><?xml version="1.0" encoding="utf-8"?>
<Properties xmlns="http://schemas.openxmlformats.org/officeDocument/2006/custom-properties" xmlns:vt="http://schemas.openxmlformats.org/officeDocument/2006/docPropsVTypes"/>
</file>