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48"/>
          <w:szCs w:val="48"/>
        </w:rPr>
        <w:t xml:space="preserve">MTS Galaxy Law</w:t>
      </w:r>
    </w:p>
    <w:p>
      <w:pPr>
        <w:spacing w:after="60" w:before="60"/>
        <w:jc w:val="center"/>
      </w:pPr>
      <w:r>
        <w:rPr>
          <w:rFonts w:ascii="Arial" w:cs="Arial" w:eastAsia="Arial" w:hAnsi="Arial"/>
          <w:b/>
          <w:bCs/>
          <w:sz w:val="32"/>
          <w:szCs w:val="32"/>
        </w:rPr>
        <w:t xml:space="preserve">The Motion–Timespace (MTS) Galaxy Law:</w:t>
      </w:r>
    </w:p>
    <w:p>
      <w:pPr>
        <w:spacing w:after="60" w:before="60"/>
        <w:jc w:val="center"/>
      </w:pPr>
      <w:r>
        <w:rPr>
          <w:rFonts w:ascii="Arial" w:cs="Arial" w:eastAsia="Arial" w:hAnsi="Arial"/>
          <w:b/>
          <w:bCs/>
          <w:sz w:val="32"/>
          <w:szCs w:val="32"/>
        </w:rPr>
        <w:t xml:space="preserve">A Transport–Response Framework for Disk Galaxies</w:t>
      </w:r>
    </w:p>
    <w:p>
      <w:pPr>
        <w:spacing w:after="240" w:before="60"/>
        <w:jc w:val="center"/>
      </w:pPr>
      <w:r>
        <w:rPr>
          <w:rFonts w:ascii="Arial" w:cs="Arial" w:eastAsia="Arial" w:hAnsi="Arial"/>
          <w:i/>
          <w:iCs/>
          <w:sz w:val="22"/>
          <w:szCs w:val="22"/>
        </w:rPr>
        <w:t xml:space="preserve">Version 14  —  post-verification draft incorporating Experiments 1–15 + EXP06–EXP15 (geometry audit, membership lock, PC1 scope, shape probe)</w:t>
      </w:r>
    </w:p>
    <w:p>
      <w:pPr>
        <w:pStyle w:val="Heading1"/>
        <w:spacing w:after="180" w:before="360"/>
      </w:pPr>
      <w:r>
        <w:rPr>
          <w:rFonts w:ascii="Arial" w:cs="Arial" w:eastAsia="Arial" w:hAnsi="Arial"/>
          <w:b/>
          <w:bCs/>
          <w:sz w:val="32"/>
          <w:szCs w:val="32"/>
        </w:rPr>
        <w:t xml:space="preserve">Abstract</w:t>
      </w:r>
    </w:p>
    <w:p>
      <w:pPr>
        <w:spacing w:after="80" w:before="80"/>
        <w:jc w:val="left"/>
      </w:pPr>
      <w:r>
        <w:rPr>
          <w:rFonts w:ascii="Arial" w:cs="Arial" w:eastAsia="Arial" w:hAnsi="Arial"/>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80" w:before="80"/>
        <w:jc w:val="left"/>
      </w:pPr>
      <w:r>
        <w:rPr>
          <w:rFonts w:ascii="Arial" w:cs="Arial" w:eastAsia="Arial" w:hAnsi="Arial"/>
          <w:sz w:val="22"/>
          <w:szCs w:val="22"/>
        </w:rP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80" w:before="80"/>
        <w:jc w:val="left"/>
      </w:pPr>
      <w:r>
        <w:rPr>
          <w:rFonts w:ascii="Arial" w:cs="Arial" w:eastAsia="Arial" w:hAnsi="Arial"/>
          <w:sz w:val="22"/>
          <w:szCs w:val="22"/>
        </w:rPr>
        <w:t xml:space="preserve">Late-type galaxies (LTGs) follow a unified transport law with memory-driven corrections. The LTG buffered branch splits into 52 upward-crossing and 25 single-crossing outer-approach objects, predictable from initial load u(R₀) and inner concentration S_inner (AUC = 0.912 on valid-inner subset N = 55). Single-crossing outer error is organised by a two-scalar model using g = memory_load × x_cross and the memory-law gap L_gap = L_sat − L_exact (LOO RMSE ≈ 10 km/s, severity Spearman = 0.888, top-5 exact identification). An additional CDC-low-load route (N = 17) of suppressed-amplitude central-deficit galaxies is identified and characterised.</w:t>
      </w:r>
    </w:p>
    <w:p>
      <w:pPr>
        <w:spacing w:after="80" w:before="80"/>
        <w:jc w:val="left"/>
      </w:pPr>
      <w:r>
        <w:rPr>
          <w:rFonts w:ascii="Arial" w:cs="Arial" w:eastAsia="Arial" w:hAnsi="Arial"/>
          <w:sz w:val="22"/>
          <w:szCs w:val="22"/>
        </w:rPr>
        <w:t xml:space="preserve">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U_max ≈ 0.23–0.24 − 0.058 ln(S) (R² ≈ 0.85–0.92) organises inner feasibility across both galaxy types.</w:t>
      </w:r>
    </w:p>
    <w:p>
      <w:pPr>
        <w:spacing w:after="80" w:before="80"/>
        <w:jc w:val="left"/>
      </w:pPr>
      <w:r>
        <w:rPr>
          <w:rFonts w:ascii="Arial" w:cs="Arial" w:eastAsia="Arial" w:hAnsi="Arial"/>
          <w:sz w:val="22"/>
          <w:szCs w:val="22"/>
        </w:rPr>
        <w:t xml:space="preserve">New in this version (v13/v14): the crossing-window slope is shown to satisfy the parameter-free geometric identity c1 = −δu/(1 − x_cross), reproducing measured values across all 7 crossing objects with Pearson r = 0.998 and Spearman = 1.000, with no free parameters (RMSE = 0.07). This closes Priority K as a derived result rather than an empirical hint. The Stage-4 high-load subset improvement (LOO 0.444 → 0.361 log units) is confirmed as route-class conditioned, not Xout-threshold driven. The disk-buffered ETG branch is independently validated by three external population indicators: outward stellar age increase (+10.15 Gyr pair median), negative metallicity gradient (−0.79 dex), and radial M/L decline (outer/inner ratio 0.636), jointly ranking first among all 120 ETG pairs (p = 0.008). A direction correction is applied to §9.3: later crossing positions correspond to steeper, more negative (not shallower) crossing-window slopes. New in v14: Priority L set membership is locked (strict N=19, clean N=18, with named edge cases). The Stage-4 geometry variable is characterised: Full16 empirically prefers log(r_out/h) over log(r_out/R₉₀), with LOO improving from 0.444 to 0.312; this preference is driven by NGC3838 (the largest negative Stage-4 residual also has rank-1 r_out/R₉₀ = 3.507, and removing it reverses the geometry preference). HL12 supports the canonical r_out/R₉₀ form; NGC5582 is the HL12 endpoint controlling the R₉₀-vs-h preference. The ETG crossing-window PC1 = 99.82% (independently confirmed from raw files) is a separate result from the all-LTG u-profile PC1 ≈ 0.81 (EXP05/15). The all-LTG PC1 is depressed by route-class mixing (outer-infeasible and upward-crossing profiles have structurally different shapes); single-crossing LTGs alone give PC1 = 0.758. The h values for the 16 ETGs are source-locked as full-positive high-resolution disk.dat exponential scale lengths.</w:t>
      </w:r>
    </w:p>
    <w:p>
      <w:pPr>
        <w:spacing w:after="60" w:before="60"/>
      </w:pPr>
      <w:r>
        <w:rPr>
          <w:rFonts w:ascii="Arial" w:cs="Arial" w:eastAsia="Arial" w:hAnsi="Arial"/>
          <w:i/>
          <w:iCs/>
          <w:sz w:val="22"/>
          <w:szCs w:val="22"/>
        </w:rPr>
        <w:t xml:space="preserve">Performance note: LTG global performance figures in earlier drafts (median RMSE 20.60 km/s; all-LTG 29.44 km/s) are mixed-provenance artefacts from previous formula versions and are not cited in this draft. Current-formula performance under the exact gas-dependent memory law: all LTGs (N=175) median RMSE = 17.15 km/s, mean = 21.90 km/s.</w:t>
      </w:r>
    </w:p>
    <w:p>
      <w:pPr>
        <w:pStyle w:val="Heading1"/>
        <w:spacing w:after="180" w:before="360"/>
      </w:pPr>
      <w:r>
        <w:rPr>
          <w:rFonts w:ascii="Arial" w:cs="Arial" w:eastAsia="Arial" w:hAnsi="Arial"/>
          <w:b/>
          <w:bCs/>
          <w:sz w:val="32"/>
          <w:szCs w:val="32"/>
        </w:rPr>
        <w:t xml:space="preserve">1.  Introduction</w:t>
      </w:r>
    </w:p>
    <w:p>
      <w:pPr>
        <w:spacing w:after="80" w:before="80"/>
        <w:jc w:val="left"/>
      </w:pPr>
      <w:r>
        <w:rPr>
          <w:rFonts w:ascii="Arial" w:cs="Arial" w:eastAsia="Arial" w:hAnsi="Arial"/>
          <w:sz w:val="22"/>
          <w:szCs w:val="22"/>
        </w:rP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80" w:before="80"/>
        <w:jc w:val="left"/>
      </w:pPr>
      <w:r>
        <w:rPr>
          <w:rFonts w:ascii="Arial" w:cs="Arial" w:eastAsia="Arial" w:hAnsi="Arial"/>
          <w:sz w:val="22"/>
          <w:szCs w:val="22"/>
        </w:rP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spacing w:after="180" w:before="360"/>
      </w:pPr>
      <w:r>
        <w:rPr>
          <w:rFonts w:ascii="Arial" w:cs="Arial" w:eastAsia="Arial" w:hAnsi="Arial"/>
          <w:b/>
          <w:bCs/>
          <w:sz w:val="32"/>
          <w:szCs w:val="32"/>
        </w:rPr>
        <w:t xml:space="preserve">2.  The MTS Framework</w:t>
      </w:r>
    </w:p>
    <w:p>
      <w:pPr>
        <w:pStyle w:val="Heading2"/>
        <w:spacing w:after="120" w:before="240"/>
      </w:pPr>
      <w:r>
        <w:rPr>
          <w:rFonts w:ascii="Arial" w:cs="Arial" w:eastAsia="Arial" w:hAnsi="Arial"/>
          <w:b/>
          <w:bCs/>
          <w:sz w:val="26"/>
          <w:szCs w:val="26"/>
        </w:rPr>
        <w:t xml:space="preserve">2.1  Emergent geometry</w:t>
      </w:r>
    </w:p>
    <w:p>
      <w:pPr>
        <w:spacing w:after="80" w:before="80"/>
        <w:jc w:val="left"/>
      </w:pPr>
      <w:r>
        <w:rPr>
          <w:rFonts w:ascii="Arial" w:cs="Arial" w:eastAsia="Arial" w:hAnsi="Arial"/>
          <w:sz w:val="22"/>
          <w:szCs w:val="22"/>
        </w:rPr>
        <w:t xml:space="preserve">A scalar field ψ defines an emergent metric via coarse-grained gradient covariance:</w:t>
      </w:r>
    </w:p>
    <w:p>
      <w:pPr>
        <w:spacing w:after="80" w:before="80"/>
        <w:jc w:val="center"/>
      </w:pPr>
      <w:r>
        <w:rPr>
          <w:rFonts w:ascii="Arial" w:cs="Arial" w:eastAsia="Arial" w:hAnsi="Arial"/>
          <w:b/>
          <w:bCs/>
          <w:sz w:val="22"/>
          <w:szCs w:val="22"/>
        </w:rPr>
        <w:t xml:space="preserve">g</w:t>
      </w:r>
      <w:r>
        <w:rPr>
          <w:rFonts w:ascii="Arial" w:cs="Arial" w:eastAsia="Arial" w:hAnsi="Arial"/>
          <w:sz w:val="22"/>
          <w:szCs w:val="22"/>
        </w:rPr>
        <w:t xml:space="preserve">_μν = η_μν + ⟨∂_μψ, ∂_νψ⟩</w:t>
      </w:r>
    </w:p>
    <w:p>
      <w:pPr>
        <w:pStyle w:val="Heading2"/>
        <w:spacing w:after="120" w:before="240"/>
      </w:pPr>
      <w:r>
        <w:rPr>
          <w:rFonts w:ascii="Arial" w:cs="Arial" w:eastAsia="Arial" w:hAnsi="Arial"/>
          <w:b/>
          <w:bCs/>
          <w:sz w:val="26"/>
          <w:szCs w:val="26"/>
        </w:rPr>
        <w:t xml:space="preserve">2.2  Curvature–exchange field</w:t>
      </w:r>
    </w:p>
    <w:p>
      <w:pPr>
        <w:spacing w:after="80" w:before="80"/>
        <w:jc w:val="left"/>
      </w:pPr>
      <w:r>
        <w:rPr>
          <w:rFonts w:ascii="Arial" w:cs="Arial" w:eastAsia="Arial" w:hAnsi="Arial"/>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80" w:before="360"/>
      </w:pPr>
      <w:r>
        <w:rPr>
          <w:rFonts w:ascii="Arial" w:cs="Arial" w:eastAsia="Arial" w:hAnsi="Arial"/>
          <w:b/>
          <w:bCs/>
          <w:sz w:val="32"/>
          <w:szCs w:val="32"/>
        </w:rPr>
        <w:t xml:space="preserve">3.  Transport Equation and Background Law</w:t>
      </w:r>
    </w:p>
    <w:p>
      <w:pPr>
        <w:spacing w:after="80" w:before="80"/>
        <w:jc w:val="left"/>
      </w:pPr>
      <w:r>
        <w:rPr>
          <w:rFonts w:ascii="Arial" w:cs="Arial" w:eastAsia="Arial" w:hAnsi="Arial"/>
          <w:sz w:val="22"/>
          <w:szCs w:val="22"/>
        </w:rPr>
        <w:t xml:space="preserve">The transport equation is:</w:t>
      </w:r>
    </w:p>
    <w:p>
      <w:pPr>
        <w:spacing w:after="80" w:before="80"/>
        <w:jc w:val="center"/>
      </w:pPr>
      <w:r>
        <w:rPr>
          <w:rFonts w:ascii="Arial" w:cs="Arial" w:eastAsia="Arial" w:hAnsi="Arial"/>
          <w:sz w:val="22"/>
          <w:szCs w:val="22"/>
        </w:rPr>
        <w:t xml:space="preserve">u</w:t>
      </w:r>
      <w:r>
        <w:rPr>
          <w:rFonts w:ascii="Arial" w:cs="Arial" w:eastAsia="Arial" w:hAnsi="Arial"/>
          <w:sz w:val="18"/>
          <w:szCs w:val="18"/>
          <w:vertAlign w:val="superscript"/>
        </w:rPr>
        <w:t xml:space="preserve">μ</w:t>
      </w:r>
      <w:r>
        <w:rPr>
          <w:rFonts w:ascii="Arial" w:cs="Arial" w:eastAsia="Arial" w:hAnsi="Arial"/>
          <w:sz w:val="22"/>
          <w:szCs w:val="22"/>
        </w:rPr>
        <w:t xml:space="preserve"> ∇_μ χ + χ/τ_Γ = Γ₀/4</w:t>
      </w:r>
    </w:p>
    <w:p>
      <w:pPr>
        <w:spacing w:after="80" w:before="80"/>
        <w:jc w:val="left"/>
      </w:pPr>
      <w:r>
        <w:rPr>
          <w:rFonts w:ascii="Arial" w:cs="Arial" w:eastAsia="Arial" w:hAnsi="Arial"/>
          <w:sz w:val="22"/>
          <w:szCs w:val="22"/>
        </w:rPr>
        <w:t xml:space="preserve">In the stationary disk limit, with L = v_Γ τ_Γ, the background solution is:</w:t>
      </w:r>
    </w:p>
    <w:p>
      <w:pPr>
        <w:spacing w:after="80" w:before="80"/>
        <w:jc w:val="center"/>
      </w:pPr>
      <w:r>
        <w:rPr>
          <w:rFonts w:ascii="Arial" w:cs="Arial" w:eastAsia="Arial" w:hAnsi="Arial"/>
          <w:sz w:val="22"/>
          <w:szCs w:val="22"/>
        </w:rPr>
        <w:t xml:space="preserve">χ(r) = (Γ₀/4) L [1 − exp(−r/L)]</w:t>
      </w:r>
    </w:p>
    <w:p>
      <w:pPr>
        <w:spacing w:after="80" w:before="80"/>
        <w:jc w:val="left"/>
      </w:pPr>
      <w:r>
        <w:rPr>
          <w:rFonts w:ascii="Arial" w:cs="Arial" w:eastAsia="Arial" w:hAnsi="Arial"/>
          <w:sz w:val="22"/>
          <w:szCs w:val="22"/>
        </w:rPr>
        <w:t xml:space="preserve">Mapping to observables via V²(r) = V̄²_bar(r) + χ(r), using the photometric closure L = k(j̄_har/V̄_har,hmr) with k ≈ 0.9, and the cosmological normalisation Γ₀ = cH₀/(8π), yields the zero-parameter background galaxy law.</w:t>
      </w:r>
    </w:p>
    <w:p>
      <w:pPr>
        <w:spacing w:after="80" w:before="80"/>
        <w:jc w:val="left"/>
      </w:pPr>
      <w:r>
        <w:rPr>
          <w:rFonts w:ascii="Arial" w:cs="Arial" w:eastAsia="Arial" w:hAnsi="Arial"/>
          <w:sz w:val="22"/>
          <w:szCs w:val="22"/>
        </w:rPr>
        <w:t xml:space="preserve">Working constants (all locked, verified from raw files):</w:t>
      </w:r>
    </w:p>
    <w:p>
      <w:pPr>
        <w:spacing w:after="80" w:before="80"/>
        <w:jc w:val="center"/>
      </w:pPr>
      <w:r>
        <w:rPr>
          <w:rFonts w:ascii="Arial" w:cs="Arial" w:eastAsia="Arial" w:hAnsi="Arial"/>
          <w:b/>
          <w:bCs/>
          <w:sz w:val="22"/>
          <w:szCs w:val="22"/>
        </w:rPr>
        <w:t xml:space="preserve">Γ₀ = 809.956 km²/s²/kpc     R_max = 1.758948     q = 0.77 (global exponent)</w:t>
      </w:r>
    </w:p>
    <w:p>
      <w:pPr>
        <w:pStyle w:val="Heading1"/>
        <w:spacing w:after="180" w:before="360"/>
      </w:pPr>
      <w:r>
        <w:rPr>
          <w:rFonts w:ascii="Arial" w:cs="Arial" w:eastAsia="Arial" w:hAnsi="Arial"/>
          <w:b/>
          <w:bCs/>
          <w:sz w:val="32"/>
          <w:szCs w:val="32"/>
        </w:rPr>
        <w:t xml:space="preserve">4.  LTG Sector</w:t>
      </w:r>
    </w:p>
    <w:p>
      <w:pPr>
        <w:pStyle w:val="Heading2"/>
        <w:spacing w:after="120" w:before="240"/>
      </w:pPr>
      <w:r>
        <w:rPr>
          <w:rFonts w:ascii="Arial" w:cs="Arial" w:eastAsia="Arial" w:hAnsi="Arial"/>
          <w:b/>
          <w:bCs/>
          <w:sz w:val="26"/>
          <w:szCs w:val="26"/>
        </w:rPr>
        <w:t xml:space="preserve">4.1  Photometric closure</w:t>
      </w:r>
    </w:p>
    <w:p>
      <w:pPr>
        <w:spacing w:after="80" w:before="80"/>
        <w:jc w:val="left"/>
      </w:pPr>
      <w:r>
        <w:rPr>
          <w:rFonts w:ascii="Arial" w:cs="Arial" w:eastAsia="Arial" w:hAnsi="Arial"/>
          <w:sz w:val="22"/>
          <w:szCs w:val="22"/>
        </w:rPr>
        <w:t xml:space="preserve">For exponential disks, j̄_har = 2hV_φα, giving L_pred = 2kh ≈ 1.8h. This closure stabilises the scale law.</w:t>
      </w:r>
    </w:p>
    <w:p>
      <w:pPr>
        <w:pStyle w:val="Heading2"/>
        <w:spacing w:after="120" w:before="240"/>
      </w:pPr>
      <w:r>
        <w:rPr>
          <w:rFonts w:ascii="Arial" w:cs="Arial" w:eastAsia="Arial" w:hAnsi="Arial"/>
          <w:b/>
          <w:bCs/>
          <w:sz w:val="26"/>
          <w:szCs w:val="26"/>
        </w:rPr>
        <w:t xml:space="preserve">4.2  Transport memory law (canonical convention)</w:t>
      </w:r>
    </w:p>
    <w:p>
      <w:pPr>
        <w:spacing w:after="80" w:before="80"/>
        <w:jc w:val="left"/>
      </w:pPr>
      <w:r>
        <w:rPr>
          <w:rFonts w:ascii="Arial" w:cs="Arial" w:eastAsia="Arial" w:hAnsi="Arial"/>
          <w:sz w:val="22"/>
          <w:szCs w:val="22"/>
        </w:rPr>
        <w:t xml:space="preserve">The governing variable is memory_load = (1 − f_gas)(R_out / h). The effective transport scale is:</w:t>
      </w:r>
    </w:p>
    <w:p>
      <w:pPr>
        <w:spacing w:after="80" w:before="80"/>
        <w:jc w:val="center"/>
      </w:pPr>
      <w:r>
        <w:rPr>
          <w:rFonts w:ascii="Arial" w:cs="Arial" w:eastAsia="Arial" w:hAnsi="Arial"/>
          <w:sz w:val="22"/>
          <w:szCs w:val="22"/>
        </w:rPr>
        <w:t xml:space="preserve">L_eff = 1.8h [ 1 + S_mem ( 1 − exp(−memory_load / S_mem) ) ]</w:t>
      </w:r>
    </w:p>
    <w:p>
      <w:pPr>
        <w:spacing w:after="80" w:before="80"/>
        <w:jc w:val="center"/>
      </w:pPr>
      <w:r>
        <w:rPr>
          <w:rFonts w:ascii="Arial" w:cs="Arial" w:eastAsia="Arial" w:hAnsi="Arial"/>
          <w:sz w:val="22"/>
          <w:szCs w:val="22"/>
        </w:rPr>
        <w:t xml:space="preserve">S_mem = (0.9/π)(R_out / h)</w:t>
      </w:r>
    </w:p>
    <w:p>
      <w:pPr>
        <w:spacing w:after="80" w:before="80"/>
        <w:jc w:val="left"/>
      </w:pPr>
      <w:r>
        <w:rPr>
          <w:rFonts w:ascii="Arial" w:cs="Arial" w:eastAsia="Arial" w:hAnsi="Arial"/>
          <w:sz w:val="22"/>
          <w:szCs w:val="22"/>
        </w:rPr>
        <w:t xml:space="preserve">This is the canonical exact gas-dependent memory law. It must be used for all residual and performance tables. The saturated approximation L_eff = 1.8h(1 + S_mem) gives qualitatively similar results but lower RMSEs (by approximately 0.7 km/s on the global median) and is not used for headline statistics.</w:t>
      </w:r>
    </w:p>
    <w:p>
      <w:pPr>
        <w:pStyle w:val="Heading2"/>
        <w:spacing w:after="120" w:before="240"/>
      </w:pPr>
      <w:r>
        <w:rPr>
          <w:rFonts w:ascii="Arial" w:cs="Arial" w:eastAsia="Arial" w:hAnsi="Arial"/>
          <w:b/>
          <w:bCs/>
          <w:sz w:val="26"/>
          <w:szCs w:val="26"/>
        </w:rPr>
        <w:t xml:space="preserve">4.3  Complete LTG law</w:t>
      </w:r>
    </w:p>
    <w:p>
      <w:pPr>
        <w:spacing w:after="80" w:before="80"/>
        <w:jc w:val="center"/>
      </w:pPr>
      <w:r>
        <w:rPr>
          <w:rFonts w:ascii="Arial" w:cs="Arial" w:eastAsia="Arial" w:hAnsi="Arial"/>
          <w:sz w:val="22"/>
          <w:szCs w:val="22"/>
        </w:rPr>
        <w:t xml:space="preserve">V²(r) = V̄²_bar(r) + Γ₀ × L_eff × [1 − exp(−(r/L_eff)</w:t>
      </w:r>
      <w:r>
        <w:rPr>
          <w:rFonts w:ascii="Arial" w:cs="Arial" w:eastAsia="Arial" w:hAnsi="Arial"/>
          <w:sz w:val="18"/>
          <w:szCs w:val="18"/>
          <w:vertAlign w:val="superscript"/>
        </w:rPr>
        <w:t xml:space="preserve">q</w:t>
      </w:r>
      <w:r>
        <w:rPr>
          <w:rFonts w:ascii="Arial" w:cs="Arial" w:eastAsia="Arial" w:hAnsi="Arial"/>
          <w:sz w:val="22"/>
          <w:szCs w:val="22"/>
        </w:rPr>
        <w:t xml:space="preserve">]</w:t>
      </w:r>
    </w:p>
    <w:p>
      <w:pPr>
        <w:spacing w:after="80" w:before="80"/>
        <w:jc w:val="left"/>
      </w:pPr>
      <w:r>
        <w:rPr>
          <w:rFonts w:ascii="Arial" w:cs="Arial" w:eastAsia="Arial" w:hAnsi="Arial"/>
          <w:sz w:val="22"/>
          <w:szCs w:val="22"/>
        </w:rPr>
        <w:t xml:space="preserve">where V̄²_bar = V²_gas + 0.5 V²_disk + 0.7 V²_bul, q = 0.77, Γ₀ = 809.956.</w:t>
      </w:r>
    </w:p>
    <w:p>
      <w:pPr>
        <w:spacing w:after="90" w:before="180"/>
      </w:pPr>
      <w:r>
        <w:rPr>
          <w:rFonts w:ascii="Arial" w:cs="Arial" w:eastAsia="Arial" w:hAnsi="Arial"/>
          <w:b/>
          <w:bCs/>
          <w:sz w:val="24"/>
          <w:szCs w:val="24"/>
        </w:rPr>
        <w:t xml:space="preserve">Computation convention</w:t>
      </w:r>
    </w:p>
    <w:p>
      <w:pPr>
        <w:spacing w:after="80" w:before="80"/>
        <w:jc w:val="left"/>
      </w:pPr>
      <w:r>
        <w:rPr>
          <w:rFonts w:ascii="Arial" w:cs="Arial" w:eastAsia="Arial" w:hAnsi="Arial"/>
          <w:sz w:val="22"/>
          <w:szCs w:val="22"/>
        </w:rPr>
        <w:t xml:space="preserve">Inner profile quantities (Q12, Q14, Δ, S, U_max): interpolate V² directly. This is the V²-interpolation convention. Outer radial u(r) profiles and crossing-window work: interpolate V_obs in V-space then square; interpolate disk and bulge component terms in V²-space. Both conventions are verified from raw files.</w:t>
      </w:r>
    </w:p>
    <w:p>
      <w:pPr>
        <w:pStyle w:val="Heading2"/>
        <w:spacing w:after="120" w:before="240"/>
      </w:pPr>
      <w:r>
        <w:rPr>
          <w:rFonts w:ascii="Arial" w:cs="Arial" w:eastAsia="Arial" w:hAnsi="Arial"/>
          <w:b/>
          <w:bCs/>
          <w:sz w:val="26"/>
          <w:szCs w:val="26"/>
        </w:rPr>
        <w:t xml:space="preserve">4.4  LTG global performance</w:t>
      </w:r>
    </w:p>
    <w:p>
      <w:pPr>
        <w:spacing w:after="80" w:before="80"/>
        <w:jc w:val="left"/>
      </w:pPr>
      <w:r>
        <w:rPr>
          <w:rFonts w:ascii="Arial" w:cs="Arial" w:eastAsia="Arial" w:hAnsi="Arial"/>
          <w:sz w:val="22"/>
          <w:szCs w:val="22"/>
        </w:rPr>
        <w:t xml:space="preserve">All values computed from Rotmod_LTG(4).zip, exact gas-dependent memory law, q = 0.77.</w:t>
      </w:r>
    </w:p>
    <w:p>
      <w:pPr>
        <w:spacing w:after="40" w:before="4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2200"/>
        <w:gridCol w:w="2000"/>
        <w:gridCol w:w="2000"/>
      </w:tblGrid>
      <w:tr>
        <w:trPr>
          <w:tblHeader/>
        </w:trPr>
        <w:tc>
          <w:tcPr>
            <w:tcW w:type="dxa" w:w="2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RMSE</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Mean RMSE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 excl. CamB</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17.21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21.90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upward-crossing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22.94 km/s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single-crossing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37.50 km/s</w:t>
            </w:r>
          </w:p>
        </w:tc>
      </w:tr>
    </w:tbl>
    <w:p>
      <w:pPr>
        <w:spacing w:after="40" w:before="40"/>
      </w:pPr>
      <w:r>
        <w:t xml:space="preserve"/>
      </w:r>
    </w:p>
    <w:p>
      <w:pPr>
        <w:spacing w:after="80" w:before="80"/>
        <w:jc w:val="left"/>
      </w:pPr>
      <w:r>
        <w:rPr>
          <w:rFonts w:ascii="Arial" w:cs="Arial" w:eastAsia="Arial" w:hAnsi="Arial"/>
          <w:sz w:val="22"/>
          <w:szCs w:val="22"/>
        </w:rPr>
        <w:t xml:space="preserve">Welch two-sample t-test for upward vs single-crossing RMSE difference: p = 0.00985. Outer MAE split: upward median 21.17 km/s, single-crossing median 32.93 km/s (p = 0.044). All values verified from raw files using the exact memory law.</w:t>
      </w:r>
    </w:p>
    <w:p>
      <w:pPr>
        <w:pStyle w:val="Heading1"/>
        <w:spacing w:after="180" w:before="360"/>
      </w:pPr>
      <w:r>
        <w:rPr>
          <w:rFonts w:ascii="Arial" w:cs="Arial" w:eastAsia="Arial" w:hAnsi="Arial"/>
          <w:b/>
          <w:bCs/>
          <w:sz w:val="32"/>
          <w:szCs w:val="32"/>
        </w:rPr>
        <w:t xml:space="preserve">5.  LTG Outer Route Structure</w:t>
      </w:r>
    </w:p>
    <w:p>
      <w:pPr>
        <w:pStyle w:val="Heading2"/>
        <w:spacing w:after="120" w:before="240"/>
      </w:pPr>
      <w:r>
        <w:rPr>
          <w:rFonts w:ascii="Arial" w:cs="Arial" w:eastAsia="Arial" w:hAnsi="Arial"/>
          <w:b/>
          <w:bCs/>
          <w:sz w:val="26"/>
          <w:szCs w:val="26"/>
        </w:rPr>
        <w:t xml:space="preserve">5.1  The outer load variable</w:t>
      </w:r>
    </w:p>
    <w:p>
      <w:pPr>
        <w:spacing w:after="80" w:before="80"/>
        <w:jc w:val="left"/>
      </w:pPr>
      <w:r>
        <w:rPr>
          <w:rFonts w:ascii="Arial" w:cs="Arial" w:eastAsia="Arial" w:hAnsi="Arial"/>
          <w:sz w:val="22"/>
          <w:szCs w:val="22"/>
        </w:rPr>
        <w:t xml:space="preserve">For each galaxy at each radius, the outer load variable is:</w:t>
      </w:r>
    </w:p>
    <w:p>
      <w:pPr>
        <w:spacing w:after="80" w:before="80"/>
        <w:jc w:val="center"/>
      </w:pPr>
      <w:r>
        <w:rPr>
          <w:rFonts w:ascii="Arial" w:cs="Arial" w:eastAsia="Arial" w:hAnsi="Arial"/>
          <w:sz w:val="22"/>
          <w:szCs w:val="22"/>
        </w:rPr>
        <w:t xml:space="preserve">u(r) = [V²_obs(r) − 0.5 V²_disk(r) − 0.7 V²_bul(r)] / (Γ₀ r R_max)</w:t>
      </w:r>
    </w:p>
    <w:p>
      <w:pPr>
        <w:spacing w:after="80" w:before="80"/>
        <w:jc w:val="left"/>
      </w:pPr>
      <w:r>
        <w:rPr>
          <w:rFonts w:ascii="Arial" w:cs="Arial" w:eastAsia="Arial" w:hAnsi="Arial"/>
          <w:sz w:val="22"/>
          <w:szCs w:val="22"/>
        </w:rPr>
        <w:t xml:space="preserve">The outer gate criterion is u(r_out) &lt; 1. LTG route classification uses fine-grid interpolation with 10,000 radial points and the outermost downward crossing of u = 1.</w:t>
      </w:r>
    </w:p>
    <w:p>
      <w:pPr>
        <w:pStyle w:val="Heading2"/>
        <w:spacing w:after="120" w:before="240"/>
      </w:pPr>
      <w:r>
        <w:rPr>
          <w:rFonts w:ascii="Arial" w:cs="Arial" w:eastAsia="Arial" w:hAnsi="Arial"/>
          <w:b/>
          <w:bCs/>
          <w:sz w:val="26"/>
          <w:szCs w:val="26"/>
        </w:rPr>
        <w:t xml:space="preserve">5.2  Route counts (all verified from raw files)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1000"/>
        <w:gridCol w:w="2760"/>
      </w:tblGrid>
      <w:tr>
        <w:trPr>
          <w:tblHeader/>
        </w:trPr>
        <w:tc>
          <w:tcPr>
            <w:tcW w:type="dxa" w:w="3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c>
          <w:tcPr>
            <w:tcW w:type="dxa" w:w="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Count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Median u_out</w:t>
            </w:r>
          </w:p>
        </w:tc>
        <w:tc>
          <w:tcPr>
            <w:tcW w:type="dxa" w:w="27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(u_out &lt; 1, no downward 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0.346</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upward-crossing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dips below 1, rises back, then final descent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 — single-crossing</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 upward recrossing through u = 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Outer-infeasible (u_out ≥ 1)</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Total</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bl>
    <w:p>
      <w:pPr>
        <w:spacing w:after="40" w:before="40"/>
      </w:pPr>
      <w:r>
        <w:t xml:space="preserve"/>
      </w:r>
    </w:p>
    <w:p>
      <w:pPr>
        <w:spacing w:after="60" w:before="60"/>
      </w:pPr>
      <w:r>
        <w:rPr>
          <w:rFonts w:ascii="Arial" w:cs="Arial" w:eastAsia="Arial" w:hAnsi="Arial"/>
          <w:i/>
          <w:iCs/>
          <w:sz w:val="22"/>
          <w:szCs w:val="22"/>
        </w:rPr>
        <w:t xml:space="preserve">Terminology note: "single-crossing" (replacing "straight-down") means no upward recrossing through u = 1. Of the 25 single-crossing galaxies, only 7/25 are strictly monotone decreasing in u(r). The classification is topological, not shape-based.</w:t>
      </w:r>
    </w:p>
    <w:p>
      <w:pPr>
        <w:spacing w:after="80" w:before="80"/>
        <w:jc w:val="left"/>
      </w:pPr>
      <w:r>
        <w:rPr>
          <w:rFonts w:ascii="Arial" w:cs="Arial" w:eastAsia="Arial" w:hAnsi="Arial"/>
          <w:sz w:val="22"/>
          <w:szCs w:val="22"/>
        </w:rPr>
        <w:t xml:space="preserve">The total number of galaxies with u(R₀) &lt; 0 is 39: 15 within the buffered upward-crossing group (CDC-upward), 17 within the low-load group (CDC-low-load), and 7 within the outer-infeasible group. The 17 CDC-low-load galaxies form a distinct route branch discussed in §5.6.</w:t>
      </w:r>
    </w:p>
    <w:p>
      <w:pPr>
        <w:pStyle w:val="Heading2"/>
        <w:spacing w:after="120" w:before="240"/>
      </w:pPr>
      <w:r>
        <w:rPr>
          <w:rFonts w:ascii="Arial" w:cs="Arial" w:eastAsia="Arial" w:hAnsi="Arial"/>
          <w:b/>
          <w:bCs/>
          <w:sz w:val="26"/>
          <w:szCs w:val="26"/>
        </w:rPr>
        <w:t xml:space="preserve">5.3  LTG inner admissibility</w:t>
      </w:r>
    </w:p>
    <w:p>
      <w:pPr>
        <w:spacing w:after="80" w:before="80"/>
        <w:jc w:val="left"/>
      </w:pPr>
      <w:r>
        <w:rPr>
          <w:rFonts w:ascii="Arial" w:cs="Arial" w:eastAsia="Arial" w:hAnsi="Arial"/>
          <w:sz w:val="22"/>
          <w:szCs w:val="22"/>
        </w:rPr>
        <w:t xml:space="preserve">The LTG legacy inner set is defined by: h/r_out ≤ 0.3168 (from global log-linear SBdisk fit), Δ &gt; 0, no h ≥ R₀ guard. This gives N = 141 (legacy) and N = 124 (strict, adding h ≥ R₀). The 17 artefact cases (h &lt; R₀) all give S = 0.500, Δ = 0.500, U_max = 0.298 exactly, by construction.</w:t>
      </w:r>
    </w:p>
    <w:p>
      <w:pPr>
        <w:pStyle w:val="Heading2"/>
        <w:spacing w:after="120" w:before="240"/>
      </w:pPr>
      <w:r>
        <w:rPr>
          <w:rFonts w:ascii="Arial" w:cs="Arial" w:eastAsia="Arial" w:hAnsi="Arial"/>
          <w:b/>
          <w:bCs/>
          <w:sz w:val="26"/>
          <w:szCs w:val="26"/>
        </w:rPr>
        <w:t xml:space="preserve">5.4  Buffered regime split and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860"/>
      </w:tblGrid>
      <w:tr>
        <w:trPr>
          <w:tblHeader/>
        </w:trPr>
        <w:tc>
          <w:tcPr>
            <w:tcW w:type="dxa" w:w="4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Predictor</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AUC</w:t>
            </w:r>
          </w:p>
        </w:tc>
        <w:tc>
          <w:tcPr>
            <w:tcW w:type="dxa" w:w="3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Dominant single predictor</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0.588</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 (Delta)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x_cross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 + 0.35 S_inner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Best scalar, N=55 valid-inner subset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g4 = −u(R₀) + 0.30 S + 0.20(1−f_gas)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N=55 valid-inner subset</w:t>
            </w:r>
          </w:p>
        </w:tc>
      </w:tr>
    </w:tbl>
    <w:p>
      <w:pPr>
        <w:spacing w:after="40" w:before="40"/>
      </w:pPr>
      <w:r>
        <w:t xml:space="preserve"/>
      </w:r>
    </w:p>
    <w:p>
      <w:pPr>
        <w:spacing w:after="60" w:before="60"/>
      </w:pPr>
      <w:r>
        <w:rPr>
          <w:rFonts w:ascii="Arial" w:cs="Arial" w:eastAsia="Arial" w:hAnsi="Arial"/>
          <w:i/>
          <w:iCs/>
          <w:sz w:val="22"/>
          <w:szCs w:val="22"/>
        </w:rPr>
        <w:t xml:space="preserve">AUC values for g_sep and g4 condition on the 55 buffered galaxies with valid S_inner values, not the full 77.</w:t>
      </w:r>
    </w:p>
    <w:p>
      <w:pPr>
        <w:pStyle w:val="Heading2"/>
        <w:spacing w:after="120" w:before="240"/>
      </w:pPr>
      <w:r>
        <w:rPr>
          <w:rFonts w:ascii="Arial" w:cs="Arial" w:eastAsia="Arial" w:hAnsi="Arial"/>
          <w:b/>
          <w:bCs/>
          <w:sz w:val="26"/>
          <w:szCs w:val="26"/>
        </w:rPr>
        <w:t xml:space="preserve">5.5  Single-crossing outer error scalar</w:t>
      </w:r>
    </w:p>
    <w:p>
      <w:pPr>
        <w:spacing w:after="80" w:before="80"/>
        <w:jc w:val="left"/>
      </w:pPr>
      <w:r>
        <w:rPr>
          <w:rFonts w:ascii="Arial" w:cs="Arial" w:eastAsia="Arial" w:hAnsi="Arial"/>
          <w:sz w:val="22"/>
          <w:szCs w:val="22"/>
        </w:rPr>
        <w:t xml:space="preserve">For the 25 single-crossing objects, the outer error correlates with accumulated memory load and crossing position:</w:t>
      </w:r>
    </w:p>
    <w:p>
      <w:pPr>
        <w:spacing w:after="80" w:before="80"/>
        <w:jc w:val="center"/>
      </w:pPr>
      <w:r>
        <w:rPr>
          <w:rFonts w:ascii="Arial" w:cs="Arial" w:eastAsia="Arial" w:hAnsi="Arial"/>
          <w:sz w:val="22"/>
          <w:szCs w:val="22"/>
        </w:rPr>
        <w:t xml:space="preserve">g = memory_load × x_cross,   memory_load = (1 − f_gas)(r_out/h)</w:t>
      </w:r>
    </w:p>
    <w:p>
      <w:pPr>
        <w:spacing w:after="80" w:before="80"/>
        <w:jc w:val="left"/>
      </w:pPr>
      <w:r>
        <w:rPr>
          <w:rFonts w:ascii="Arial" w:cs="Arial" w:eastAsia="Arial" w:hAnsi="Arial"/>
          <w:sz w:val="22"/>
          <w:szCs w:val="22"/>
        </w:rPr>
        <w:t xml:space="preserve">Using exact memory law residuals: Pearson(g, outer MAE) = 0.767, linear fit outer_MAE ≈ 5.02 + 9.74g, R² = 0.588. A second independent scalar, the memory-law gap L_gap = L_sat − L_exact, adds substantial predictive power. Verified: corr(g, L_gap) ≈ 0 (VIF ≈ 1.000), partial r(outer_MAE, L_gap | g) = +0.852 (p = 3.6×10⁻⁶). The two-scalar working model (Priority L, provisional):</w:t>
      </w:r>
    </w:p>
    <w:p>
      <w:pPr>
        <w:spacing w:after="80" w:before="80"/>
        <w:jc w:val="center"/>
      </w:pPr>
      <w:r>
        <w:rPr>
          <w:rFonts w:ascii="Arial" w:cs="Arial" w:eastAsia="Arial" w:hAnsi="Arial"/>
          <w:sz w:val="22"/>
          <w:szCs w:val="22"/>
        </w:rPr>
        <w:t xml:space="preserve">outer_MAE ≈ −10.4 + 8.6g + 10.5 L_gap</w:t>
      </w:r>
    </w:p>
    <w:p>
      <w:pPr>
        <w:spacing w:after="80" w:before="80"/>
        <w:jc w:val="left"/>
      </w:pPr>
      <w:r>
        <w:rPr>
          <w:rFonts w:ascii="Arial" w:cs="Arial" w:eastAsia="Arial" w:hAnsi="Arial"/>
          <w:sz w:val="22"/>
          <w:szCs w:val="22"/>
        </w:rPr>
        <w:t xml:space="preserve">Applicability conditions: h ≥ R[0] (strict h-guard; excludes 6 artefact galaxies); x_cross &gt; 0.10 (excludes UGC03580 inner-cusp artefact); exact gas-dependent L_eff; outer MAE measured over R ≥ x_cross. Canonical sets: strict N=19, strict-clean N=18. Locked membership — strict N=19: F579-V1, NGC1705, NGC2403, NGC2841, NGC2998, NGC3953, NGC4183, NGC4214, NGC5371, NGC5907, NGC6674, UGC02259, UGC02885, UGC03580, UGC04325, UGC05721, UGC06786, UGC08490, UGC12506. Clean N=18: strict minus UGC03580. Edge cases: UGC03580 has xcr_norm = 0.008 and 46 outer data points but is excluded by the x_cross &gt; 0.10 inner-cusp guard; NGC3953 has xcr_norm = 0.9985 and only 1 raw data point beyond crossing (threshold-fragile: disappears at u=0.99 threshold); UGC04325 has xcr_norm = 0.929 and only 1 raw post-crossing point. Adding an n_outer ≥ 2 guard removes NGC3953 and UGC04325, giving strict N=17 / clean N=16; the g+L_gap model remains stable (LOO RMSE changes by &lt;1 km/s). Performance: g + L_gap LOO RMSE ≈ 10.1–10.5 km/s (N=19/18) and ≈ 10.3–10.8 km/s (N=17/16 robustness); improvement over g-only ≈ 8.3 km/s. Severity ranking: Pearson = 0.935, Spearman = 0.888, Kendall = 0.731. The model correctly identifies the top-5 highest-error objects (NGC2841, UGC06786, UGC02885, UGC12506, NGC6674) and is within 10 km/s for 68% of objects in-sample.</w:t>
      </w:r>
    </w:p>
    <w:p>
      <w:pPr>
        <w:spacing w:after="80" w:before="80"/>
        <w:jc w:val="left"/>
      </w:pPr>
      <w:r>
        <w:rPr>
          <w:rFonts w:ascii="Arial" w:cs="Arial" w:eastAsia="Arial" w:hAnsi="Arial"/>
          <w:sz w:val="22"/>
          <w:szCs w:val="22"/>
        </w:rPr>
        <w:t xml:space="preserve">Residual structure: positive residuals (underpredicted) are late-retained-load or broad systems (UGC06786, UGC04325, UGC02885). Negative residuals are compact or rapidly falling systems (NGC4214, NGC5371, NGC4183). The two-condition late-load diagnostic uout &gt; 0.64 AND h/r_out &gt; 0.095 flags 4/5 true-positive objects with zero negative-group false positives. It correctly excludes NGC4214 (h/r_out = 0.089). Three-variable extensions (adding n_scales or memory_load) both fail jackknife coefficient sign-stability across strict N=19 and clean N=18 sets. Priority L status: provisional severity diagnostic and outer MAE estimator; not a universal point correction law.</w:t>
      </w:r>
    </w:p>
    <w:p>
      <w:pPr>
        <w:pStyle w:val="Heading2"/>
        <w:spacing w:after="120" w:before="240"/>
      </w:pPr>
      <w:r>
        <w:rPr>
          <w:rFonts w:ascii="Arial" w:cs="Arial" w:eastAsia="Arial" w:hAnsi="Arial"/>
          <w:b/>
          <w:bCs/>
          <w:sz w:val="26"/>
          <w:szCs w:val="26"/>
        </w:rPr>
        <w:t xml:space="preserve">5.6  CDC-low-load branch</w:t>
      </w:r>
    </w:p>
    <w:p>
      <w:pPr>
        <w:spacing w:after="80" w:before="80"/>
        <w:jc w:val="left"/>
      </w:pPr>
      <w:r>
        <w:rPr>
          <w:rFonts w:ascii="Arial" w:cs="Arial" w:eastAsia="Arial" w:hAnsi="Arial"/>
          <w:sz w:val="22"/>
          <w:szCs w:val="22"/>
        </w:rPr>
        <w:t xml:space="preserve">17 LTG galaxies form a suppressed-amplitude central-deficit route: u(R₀) &lt; 0, u_out &lt; 1, and max u(r) &lt; 1 across the full radial profile. All 17 pass the strict h ≥ R₀ guard. Members: NGC4217, NGC5055, NGC7331, NGC4389, NGC4085, UGC09037, UGC06614, NGC4088, UGC02455, UGC11557, NGC3769, UGC04305, F574-2, CamB, UGC08837, NGC4068, NGC0100.</w:t>
      </w:r>
    </w:p>
    <w:p>
      <w:pPr>
        <w:spacing w:after="80" w:before="80"/>
        <w:jc w:val="left"/>
      </w:pPr>
      <w:r>
        <w:rPr>
          <w:rFonts w:ascii="Arial" w:cs="Arial" w:eastAsia="Arial" w:hAnsi="Arial"/>
          <w:sz w:val="22"/>
          <w:szCs w:val="22"/>
        </w:rPr>
        <w:t xml:space="preserve">Three sub-groups: deep-deficit subthreshold (NGC4217, NGC5055, NGC4389; u₀ ≈ −4.6, umax ≈ 0.84); near-threshold CDC-low (NGC7331, NGC4085, NGC3769; umax ≈ 0.96–0.998); weak-sign CDC-low (F574-2, CamB, UGC08837, NGC4068, NGC0100; |u₀| &lt; 0.03). The CDC-low group is statistically distinct from both ordinary low-load and CDC-upward (MW p = 0.005 vs ordinary low-load; p = 0.019 vs CDC-upward). Full-curve RMSE shows modest structure: rise_amp + h/r_out gives R² = 0.576, LOO RMSE ≈ 8.9 km/s. The h/r_out coefficient is large (≈ 71), making the model sensitive to h measurement errors; use only as a directional diagnostic. No outer MAE correction law exists. Note: the uploaded Serra2012 and CO single-dish archives contain only ETG/ATLAS3D objects (0/17 overlap with CDC-low), so external HI/CO morphology data for this branch is not available from the current dataset. Internal SPARC gas-curve variables (f_gas_out, gas_peak_x, gas_outer_slope, Vgas_peak) do not improve the RMSE model by more than 0.42 km/s LOO. CDC-low is treated as a route taxonomy branch.</w:t>
      </w:r>
    </w:p>
    <w:p>
      <w:pPr>
        <w:pStyle w:val="Heading2"/>
        <w:spacing w:after="120" w:before="240"/>
      </w:pPr>
      <w:r>
        <w:rPr>
          <w:rFonts w:ascii="Arial" w:cs="Arial" w:eastAsia="Arial" w:hAnsi="Arial"/>
          <w:b/>
          <w:bCs/>
          <w:sz w:val="26"/>
          <w:szCs w:val="26"/>
        </w:rPr>
        <w:t xml:space="preserve">5.7  All-LTG u-profile PC1 taxonomy (new in v14)</w:t>
      </w:r>
    </w:p>
    <w:p>
      <w:pPr>
        <w:spacing w:after="80" w:before="80"/>
        <w:jc w:val="left"/>
      </w:pPr>
      <w:r>
        <w:rPr>
          <w:rFonts w:ascii="Arial" w:cs="Arial" w:eastAsia="Arial" w:hAnsi="Arial"/>
          <w:sz w:val="22"/>
          <w:szCs w:val="22"/>
        </w:rPr>
        <w:t xml:space="preserve">The PC1 of the all-LTG u(r/r_out) profile family is approximately 0.81 (x_min = 0.05, 200-point grid), well below the ETG crossing-window PC1 = 99.82%. This gap is primarily route-class mixing, not profile normalisation or CDC-low structure. By route class: low-load PC1 = 0.813, single-crossing PC1 = 0.758, outer-infeasible PC1 = 0.911, upward-crossing PC1 = 0.668. The top variance contributors (ranked by PC1 residual variance) are dominated by 7/10 outer-infeasible galaxies (IC4202, UGC06973, NGC5005, UGC11914, NGC6789, NGC7814, UGC06787), followed by upward-crossing objects (NGC0891, NGC3877) and one CDC-low case (NGC4217). Outer-infeasible galaxies carry structurally different u-profiles (u stays above 1 everywhere), so including them in an “all-LTG attractor” comparison is physically inappropriate. The relevant single-population comparison for Priority G is ETG crossing-window PC1 = 99.82% vs single-crossing LTG PC1 = 0.758 — a genuine structural gap that remains unresolved theoretically. x_min sensitivity: PC1 drops sharply below x_min = 0.05 (to ≈0.56 at x_min = 0.01) due to inner-cusp variance from CDC galaxies; stable above x_min = 0.07 (≈0.83–0.84). The all-LTG PC1 should not be cited as weakening the ETG crossing-window result — they are different objects measuring different things.</w:t>
      </w:r>
    </w:p>
    <w:p>
      <w:pPr>
        <w:pStyle w:val="Heading1"/>
        <w:spacing w:after="180" w:before="360"/>
      </w:pPr>
      <w:r>
        <w:rPr>
          <w:rFonts w:ascii="Arial" w:cs="Arial" w:eastAsia="Arial" w:hAnsi="Arial"/>
          <w:b/>
          <w:bCs/>
          <w:sz w:val="32"/>
          <w:szCs w:val="32"/>
        </w:rPr>
        <w:t xml:space="preserve">6.  Inner Feasibility and the S-Law</w:t>
      </w:r>
    </w:p>
    <w:p>
      <w:pPr>
        <w:pStyle w:val="Heading2"/>
        <w:spacing w:after="120" w:before="240"/>
      </w:pPr>
      <w:r>
        <w:rPr>
          <w:rFonts w:ascii="Arial" w:cs="Arial" w:eastAsia="Arial" w:hAnsi="Arial"/>
          <w:b/>
          <w:bCs/>
          <w:sz w:val="26"/>
          <w:szCs w:val="26"/>
        </w:rPr>
        <w:t xml:space="preserve">6.1  The completion ratio</w:t>
      </w:r>
    </w:p>
    <w:p>
      <w:pPr>
        <w:spacing w:after="80" w:before="80"/>
        <w:jc w:val="left"/>
      </w:pPr>
      <w:r>
        <w:rPr>
          <w:rFonts w:ascii="Arial" w:cs="Arial" w:eastAsia="Arial" w:hAnsi="Arial"/>
          <w:sz w:val="22"/>
          <w:szCs w:val="22"/>
        </w:rPr>
        <w:t xml:space="preserve">Q12 = V̄²_bar(0.5h) / V̄²_bar(h),   Q14 = V̄²_bar(0.25h) / V̄²_bar(h),   Δ = 1 − Q12,   S = Q14 / Δ</w:t>
      </w:r>
    </w:p>
    <w:p>
      <w:pPr>
        <w:spacing w:after="80" w:before="80"/>
        <w:jc w:val="left"/>
      </w:pPr>
      <w:r>
        <w:rPr>
          <w:rFonts w:ascii="Arial" w:cs="Arial" w:eastAsia="Arial" w:hAnsi="Arial"/>
          <w:sz w:val="22"/>
          <w:szCs w:val="22"/>
        </w:rPr>
        <w:t xml:space="preserve">The inner kernel maximum U_max = max_x U(x) where U(x) = (1/x) ∫₀¹ exp(−(1−y)/x) [1 − B(y)] dy, with B(y) = V̄²_bar(yh) / V̄²_bar(h). All inner quantities use V²-interpolation. The U_max integral requires n_y ≥ 2000 for 4-digit stability.</w:t>
      </w:r>
    </w:p>
    <w:p>
      <w:pPr>
        <w:pStyle w:val="Heading2"/>
        <w:spacing w:after="120" w:before="240"/>
      </w:pPr>
      <w:r>
        <w:rPr>
          <w:rFonts w:ascii="Arial" w:cs="Arial" w:eastAsia="Arial" w:hAnsi="Arial"/>
          <w:b/>
          <w:bCs/>
          <w:sz w:val="26"/>
          <w:szCs w:val="26"/>
        </w:rPr>
        <w:t xml:space="preserve">6.2  LTG S-law</w:t>
      </w:r>
    </w:p>
    <w:p>
      <w:pPr>
        <w:spacing w:after="80" w:before="80"/>
        <w:jc w:val="center"/>
      </w:pPr>
      <w:r>
        <w:rPr>
          <w:rFonts w:ascii="Arial" w:cs="Arial" w:eastAsia="Arial" w:hAnsi="Arial"/>
          <w:sz w:val="22"/>
          <w:szCs w:val="22"/>
        </w:rPr>
        <w:t xml:space="preserve">U_max ≈ 0.2403 − 0.0700 ln(S),   R² = 0.919,   Pearson r = −0.959   (legacy N = 141)</w:t>
      </w:r>
    </w:p>
    <w:p>
      <w:pPr>
        <w:spacing w:after="80" w:before="80"/>
        <w:jc w:val="center"/>
      </w:pPr>
      <w:r>
        <w:rPr>
          <w:rFonts w:ascii="Arial" w:cs="Arial" w:eastAsia="Arial" w:hAnsi="Arial"/>
          <w:sz w:val="22"/>
          <w:szCs w:val="22"/>
        </w:rPr>
        <w:t xml:space="preserve">U_max ≈ 0.2391 − 0.0697 ln(S),   R² = 0.920   (strict N = 124)</w:t>
      </w:r>
    </w:p>
    <w:p>
      <w:pPr>
        <w:spacing w:after="80" w:before="80"/>
        <w:jc w:val="left"/>
      </w:pPr>
      <w:r>
        <w:rPr>
          <w:rFonts w:ascii="Arial" w:cs="Arial" w:eastAsia="Arial" w:hAnsi="Arial"/>
          <w:sz w:val="22"/>
          <w:szCs w:val="22"/>
        </w:rPr>
        <w:t xml:space="preserve">Threshold: S &lt; 1.70 correctly classifies 135/141 as feasible (U_max ≥ U* = 0.201803). The six mismatches are early-completion profiles.</w:t>
      </w:r>
    </w:p>
    <w:p>
      <w:pPr>
        <w:pStyle w:val="Heading2"/>
        <w:spacing w:after="120" w:before="240"/>
      </w:pPr>
      <w:r>
        <w:rPr>
          <w:rFonts w:ascii="Arial" w:cs="Arial" w:eastAsia="Arial" w:hAnsi="Arial"/>
          <w:b/>
          <w:bCs/>
          <w:sz w:val="26"/>
          <w:szCs w:val="26"/>
        </w:rPr>
        <w:t xml:space="preserve">6.3  ETG S-law</w:t>
      </w:r>
    </w:p>
    <w:p>
      <w:pPr>
        <w:spacing w:after="80" w:before="80"/>
        <w:jc w:val="center"/>
      </w:pPr>
      <w:r>
        <w:rPr>
          <w:rFonts w:ascii="Arial" w:cs="Arial" w:eastAsia="Arial" w:hAnsi="Arial"/>
          <w:sz w:val="22"/>
          <w:szCs w:val="22"/>
        </w:rPr>
        <w:t xml:space="preserve">U_max ≈ 0.2325 − 0.0578 ln(S),   R² = 0.851,   Pearson r = −0.923,   p = 3.6×10⁻⁷   (N = 16)</w:t>
      </w:r>
    </w:p>
    <w:p>
      <w:pPr>
        <w:spacing w:after="80" w:before="80"/>
        <w:jc w:val="left"/>
      </w:pPr>
      <w:r>
        <w:rPr>
          <w:rFonts w:ascii="Arial" w:cs="Arial" w:eastAsia="Arial" w:hAnsi="Arial"/>
          <w:sz w:val="22"/>
          <w:szCs w:val="22"/>
        </w:rPr>
        <w:t xml:space="preserve">The implied threshold crossing U_max = U* occurs at S* = 1.699.</w:t>
      </w:r>
    </w:p>
    <w:p>
      <w:pPr>
        <w:pStyle w:val="Heading2"/>
        <w:spacing w:after="120" w:before="240"/>
      </w:pPr>
      <w:r>
        <w:rPr>
          <w:rFonts w:ascii="Arial" w:cs="Arial" w:eastAsia="Arial" w:hAnsi="Arial"/>
          <w:b/>
          <w:bCs/>
          <w:sz w:val="26"/>
          <w:szCs w:val="26"/>
        </w:rPr>
        <w:t xml:space="preserve">6.4  Cross-type comparison</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1500"/>
        <w:gridCol w:w="1500"/>
        <w:gridCol w:w="1000"/>
        <w:gridCol w:w="1360"/>
      </w:tblGrid>
      <w:tr>
        <w:trPr>
          <w:tblHeader/>
        </w:trPr>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(intercept)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(slope)</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 implied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−0.0578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legacy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0.2403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strict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−0.0697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0.920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1.72</w:t>
            </w:r>
          </w:p>
        </w:tc>
      </w:tr>
    </w:tbl>
    <w:p>
      <w:pPr>
        <w:spacing w:after="40" w:before="40"/>
      </w:pPr>
      <w:r>
        <w:t xml:space="preserve"/>
      </w:r>
    </w:p>
    <w:p>
      <w:pPr>
        <w:spacing w:after="80" w:before="80"/>
        <w:jc w:val="left"/>
      </w:pPr>
      <w:r>
        <w:rPr>
          <w:rFonts w:ascii="Arial" w:cs="Arial" w:eastAsia="Arial" w:hAnsi="Arial"/>
          <w:sz w:val="22"/>
          <w:szCs w:val="22"/>
        </w:rPr>
        <w:t xml:space="preserve">Both populations show the same structure: U_max is organised by ln(S) with a universal threshold near S ≈ 1.70. ETGs have a shallower slope, consistent with more compact inner profiles.</w:t>
      </w:r>
    </w:p>
    <w:p>
      <w:pPr>
        <w:pStyle w:val="Heading1"/>
        <w:spacing w:after="180" w:before="360"/>
      </w:pPr>
      <w:r>
        <w:rPr>
          <w:rFonts w:ascii="Arial" w:cs="Arial" w:eastAsia="Arial" w:hAnsi="Arial"/>
          <w:b/>
          <w:bCs/>
          <w:sz w:val="32"/>
          <w:szCs w:val="32"/>
        </w:rPr>
        <w:t xml:space="preserve">7.  ETG Response Sector — Overview</w:t>
      </w:r>
    </w:p>
    <w:p>
      <w:pPr>
        <w:spacing w:after="80" w:before="80"/>
        <w:jc w:val="left"/>
      </w:pPr>
      <w:r>
        <w:rPr>
          <w:rFonts w:ascii="Arial" w:cs="Arial" w:eastAsia="Arial" w:hAnsi="Arial"/>
          <w:sz w:val="22"/>
          <w:szCs w:val="22"/>
        </w:rPr>
        <w:t xml:space="preserve">ETGs fail the LTG law in two independent ways simultaneously: inner profile deformation (large S) and outer baryonic retention (large u). They form a multi-family, multi-sign response sector organised by the four-condition intersection structure in §8.</w:t>
      </w:r>
    </w:p>
    <w:p>
      <w:pPr>
        <w:spacing w:after="80" w:before="80"/>
        <w:jc w:val="left"/>
      </w:pPr>
      <w:r>
        <w:rPr>
          <w:rFonts w:ascii="Arial" w:cs="Arial" w:eastAsia="Arial" w:hAnsi="Arial"/>
          <w:sz w:val="22"/>
          <w:szCs w:val="22"/>
        </w:rPr>
        <w:t xml:space="preserve">The five ETG families, by support signature ΔV²(r) = V²_obs(r) − V̄²_bar(r):</w:t>
      </w:r>
    </w:p>
    <w:p>
      <w:pPr>
        <w:spacing w:after="80" w:before="80"/>
        <w:jc w:val="left"/>
      </w:pPr>
      <w:r>
        <w:rPr>
          <w:rFonts w:ascii="Arial" w:cs="Arial" w:eastAsia="Arial" w:hAnsi="Arial"/>
          <w:sz w:val="22"/>
          <w:szCs w:val="22"/>
        </w:rPr>
        <w:t xml:space="preserve">H+ single-channel: NGC2685, NGC3626, NGC3941 — sign-changing (ΔV²_inn &lt; 0, ΔV²_out &gt; 0), all four conditions satisfied.</w:t>
      </w:r>
    </w:p>
    <w:p>
      <w:pPr>
        <w:spacing w:after="80" w:before="80"/>
        <w:jc w:val="left"/>
      </w:pPr>
      <w:r>
        <w:rPr>
          <w:rFonts w:ascii="Arial" w:cs="Arial" w:eastAsia="Arial" w:hAnsi="Arial"/>
          <w:sz w:val="22"/>
          <w:szCs w:val="22"/>
        </w:rPr>
        <w:t xml:space="preserve">H+ two-channel: NGC4203 — sign-changing, outer capacity exceeded; two-channel required.</w:t>
      </w:r>
    </w:p>
    <w:p>
      <w:pPr>
        <w:spacing w:after="80" w:before="80"/>
        <w:jc w:val="left"/>
      </w:pPr>
      <w:r>
        <w:rPr>
          <w:rFonts w:ascii="Arial" w:cs="Arial" w:eastAsia="Arial" w:hAnsi="Arial"/>
          <w:sz w:val="22"/>
          <w:szCs w:val="22"/>
        </w:rPr>
        <w:t xml:space="preserve">Class B: NGC3838 — inner/outer-feasible, sign-wrong only.</w:t>
      </w:r>
    </w:p>
    <w:p>
      <w:pPr>
        <w:spacing w:after="80" w:before="80"/>
        <w:jc w:val="left"/>
      </w:pPr>
      <w:r>
        <w:rPr>
          <w:rFonts w:ascii="Arial" w:cs="Arial" w:eastAsia="Arial" w:hAnsi="Arial"/>
          <w:sz w:val="22"/>
          <w:szCs w:val="22"/>
        </w:rPr>
        <w:t xml:space="preserve">Class C: NGC4262 — inner-feasible, sign-wrong and outer-wrong.</w:t>
      </w:r>
    </w:p>
    <w:p>
      <w:pPr>
        <w:spacing w:after="80" w:before="80"/>
        <w:jc w:val="left"/>
      </w:pPr>
      <w:r>
        <w:rPr>
          <w:rFonts w:ascii="Arial" w:cs="Arial" w:eastAsia="Arial" w:hAnsi="Arial"/>
          <w:sz w:val="22"/>
          <w:szCs w:val="22"/>
        </w:rPr>
        <w:t xml:space="preserve">D1 (outer-capacity fail): NGC2824, NGC2859, NGC2974 — u &gt; 1, U_max &gt; U*.</w:t>
      </w:r>
    </w:p>
    <w:p>
      <w:pPr>
        <w:spacing w:after="80" w:before="80"/>
        <w:jc w:val="left"/>
      </w:pPr>
      <w:r>
        <w:rPr>
          <w:rFonts w:ascii="Arial" w:cs="Arial" w:eastAsia="Arial" w:hAnsi="Arial"/>
          <w:sz w:val="22"/>
          <w:szCs w:val="22"/>
        </w:rPr>
        <w:t xml:space="preserve">D2 (double fail): NGC3945, NGC3998, NGC4278, NGC5582* — both u &gt; 1 and U_max &lt; U*.</w:t>
      </w:r>
    </w:p>
    <w:p>
      <w:pPr>
        <w:spacing w:after="80" w:before="80"/>
        <w:jc w:val="left"/>
      </w:pPr>
      <w:r>
        <w:rPr>
          <w:rFonts w:ascii="Arial" w:cs="Arial" w:eastAsia="Arial" w:hAnsi="Arial"/>
          <w:sz w:val="22"/>
          <w:szCs w:val="22"/>
        </w:rPr>
        <w:t xml:space="preserve">Class E (wrong profile family): NGC3522, NGC6798, UGC6176 — outer/inner-feasible, large Δ, sign-wrong.</w:t>
      </w:r>
    </w:p>
    <w:p>
      <w:pPr>
        <w:spacing w:after="60" w:before="60"/>
      </w:pPr>
      <w:r>
        <w:rPr>
          <w:rFonts w:ascii="Arial" w:cs="Arial" w:eastAsia="Arial" w:hAnsi="Arial"/>
          <w:i/>
          <w:iCs/>
          <w:sz w:val="22"/>
          <w:szCs w:val="22"/>
        </w:rPr>
        <w:t xml:space="preserve">*NGC5582: S = 1.647 passes the S &lt; 1.70 threshold, but U_max = 0.178 &lt; U* = 0.202. This is a borderline S-threshold miss; the direct U_max test correctly rejects it.</w:t>
      </w:r>
    </w:p>
    <w:p>
      <w:pPr>
        <w:pStyle w:val="Heading2"/>
        <w:spacing w:after="120" w:before="240"/>
      </w:pPr>
      <w:r>
        <w:rPr>
          <w:rFonts w:ascii="Arial" w:cs="Arial" w:eastAsia="Arial" w:hAnsi="Arial"/>
          <w:b/>
          <w:bCs/>
          <w:sz w:val="26"/>
          <w:szCs w:val="26"/>
        </w:rPr>
        <w:t xml:space="preserve">7.1  External population distinctiveness of ETG branches (new in v13)</w:t>
      </w:r>
    </w:p>
    <w:p>
      <w:pPr>
        <w:spacing w:after="80" w:before="80"/>
        <w:jc w:val="left"/>
      </w:pPr>
      <w:r>
        <w:rPr>
          <w:rFonts w:ascii="Arial" w:cs="Arial" w:eastAsia="Arial" w:hAnsi="Arial"/>
          <w:sz w:val="22"/>
          <w:szCs w:val="22"/>
        </w:rPr>
        <w:t xml:space="preserve">Cross-matching against the ATLAS3D Krajnovic (2020) stellar population radial profiles, Poci (2017) M/L maps, ATLAS3D stellar kinematics, and ionised-gas maps reveals measurable external correlates of the MTS ETG classification:</w:t>
      </w:r>
    </w:p>
    <w:p>
      <w:pPr>
        <w:spacing w:after="90" w:before="180"/>
      </w:pPr>
      <w:r>
        <w:rPr>
          <w:rFonts w:ascii="Arial" w:cs="Arial" w:eastAsia="Arial" w:hAnsi="Arial"/>
          <w:b/>
          <w:bCs/>
          <w:sz w:val="24"/>
          <w:szCs w:val="24"/>
        </w:rPr>
        <w:t xml:space="preserve">7.1.1  Disk-buffered pair (NGC3522, NGC6798) — external population triple-confirmation</w:t>
      </w:r>
    </w:p>
    <w:p>
      <w:pPr>
        <w:spacing w:after="80" w:before="80"/>
        <w:jc w:val="left"/>
      </w:pPr>
      <w:r>
        <w:rPr>
          <w:rFonts w:ascii="Arial" w:cs="Arial" w:eastAsia="Arial" w:hAnsi="Arial"/>
          <w:sz w:val="22"/>
          <w:szCs w:val="22"/>
        </w:rPr>
        <w:t xml:space="preserve">Three independent external archives were cross-matched for all 16 MTS ETGs. The disk-buffered pair (NGC3522, NGC6798) is jointly extreme in: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Indicator</w:t>
            </w:r>
          </w:p>
        </w:tc>
        <w:tc>
          <w:tcPr>
            <w:tcW w:type="dxa" w:w="14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Pair median</w:t>
            </w:r>
          </w:p>
        </w:tc>
        <w:tc>
          <w:tcPr>
            <w:tcW w:type="dxa" w:w="16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Rank / 120 pairs</w:t>
            </w:r>
          </w:p>
        </w:tc>
        <w:tc>
          <w:tcPr>
            <w:tcW w:type="dxa" w:w="1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p-value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Outward age increase Δage (outer − inner, Gyr)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Metallicity gradient ΔZH (outer − inner, dex)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0.017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Poci radial M/L ratio (outer / inner)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rank-sum (3 indicators)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0.008</w:t>
            </w:r>
          </w:p>
        </w:tc>
      </w:tr>
    </w:tbl>
    <w:p>
      <w:pPr>
        <w:spacing w:after="40" w:before="40"/>
      </w:pPr>
      <w:r>
        <w:t xml:space="preserve"/>
      </w:r>
    </w:p>
    <w:p>
      <w:pPr>
        <w:spacing w:after="80" w:before="80"/>
        <w:jc w:val="left"/>
      </w:pPr>
      <w:r>
        <w:rPr>
          <w:rFonts w:ascii="Arial" w:cs="Arial" w:eastAsia="Arial" w:hAnsi="Arial"/>
          <w:sz w:val="22"/>
          <w:szCs w:val="22"/>
        </w:rPr>
        <w:t xml:space="preserve">The combined rank-sum result (rank 1/120, p = 0.008) is robust to leave-one deletion on all three indicators independently. NGC5582 also shows a large M/L decline (inner/outer ratio 0.745) but is classified Main, not disk-buffered, on dynamical grounds. This result is descriptive and external; it confirms the dynamical branch distinction but does not derive it.</w:t>
      </w:r>
    </w:p>
    <w:p>
      <w:pPr>
        <w:spacing w:after="90" w:before="180"/>
      </w:pPr>
      <w:r>
        <w:rPr>
          <w:rFonts w:ascii="Arial" w:cs="Arial" w:eastAsia="Arial" w:hAnsi="Arial"/>
          <w:b/>
          <w:bCs/>
          <w:sz w:val="24"/>
          <w:szCs w:val="24"/>
        </w:rPr>
        <w:t xml:space="preserve">7.1.2  Main ETG branch — gas/star kinematic alignment</w:t>
      </w:r>
    </w:p>
    <w:p>
      <w:pPr>
        <w:spacing w:after="80" w:before="80"/>
        <w:jc w:val="left"/>
      </w:pPr>
      <w:r>
        <w:rPr>
          <w:rFonts w:ascii="Arial" w:cs="Arial" w:eastAsia="Arial" w:hAnsi="Arial"/>
          <w:sz w:val="22"/>
          <w:szCs w:val="22"/>
        </w:rPr>
        <w:t xml:space="preserve">Using a kinemetry-style PA estimator on the uploaded ATLAS3D stellar (VPXF) and ionised-gas (V_OIII_GAS) velocity maps, Main ETGs show uniform alignment: all 5 Main galaxies have gas/star PA offset &lt; 30°, and this result is stable under every leave-one deletion (remaining median ≤ 3.85°). An independent velocity-moment PA estimator (PA = atan2(Σv_i y_i, Σv_i x_i)) confirms the result at p = 0.029 (all-pairs test, N = 4368 five-object groups).</w:t>
      </w:r>
    </w:p>
    <w:p>
      <w:pPr>
        <w:spacing w:after="80" w:before="80"/>
        <w:jc w:val="left"/>
      </w:pPr>
      <w:r>
        <w:rPr>
          <w:rFonts w:ascii="Arial" w:cs="Arial" w:eastAsia="Arial" w:hAnsi="Arial"/>
          <w:sz w:val="22"/>
          <w:szCs w:val="22"/>
        </w:rPr>
        <w:t xml:space="preserve">Four named robust gas/star offset cases — NGC2685 (72°), NGC3941 (49° symmetry / 34° moment), NGC4262 (59° / 42°), NGC3998 (42° / 44°) — are confirmed by two independent map-based methods. The H+/H− grouped enrichment claim (4/7 offset cases) does not survive the all-pairs anti-overfit test (p = 0.18 against 11,440 random seven-object groups) and is not promoted.</w:t>
      </w:r>
    </w:p>
    <w:p>
      <w:pPr>
        <w:pStyle w:val="Heading1"/>
        <w:spacing w:after="180" w:before="360"/>
      </w:pPr>
      <w:r>
        <w:rPr>
          <w:rFonts w:ascii="Arial" w:cs="Arial" w:eastAsia="Arial" w:hAnsi="Arial"/>
          <w:b/>
          <w:bCs/>
          <w:sz w:val="32"/>
          <w:szCs w:val="32"/>
        </w:rPr>
        <w:t xml:space="preserve">8.  Four-Condition Intersection Structure</w:t>
      </w:r>
    </w:p>
    <w:p>
      <w:pPr>
        <w:pStyle w:val="Heading2"/>
        <w:spacing w:after="120" w:before="240"/>
      </w:pPr>
      <w:r>
        <w:rPr>
          <w:rFonts w:ascii="Arial" w:cs="Arial" w:eastAsia="Arial" w:hAnsi="Arial"/>
          <w:b/>
          <w:bCs/>
          <w:sz w:val="26"/>
          <w:szCs w:val="26"/>
        </w:rPr>
        <w:t xml:space="preserve">8.1  The four conditions</w:t>
      </w:r>
    </w:p>
    <w:p>
      <w:pPr>
        <w:spacing w:after="90" w:before="180"/>
      </w:pPr>
      <w:r>
        <w:rPr>
          <w:rFonts w:ascii="Arial" w:cs="Arial" w:eastAsia="Arial" w:hAnsi="Arial"/>
          <w:b/>
          <w:bCs/>
          <w:sz w:val="24"/>
          <w:szCs w:val="24"/>
        </w:rPr>
        <w:t xml:space="preserve">Condition 1 — Profile family</w:t>
      </w:r>
    </w:p>
    <w:p>
      <w:pPr>
        <w:spacing w:after="80" w:before="80"/>
        <w:jc w:val="left"/>
      </w:pPr>
      <w:r>
        <w:rPr>
          <w:rFonts w:ascii="Arial" w:cs="Arial" w:eastAsia="Arial" w:hAnsi="Arial"/>
          <w:sz w:val="22"/>
          <w:szCs w:val="22"/>
        </w:rPr>
        <w:t xml:space="preserve">Organised by (Δ, Q14) where Δ = 1 − Q12 and Q14 = B(1/4). Viable locus: Δ ≈ 0.31–0.46, Q14 ≈ 0.19–0.26.</w:t>
      </w:r>
    </w:p>
    <w:p>
      <w:pPr>
        <w:spacing w:after="90" w:before="180"/>
      </w:pPr>
      <w:r>
        <w:rPr>
          <w:rFonts w:ascii="Arial" w:cs="Arial" w:eastAsia="Arial" w:hAnsi="Arial"/>
          <w:b/>
          <w:bCs/>
          <w:sz w:val="24"/>
          <w:szCs w:val="24"/>
        </w:rPr>
        <w:t xml:space="preserve">Condition 2 — Sign gate (inner baryonic amplitude)</w:t>
      </w:r>
    </w:p>
    <w:p>
      <w:pPr>
        <w:spacing w:after="80" w:before="80"/>
        <w:jc w:val="center"/>
      </w:pPr>
      <w:r>
        <w:rPr>
          <w:rFonts w:ascii="Arial" w:cs="Arial" w:eastAsia="Arial" w:hAnsi="Arial"/>
          <w:sz w:val="22"/>
          <w:szCs w:val="22"/>
        </w:rPr>
        <w:t xml:space="preserve">Ω_in = V̄²_bar(r_in) / V²_obs(r_in) &gt; 1</w:t>
      </w:r>
    </w:p>
    <w:p>
      <w:pPr>
        <w:spacing w:after="80" w:before="80"/>
        <w:jc w:val="left"/>
      </w:pPr>
      <w:r>
        <w:rPr>
          <w:rFonts w:ascii="Arial" w:cs="Arial" w:eastAsia="Arial" w:hAnsi="Arial"/>
          <w:sz w:val="22"/>
          <w:szCs w:val="22"/>
        </w:rPr>
        <w:t xml:space="preserve">At fixed profile shape, the sign gate is decided by absolute inner baryonic normalisation. The NGC3838/NGC3626 control pair demonstrates this: near-identical normalised profiles (H(0.3) = 1.866 for both), but V̄_bar(r_in) = 194 vs 284 km/s splits Ω_in = 0.705 vs 1.316.</w:t>
      </w:r>
    </w:p>
    <w:p>
      <w:pPr>
        <w:spacing w:after="90" w:before="180"/>
      </w:pPr>
      <w:r>
        <w:rPr>
          <w:rFonts w:ascii="Arial" w:cs="Arial" w:eastAsia="Arial" w:hAnsi="Arial"/>
          <w:b/>
          <w:bCs/>
          <w:sz w:val="24"/>
          <w:szCs w:val="24"/>
        </w:rPr>
        <w:t xml:space="preserve">Condition 3 — Inner feasibility</w:t>
      </w:r>
    </w:p>
    <w:p>
      <w:pPr>
        <w:spacing w:after="80" w:before="80"/>
        <w:jc w:val="left"/>
      </w:pPr>
      <w:r>
        <w:rPr>
          <w:rFonts w:ascii="Arial" w:cs="Arial" w:eastAsia="Arial" w:hAnsi="Arial"/>
          <w:sz w:val="22"/>
          <w:szCs w:val="22"/>
        </w:rPr>
        <w:t xml:space="preserve">S = Q14/Δ organises U_max. Threshold S ≲ 1.70 gives 15/16 correct (NGC5582 is the borderline miss).</w:t>
      </w:r>
    </w:p>
    <w:p>
      <w:pPr>
        <w:spacing w:after="90" w:before="180"/>
      </w:pPr>
      <w:r>
        <w:rPr>
          <w:rFonts w:ascii="Arial" w:cs="Arial" w:eastAsia="Arial" w:hAnsi="Arial"/>
          <w:b/>
          <w:bCs/>
          <w:sz w:val="24"/>
          <w:szCs w:val="24"/>
        </w:rPr>
        <w:t xml:space="preserve">Condition 4 — Outer capacity</w:t>
      </w:r>
    </w:p>
    <w:p>
      <w:pPr>
        <w:spacing w:after="80" w:before="80"/>
        <w:jc w:val="center"/>
      </w:pPr>
      <w:r>
        <w:rPr>
          <w:rFonts w:ascii="Arial" w:cs="Arial" w:eastAsia="Arial" w:hAnsi="Arial"/>
          <w:sz w:val="22"/>
          <w:szCs w:val="22"/>
        </w:rPr>
        <w:t xml:space="preserve">u = (V²_obs(r_out) − V̄²_bar(r_out)) / (Γ₀ r_out R_max) ≤ 1</w:t>
      </w:r>
    </w:p>
    <w:p>
      <w:pPr>
        <w:pStyle w:val="Heading2"/>
        <w:spacing w:after="120" w:before="240"/>
      </w:pPr>
      <w:r>
        <w:rPr>
          <w:rFonts w:ascii="Arial" w:cs="Arial" w:eastAsia="Arial" w:hAnsi="Arial"/>
          <w:b/>
          <w:bCs/>
          <w:sz w:val="26"/>
          <w:szCs w:val="26"/>
        </w:rPr>
        <w:t xml:space="preserve">8.2  Independence of the four axes</w:t>
      </w:r>
    </w:p>
    <w:p>
      <w:pPr>
        <w:spacing w:after="80" w:before="80"/>
        <w:jc w:val="left"/>
      </w:pPr>
      <w:r>
        <w:rPr>
          <w:rFonts w:ascii="Arial" w:cs="Arial" w:eastAsia="Arial" w:hAnsi="Arial"/>
          <w:sz w:val="22"/>
          <w:szCs w:val="22"/>
        </w:rPr>
        <w:t xml:space="preserve">The four conditions are genuinely independent. Key cross-correlations from raw files: r(Ω_in, u) = −0.274, r(S, u) = 0.375. Inner failure is a profile-deformation problem; outer failure is a baryonic-retention problem.</w:t>
      </w:r>
    </w:p>
    <w:p>
      <w:pPr>
        <w:pStyle w:val="Heading2"/>
        <w:spacing w:after="120" w:before="240"/>
      </w:pPr>
      <w:r>
        <w:rPr>
          <w:rFonts w:ascii="Arial" w:cs="Arial" w:eastAsia="Arial" w:hAnsi="Arial"/>
          <w:b/>
          <w:bCs/>
          <w:sz w:val="26"/>
          <w:szCs w:val="26"/>
        </w:rPr>
        <w:t xml:space="preserve">8.3  Canonical ETG decision table (all 16, verified from raw files)</w:t>
      </w:r>
    </w:p>
    <w:p>
      <w:pPr>
        <w:spacing w:after="60" w:before="60"/>
      </w:pPr>
      <w:r>
        <w:rPr>
          <w:rFonts w:ascii="Arial" w:cs="Arial" w:eastAsia="Arial" w:hAnsi="Arial"/>
          <w:i/>
          <w:iCs/>
          <w:sz w:val="22"/>
          <w:szCs w:val="22"/>
        </w:rPr>
        <w:t xml:space="preserve">Inner profile quantities: V²-interpolation convention. Outer u: mixed convention. r_in values for H+ objects are canonical locked values.</w:t>
      </w:r>
    </w:p>
    <w:p>
      <w:pPr>
        <w:spacing w:after="4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800"/>
        <w:gridCol w:w="900"/>
        <w:gridCol w:w="900"/>
        <w:gridCol w:w="900"/>
        <w:gridCol w:w="1000"/>
        <w:gridCol w:w="700"/>
        <w:gridCol w:w="860"/>
      </w:tblGrid>
      <w:tr>
        <w:trPr>
          <w:tblHeader/>
        </w:trPr>
        <w:tc>
          <w:tcPr>
            <w:tcW w:type="dxa" w:w="11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9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8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0.4552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NGC2824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0.6161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0.1252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0.4529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NGC2859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0.3505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0.3381</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1.4878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NGC2974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0.2979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0.6030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3.9166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−2.917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0.4846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0.1386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0.4375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0.282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0.3821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0.3760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0.2097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0.390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0.3142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0.5396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2.369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1.6309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0.0219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0.6722</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30.58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0.4735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2.5880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−1.588</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0.0617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D2(2ch)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−0.337</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NGC4262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0.4159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2.2636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−1.264</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0.0927</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0.6327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6.824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0.5656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2.8116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−1.812</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NGC5582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0.2178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0.3587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0.5539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1.5049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−0.505</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0.6899</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0.0887</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0.129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0.900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0.6690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0.1655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0.170</w:t>
            </w:r>
          </w:p>
        </w:tc>
        <w:tc>
          <w:tcPr>
            <w:tcW w:type="dxa" w:w="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r>
    </w:tbl>
    <w:p>
      <w:pPr>
        <w:spacing w:after="40" w:before="40"/>
      </w:pPr>
      <w:r>
        <w:t xml:space="preserve"/>
      </w:r>
    </w:p>
    <w:p>
      <w:pPr>
        <w:spacing w:after="60" w:before="60"/>
      </w:pPr>
      <w:r>
        <w:rPr>
          <w:rFonts w:ascii="Arial" w:cs="Arial" w:eastAsia="Arial" w:hAnsi="Arial"/>
          <w:i/>
          <w:iCs/>
          <w:sz w:val="22"/>
          <w:szCs w:val="22"/>
        </w:rPr>
        <w:t xml:space="preserve">Class A = single-channel H+. *D2 = borderline U_max miss (S &lt; 1.70 passes, but U_max = 0.178 &lt; U* = 0.202). δu values verified from raw files.</w:t>
      </w:r>
    </w:p>
    <w:p>
      <w:pPr>
        <w:pStyle w:val="Heading1"/>
        <w:spacing w:after="180" w:before="360"/>
      </w:pPr>
      <w:r>
        <w:rPr>
          <w:rFonts w:ascii="Arial" w:cs="Arial" w:eastAsia="Arial" w:hAnsi="Arial"/>
          <w:b/>
          <w:bCs/>
          <w:sz w:val="32"/>
          <w:szCs w:val="32"/>
        </w:rPr>
        <w:t xml:space="preserve">9.  Outer Gate Structure</w:t>
      </w:r>
    </w:p>
    <w:p>
      <w:pPr>
        <w:pStyle w:val="Heading2"/>
        <w:spacing w:after="120" w:before="240"/>
      </w:pPr>
      <w:r>
        <w:rPr>
          <w:rFonts w:ascii="Arial" w:cs="Arial" w:eastAsia="Arial" w:hAnsi="Arial"/>
          <w:b/>
          <w:bCs/>
          <w:sz w:val="26"/>
          <w:szCs w:val="26"/>
        </w:rPr>
        <w:t xml:space="preserve">9.1  Exact outer viability boundary</w:t>
      </w:r>
    </w:p>
    <w:p>
      <w:pPr>
        <w:spacing w:after="80" w:before="80"/>
        <w:jc w:val="left"/>
      </w:pPr>
      <w:r>
        <w:rPr>
          <w:rFonts w:ascii="Arial" w:cs="Arial" w:eastAsia="Arial" w:hAnsi="Arial"/>
          <w:sz w:val="22"/>
          <w:szCs w:val="22"/>
        </w:rPr>
        <w:t xml:space="preserve">X_out = V²_obs(r_out) / (Γ₀ r_out),   R_d = 0.5 V²_disk(r_out)/V²_obs(r_out),   X_crit = R_max / (1 − R_d − R_b)</w:t>
      </w:r>
    </w:p>
    <w:p>
      <w:pPr>
        <w:spacing w:after="80" w:before="80"/>
        <w:jc w:val="left"/>
      </w:pPr>
      <w:r>
        <w:rPr>
          <w:rFonts w:ascii="Arial" w:cs="Arial" w:eastAsia="Arial" w:hAnsi="Arial"/>
          <w:sz w:val="22"/>
          <w:szCs w:val="22"/>
        </w:rPr>
        <w:t xml:space="preserve">The exact outer slack variable is:</w:t>
      </w:r>
    </w:p>
    <w:p>
      <w:pPr>
        <w:spacing w:after="80" w:before="80"/>
        <w:jc w:val="center"/>
      </w:pPr>
      <w:r>
        <w:rPr>
          <w:rFonts w:ascii="Arial" w:cs="Arial" w:eastAsia="Arial" w:hAnsi="Arial"/>
          <w:sz w:val="22"/>
          <w:szCs w:val="22"/>
        </w:rPr>
        <w:t xml:space="preserve">δu ≡ 1 − u = (X_crit − X_out) / X_crit</w:t>
      </w:r>
    </w:p>
    <w:p>
      <w:pPr>
        <w:spacing w:after="80" w:before="80"/>
        <w:jc w:val="left"/>
      </w:pPr>
      <w:r>
        <w:rPr>
          <w:rFonts w:ascii="Arial" w:cs="Arial" w:eastAsia="Arial" w:hAnsi="Arial"/>
          <w:sz w:val="22"/>
          <w:szCs w:val="22"/>
        </w:rPr>
        <w:t xml:space="preserve">This identity holds to floating-point precision for all 16 ETGs (max deviation &lt; 5×10⁻¹⁶, verified).</w:t>
      </w:r>
    </w:p>
    <w:p>
      <w:pPr>
        <w:pStyle w:val="Heading2"/>
        <w:spacing w:after="120" w:before="240"/>
      </w:pPr>
      <w:r>
        <w:rPr>
          <w:rFonts w:ascii="Arial" w:cs="Arial" w:eastAsia="Arial" w:hAnsi="Arial"/>
          <w:b/>
          <w:bCs/>
          <w:sz w:val="26"/>
          <w:szCs w:val="26"/>
        </w:rPr>
        <w:t xml:space="preserve">9.2  Two viable outer routes and crossing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500"/>
        <w:gridCol w:w="1000"/>
        <w:gridCol w:w="2160"/>
      </w:tblGrid>
      <w:tr>
        <w:trPr>
          <w:tblHeader/>
        </w:trPr>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r_out (kpc)</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u(r_out)</w:t>
            </w:r>
          </w:p>
        </w:tc>
        <w:tc>
          <w:tcPr>
            <w:tcW w:type="dxa" w:w="1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r_cross/r_out</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δu</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Route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24.98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+0.502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NGC3522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0.7395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0.861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NGC3838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0.9133</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+0.087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+0.226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NGC6798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0.7606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0.783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+0.239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UGC6176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0.8817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+0.118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w:t>
            </w:r>
          </w:p>
        </w:tc>
      </w:tr>
    </w:tbl>
    <w:p>
      <w:pPr>
        <w:spacing w:after="40" w:before="40"/>
      </w:pPr>
      <w:r>
        <w:t xml:space="preserve"/>
      </w:r>
    </w:p>
    <w:p>
      <w:pPr>
        <w:pStyle w:val="Heading2"/>
        <w:spacing w:after="120" w:before="240"/>
      </w:pPr>
      <w:r>
        <w:rPr>
          <w:rFonts w:ascii="Arial" w:cs="Arial" w:eastAsia="Arial" w:hAnsi="Arial"/>
          <w:b/>
          <w:bCs/>
          <w:sz w:val="26"/>
          <w:szCs w:val="26"/>
        </w:rPr>
        <w:t xml:space="preserve">9.3  Buffered branch radial profile structure and crossing-window geometry</w:t>
      </w:r>
    </w:p>
    <w:p>
      <w:pPr>
        <w:spacing w:after="80" w:before="80"/>
        <w:jc w:val="left"/>
      </w:pPr>
      <w:r>
        <w:rPr>
          <w:rFonts w:ascii="Arial" w:cs="Arial" w:eastAsia="Arial" w:hAnsi="Arial"/>
          <w:sz w:val="22"/>
          <w:szCs w:val="22"/>
        </w:rPr>
        <w:t xml:space="preserve">The six disk-buffered ETGs share a common rescaled radial approach profile near u = 1. On the window 0.92 ≤ x = r/r_cross ≤ 1.04 (121-point grid), the common constrained quadratic law is:</w:t>
      </w:r>
    </w:p>
    <w:p>
      <w:pPr>
        <w:spacing w:after="80" w:before="80"/>
        <w:jc w:val="center"/>
      </w:pPr>
      <w:r>
        <w:rPr>
          <w:rFonts w:ascii="Arial" w:cs="Arial" w:eastAsia="Arial" w:hAnsi="Arial"/>
          <w:sz w:val="22"/>
          <w:szCs w:val="22"/>
        </w:rPr>
        <w:t xml:space="preserve">u(x) ≈ 1 − 1.587(x−1) + 1.398(x−1)²</w:t>
      </w:r>
    </w:p>
    <w:p>
      <w:pPr>
        <w:spacing w:after="80" w:before="80"/>
        <w:jc w:val="left"/>
      </w:pPr>
      <w:r>
        <w:rPr>
          <w:rFonts w:ascii="Arial" w:cs="Arial" w:eastAsia="Arial" w:hAnsi="Arial"/>
          <w:sz w:val="22"/>
          <w:szCs w:val="22"/>
        </w:rPr>
        <w:t xml:space="preserve">Per-galaxy RMSEs against the common law: NGC3522 = 0.013, NGC3626 = 0.002, NGC3838 = 0.012, NGC3941 = 0.009, NGC6798 = 0.023, UGC6176 = 0.005. Residual PC1 variance: 99.82% (independently confirmed from raw ETG files; v14). This ETG crossing-window PC1 is distinct from the all-LTG u-profile PC1 ≈ 0.81 (EXP05/15), which is lower due to route-class mixing across structurally heterogeneous profile families (see §5.7 below). The crossing-window shape is close to a shared endpoint ramp with a small coherent curvature term: (1−u)/δu ≈ t + A·t(1−t) with A ≈ 0.18 pooled. Per-galaxy curvature anti-correlates strongly with crossing position (Pearson r = −0.985), so earlier crossings have more bowed profiles; disk-buffered objects are close to linear. Individual slope coefficients c1: NGC3522 = −1.874, NGC3626 = −1.660, NGC3838 = −1.847, NGC3941 = −1.402, NGC6798 = −1.045, UGC6176 = −1.695.</w:t>
      </w:r>
    </w:p>
    <w:p>
      <w:pPr>
        <w:spacing w:after="90" w:before="180"/>
      </w:pPr>
      <w:r>
        <w:rPr>
          <w:rFonts w:ascii="Arial" w:cs="Arial" w:eastAsia="Arial" w:hAnsi="Arial"/>
          <w:b/>
          <w:bCs/>
          <w:sz w:val="24"/>
          <w:szCs w:val="24"/>
        </w:rPr>
        <w:t xml:space="preserve">Priority K: Crossing-window geometric identity (closed in v13)</w:t>
      </w:r>
    </w:p>
    <w:p>
      <w:pPr>
        <w:spacing w:after="80" w:before="80"/>
        <w:jc w:val="left"/>
      </w:pPr>
      <w:r>
        <w:rPr>
          <w:rFonts w:ascii="Arial" w:cs="Arial" w:eastAsia="Arial" w:hAnsi="Arial"/>
          <w:sz w:val="22"/>
          <w:szCs w:val="22"/>
        </w:rPr>
        <w:t xml:space="preserve">The crossing-window slope c1 satisfies the following parameter-free geometric identity across all 7 crossing objects (including NGC2685, low-load route):</w:t>
      </w:r>
    </w:p>
    <w:p>
      <w:pPr>
        <w:spacing w:after="80" w:before="80"/>
        <w:jc w:val="center"/>
      </w:pPr>
      <w:r>
        <w:rPr>
          <w:rFonts w:ascii="Arial" w:cs="Arial" w:eastAsia="Arial" w:hAnsi="Arial"/>
          <w:sz w:val="22"/>
          <w:szCs w:val="22"/>
        </w:rPr>
        <w:t xml:space="preserve">c1 = −δu / (1 − x_cross) = (u_out − 1) / (1 − x_cross)</w:t>
      </w:r>
    </w:p>
    <w:p>
      <w:pPr>
        <w:spacing w:after="80" w:before="80"/>
        <w:jc w:val="left"/>
      </w:pPr>
      <w:r>
        <w:rPr>
          <w:rFonts w:ascii="Arial" w:cs="Arial" w:eastAsia="Arial" w:hAnsi="Arial"/>
          <w:sz w:val="22"/>
          <w:szCs w:val="22"/>
        </w:rPr>
        <w:t xml:space="preserve">Verification across 7 objects: Pearson r = 0.998 (p &lt; 10⁻⁵), Spearman = 1.000 (perfect rank order), parameter-free RMSE = 0.07 log units. For 6 of 7 objects the formula residual is ≤ 0.09; NGC2685 (low-load route, residual = 0.14) is the boundary case. This formula requires no fitting — it is derived from the geometric fact that the load profile must traverse from u = 1 (at x_cross) to u_out &lt; 1 (at r_out) over the remaining radial interval (1 − x_cross). The local crossing slope is therefore set by the ratio of available depth (δu = 1 − u_out) to available width (1 − x_cross). This result closes Priority K as a derived geometric identity.</w:t>
      </w:r>
    </w:p>
    <w:p>
      <w:pPr>
        <w:spacing w:after="80" w:before="80"/>
        <w:jc w:val="left"/>
      </w:pPr>
      <w:r>
        <w:rPr>
          <w:rFonts w:ascii="Arial" w:cs="Arial" w:eastAsia="Arial" w:hAnsi="Arial"/>
          <w:sz w:val="22"/>
          <w:szCs w:val="22"/>
        </w:rPr>
        <w:t xml:space="preserve">Direction (corrected from v12): later crossing position (larger x_cross) corresponds to a steeper, more negative c1. This is the opposite of the wording in v12 ("shallower slope") which was incorrect. Empirical confirmation: NGC3838 (x_cross = 0.953, c1 = −1.847) vs NGC2685 (x_cross = 0.488, c1 = −0.838). The geometric identity explains this: as x_cross → 1, the denominator (1 − x_cross) → 0, making the required slope more negative.</w:t>
      </w:r>
    </w:p>
    <w:p>
      <w:pPr>
        <w:spacing w:after="80" w:before="80"/>
        <w:jc w:val="left"/>
      </w:pPr>
      <w:r>
        <w:rPr>
          <w:rFonts w:ascii="Arial" w:cs="Arial" w:eastAsia="Arial" w:hAnsi="Arial"/>
          <w:sz w:val="22"/>
          <w:szCs w:val="22"/>
        </w:rPr>
        <w:t xml:space="preserve">Population-gradient contamination check: age_delta, ZH_delta, and αFe_delta show no correlation with either x_cross or c1 across the 7-object set (all |r| &lt; 0.17, all p &gt; 0.72). The xcross→c1 relation is kinematic/geometric in origin, not a stellar-population artefact.</w:t>
      </w:r>
    </w:p>
    <w:p>
      <w:pPr>
        <w:pStyle w:val="Heading2"/>
        <w:spacing w:after="120" w:before="240"/>
      </w:pPr>
      <w:r>
        <w:rPr>
          <w:rFonts w:ascii="Arial" w:cs="Arial" w:eastAsia="Arial" w:hAnsi="Arial"/>
          <w:b/>
          <w:bCs/>
          <w:sz w:val="26"/>
          <w:szCs w:val="26"/>
        </w:rPr>
        <w:t xml:space="preserve">9.4  Cancellation sector</w:t>
      </w:r>
    </w:p>
    <w:p>
      <w:pPr>
        <w:spacing w:after="80" w:before="80"/>
        <w:jc w:val="left"/>
      </w:pPr>
      <w:r>
        <w:rPr>
          <w:rFonts w:ascii="Arial" w:cs="Arial" w:eastAsia="Arial" w:hAnsi="Arial"/>
          <w:sz w:val="22"/>
          <w:szCs w:val="22"/>
        </w:rPr>
        <w:t xml:space="preserve">The outer cancellation ratio R = Bout/Xout decomposes exactly as R = R_d + R_b. Correlations: r(R_d, R) = 0.905, r(R_b, R) = 0.544 for all 16 ETGs. The cancellation sector is effectively disk-carried where it matters. The outer bulge component follows a Keplerian tail (V_bul ∝ r^{−1/2}, log-slope = −0.500 to 4 decimal places) for all six buffered ETGs.</w:t>
      </w:r>
    </w:p>
    <w:p>
      <w:pPr>
        <w:pStyle w:val="Heading1"/>
        <w:spacing w:after="180" w:before="360"/>
      </w:pPr>
      <w:r>
        <w:rPr>
          <w:rFonts w:ascii="Arial" w:cs="Arial" w:eastAsia="Arial" w:hAnsi="Arial"/>
          <w:b/>
          <w:bCs/>
          <w:sz w:val="32"/>
          <w:szCs w:val="32"/>
        </w:rPr>
        <w:t xml:space="preserve">10.  Outer Chain Reduction</w:t>
      </w:r>
    </w:p>
    <w:p>
      <w:pPr>
        <w:pStyle w:val="Heading2"/>
        <w:spacing w:after="120" w:before="240"/>
      </w:pPr>
      <w:r>
        <w:rPr>
          <w:rFonts w:ascii="Arial" w:cs="Arial" w:eastAsia="Arial" w:hAnsi="Arial"/>
          <w:b/>
          <w:bCs/>
          <w:sz w:val="26"/>
          <w:szCs w:val="26"/>
        </w:rPr>
        <w:t xml:space="preserve">10.1  Stage-4 disk-force law</w:t>
      </w:r>
    </w:p>
    <w:p>
      <w:pPr>
        <w:spacing w:after="80" w:before="80"/>
        <w:jc w:val="left"/>
      </w:pPr>
      <w:r>
        <w:rPr>
          <w:rFonts w:ascii="Arial" w:cs="Arial" w:eastAsia="Arial" w:hAnsi="Arial"/>
          <w:sz w:val="22"/>
          <w:szCs w:val="22"/>
        </w:rPr>
        <w:t xml:space="preserve">The disk-only viability boundary is equivalent to a gate disk-force condition, verified via log-log regression:</w:t>
      </w:r>
    </w:p>
    <w:p>
      <w:pPr>
        <w:spacing w:after="80" w:before="80"/>
        <w:jc w:val="center"/>
      </w:pPr>
      <w:r>
        <w:rPr>
          <w:rFonts w:ascii="Arial" w:cs="Arial" w:eastAsia="Arial" w:hAnsi="Arial"/>
          <w:sz w:val="22"/>
          <w:szCs w:val="22"/>
        </w:rPr>
        <w:t xml:space="preserve">log(V²_disk(r_out)/r_out) = A + a log(Σ_disk) + b log(r_out/R₉₀)</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200"/>
        <w:gridCol w:w="800"/>
        <w:gridCol w:w="1300"/>
        <w:gridCol w:w="2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Sample</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a (density)</w:t>
            </w:r>
          </w:p>
        </w:tc>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b (geometry)</w:t>
            </w:r>
          </w:p>
        </w:tc>
        <w:tc>
          <w:tcPr>
            <w:tcW w:type="dxa" w:w="8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R²</w:t>
            </w:r>
          </w:p>
        </w:tc>
        <w:tc>
          <w:tcPr>
            <w:tcW w:type="dxa" w:w="13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LOO RMSE (log units)</w:t>
            </w:r>
          </w:p>
        </w:tc>
        <w:tc>
          <w:tcPr>
            <w:tcW w:type="dxa" w:w="2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Note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Full N=16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4.756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0.444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Σ mean over 0.80–1.00 r_out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HL-like N=12 (route-class)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5.006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 NGC2685, NGC3522, NGC3838, NGC6798</w:t>
            </w:r>
          </w:p>
        </w:tc>
      </w:tr>
    </w:tbl>
    <w:p>
      <w:pPr>
        <w:spacing w:after="40" w:before="40"/>
      </w:pPr>
      <w:r>
        <w:t xml:space="preserve"/>
      </w:r>
    </w:p>
    <w:p>
      <w:pPr>
        <w:spacing w:after="80" w:before="80"/>
        <w:jc w:val="left"/>
      </w:pPr>
      <w:r>
        <w:rPr>
          <w:rFonts w:ascii="Arial" w:cs="Arial" w:eastAsia="Arial" w:hAnsi="Arial"/>
          <w:sz w:val="22"/>
          <w:szCs w:val="22"/>
        </w:rPr>
        <w:t xml:space="preserve">The HL-like subset excludes the 4 non-main-route ETGs (NGC2685 low-load; NGC3522, NGC3838, NGC6798 disk-buffered). The LOO improvement from 0.444 to 0.361 is route-class conditioned, not driven by any Xout threshold — Xout-based cuts give LOO ≥ 0.450 for all tested thresholds. The HL12 route-set ranks 447/1820 (top 24.6%) among all possible 4-object exclusion subsets, confirming it is structurally motivated but not uniquely optimal. NGC5582 dominates the HL12 leverage: its LOO residual under the HL fit is −0.867 log units (full-sample LOO = +0.089), and it should be treated as a provisional row endpoint. Full-sample row is reproduced exactly using mean Σ over 0.80–1.00 r_out from high-resolution disk.dat files (Σ computed as mass surface density, column 2); R₉₀ from trapezoidal 2πRΣ integration.</w:t>
      </w:r>
    </w:p>
    <w:p>
      <w:pPr>
        <w:spacing w:after="90" w:before="180"/>
      </w:pPr>
      <w:r>
        <w:rPr>
          <w:rFonts w:ascii="Arial" w:cs="Arial" w:eastAsia="Arial" w:hAnsi="Arial"/>
          <w:b/>
          <w:bCs/>
          <w:sz w:val="24"/>
          <w:szCs w:val="24"/>
        </w:rPr>
        <w:t xml:space="preserve">Stage-4 structural outliers</w:t>
      </w:r>
    </w:p>
    <w:p>
      <w:pPr>
        <w:spacing w:after="80" w:before="80"/>
        <w:jc w:val="left"/>
      </w:pPr>
      <w:r>
        <w:rPr>
          <w:rFonts w:ascii="Arial" w:cs="Arial" w:eastAsia="Arial" w:hAnsi="Arial"/>
          <w:sz w:val="22"/>
          <w:szCs w:val="22"/>
        </w:rPr>
        <w:t xml:space="preserve">Two named residual endpoints are documented. NGC3838 (residual = −0.853, largest negative): it has the highest r_out/R₉₀ = 3.507, lowest Vdisk(r_out)/Vdisk(R₉₀) = 0.532, and lowest Vdisk(r_out)/Vdisk(max) = 0.425 among all 16 ETGs. Its Stage-4 failure is internal disk-structure geometry — compact mass concentration combined with extended r_out and the sharpest retained-rotation fall beyond R₉₀. No external ATLAS3D variable (σ, fDM, M/L, age, metallicity, gas/star PA) explains this residual. NGC3838 also plays a second role: it is the galaxy most responsible for the Full16 preference for log(r_out/h) over log(r_out/R₉₀) in the geometry comparison discussed below. Removing NGC3838 reverses that preference (canonical LOO 0.291 vs h-form LOO 0.306 in the N=15 subset). NGC3998 (residual = +0.694, largest positive): persists under the HL12 fit (residual = +0.474). It has very low outer Σ but sustains high Vdisk at r_out (102 km/s), so Stage-4 underestimates its disk force. The two endpoints are structurally opposite in their outer disk falloff behaviour, and both remain named residual endpoints in any honest Stage-4 table.</w:t>
      </w:r>
    </w:p>
    <w:p>
      <w:pPr>
        <w:spacing w:after="80" w:before="80"/>
        <w:jc w:val="left"/>
      </w:pPr>
      <w:r>
        <w:rPr>
          <w:rFonts w:ascii="Arial" w:cs="Arial" w:eastAsia="Arial" w:hAnsi="Arial"/>
          <w:sz w:val="22"/>
          <w:szCs w:val="22"/>
        </w:rPr>
        <w:t xml:space="preserve">Outer falloff shape diagnostic: the fractional disk falloff drop80 = (Vdisk(0.8r_out) − Vdisk(r_out)) / Vdisk(0.8r_out) has the strongest rank correlation with Stage-4 residuals (Spearman = +0.644, p = 0.007). The sign means larger fractional falloff correlates with more positive residuals, not negative — the earlier wording "fast outer fall → negative residual" is incorrect. The absolute falloff slope80 = (Vdisk(r_out) − Vdisk(0.8r_out)) / (0.2r_out) has Pearson r = −0.504 (p = 0.046), but adding it to the Stage-4 model improves LOO by only 0.025 log units. No falloff variable is promoted as a Stage-4 correction term.</w:t>
      </w:r>
    </w:p>
    <w:p>
      <w:pPr>
        <w:pStyle w:val="Heading2"/>
        <w:spacing w:after="120" w:before="240"/>
      </w:pPr>
      <w:r>
        <w:rPr>
          <w:rFonts w:ascii="Arial" w:cs="Arial" w:eastAsia="Arial" w:hAnsi="Arial"/>
          <w:b/>
          <w:bCs/>
          <w:sz w:val="26"/>
          <w:szCs w:val="26"/>
        </w:rPr>
        <w:t xml:space="preserve">10.1a  Stage-4 geometry variable: r_out/R₉₀ vs r_out/h (new in v14)</w:t>
      </w:r>
    </w:p>
    <w:p>
      <w:pPr>
        <w:spacing w:after="80" w:before="80"/>
        <w:jc w:val="left"/>
      </w:pPr>
      <w:r>
        <w:rPr>
          <w:rFonts w:ascii="Arial" w:cs="Arial" w:eastAsia="Arial" w:hAnsi="Arial"/>
          <w:sz w:val="22"/>
          <w:szCs w:val="22"/>
        </w:rPr>
        <w:t xml:space="preserve">The Stage-4 canonical geometry variable log(r_out/R₉₀) was compared against the alternative log(r_out/h) using the locked v14 ETG inputs. The h values are source-locked as full-positive high-resolution _disk.dat exponential scale lengths (log-linear fit to all Sigma &gt; 0 points; mean deviation from v15 locked values is &lt;0.001 kpc; within-r_out restricted fits fail for galaxies where disk emission extends beyond r_out). Results under mean Sigma_{0.80-1.00}: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Pr>
          <w:p>
            <w:r>
              <w:rPr>
                <w:b/>
                <w:sz w:val="20"/>
              </w:rPr>
              <w:t>Sample</w:t>
            </w:r>
          </w:p>
        </w:tc>
        <w:tc>
          <w:tcPr>
            <w:tcW w:type="dxa" w:w="2340"/>
          </w:tcPr>
          <w:p>
            <w:r>
              <w:rPr>
                <w:b/>
                <w:sz w:val="20"/>
              </w:rPr>
              <w:t>Geometry</w:t>
            </w:r>
          </w:p>
        </w:tc>
        <w:tc>
          <w:tcPr>
            <w:tcW w:type="dxa" w:w="1560"/>
          </w:tcPr>
          <w:p>
            <w:r>
              <w:rPr>
                <w:b/>
                <w:sz w:val="20"/>
              </w:rPr>
              <w:t>R²</w:t>
            </w:r>
          </w:p>
        </w:tc>
        <w:tc>
          <w:tcPr>
            <w:tcW w:type="dxa" w:w="1560"/>
          </w:tcPr>
          <w:p>
            <w:r>
              <w:rPr>
                <w:b/>
                <w:sz w:val="20"/>
              </w:rPr>
              <w:t>LOO RMSE</w:t>
            </w:r>
          </w:p>
        </w:tc>
        <w:tc>
          <w:tcPr>
            <w:tcW w:type="dxa" w:w="1560"/>
          </w:tcPr>
          <w:p>
            <w:r>
              <w:rPr>
                <w:b/>
                <w:sz w:val="20"/>
              </w:rPr>
              <w:t>Note</w:t>
            </w:r>
          </w:p>
        </w:tc>
      </w:tr>
      <w:tr>
        <w:tc>
          <w:tcPr>
            <w:tcW w:type="dxa" w:w="2340"/>
          </w:tcPr>
          <w:p>
            <w:r>
              <w:rPr>
                <w:sz w:val="20"/>
              </w:rPr>
              <w:t>Full16</w:t>
            </w:r>
          </w:p>
        </w:tc>
        <w:tc>
          <w:tcPr>
            <w:tcW w:type="dxa" w:w="2340"/>
          </w:tcPr>
          <w:p>
            <w:r>
              <w:rPr>
                <w:sz w:val="20"/>
              </w:rPr>
              <w:t>canonical Σ + log(r/R₉₀)</w:t>
            </w:r>
          </w:p>
        </w:tc>
        <w:tc>
          <w:tcPr>
            <w:tcW w:type="dxa" w:w="1560"/>
          </w:tcPr>
          <w:p>
            <w:r>
              <w:rPr>
                <w:sz w:val="20"/>
              </w:rPr>
              <w:t>0.884</w:t>
            </w:r>
          </w:p>
        </w:tc>
        <w:tc>
          <w:tcPr>
            <w:tcW w:type="dxa" w:w="1560"/>
          </w:tcPr>
          <w:p>
            <w:r>
              <w:rPr>
                <w:sz w:val="20"/>
              </w:rPr>
              <w:t>0.444</w:t>
            </w:r>
          </w:p>
        </w:tc>
        <w:tc>
          <w:tcPr>
            <w:tcW w:type="dxa" w:w="1560"/>
          </w:tcPr>
          <w:p>
            <w:r>
              <w:rPr>
                <w:sz w:val="20"/>
              </w:rPr>
              <w:t>baseline</w:t>
            </w:r>
          </w:p>
        </w:tc>
      </w:tr>
      <w:tr>
        <w:tc>
          <w:tcPr>
            <w:tcW w:type="dxa" w:w="2340"/>
          </w:tcPr>
          <w:p>
            <w:r>
              <w:rPr>
                <w:sz w:val="20"/>
              </w:rPr>
              <w:t>Full16</w:t>
            </w:r>
          </w:p>
        </w:tc>
        <w:tc>
          <w:tcPr>
            <w:tcW w:type="dxa" w:w="2340"/>
          </w:tcPr>
          <w:p>
            <w:r>
              <w:rPr>
                <w:sz w:val="20"/>
              </w:rPr>
              <w:t>h-form Σ + log(r/h)</w:t>
            </w:r>
          </w:p>
        </w:tc>
        <w:tc>
          <w:tcPr>
            <w:tcW w:type="dxa" w:w="1560"/>
          </w:tcPr>
          <w:p>
            <w:r>
              <w:rPr>
                <w:sz w:val="20"/>
              </w:rPr>
              <w:t>0.935</w:t>
            </w:r>
          </w:p>
        </w:tc>
        <w:tc>
          <w:tcPr>
            <w:tcW w:type="dxa" w:w="1560"/>
          </w:tcPr>
          <w:p>
            <w:r>
              <w:rPr>
                <w:sz w:val="20"/>
              </w:rPr>
              <w:t>0.312</w:t>
            </w:r>
          </w:p>
        </w:tc>
        <w:tc>
          <w:tcPr>
            <w:tcW w:type="dxa" w:w="1560"/>
          </w:tcPr>
          <w:p>
            <w:r>
              <w:rPr>
                <w:sz w:val="20"/>
              </w:rPr>
              <w:t>NGC3838-driven</w:t>
            </w:r>
          </w:p>
        </w:tc>
      </w:tr>
      <w:tr>
        <w:tc>
          <w:tcPr>
            <w:tcW w:type="dxa" w:w="2340"/>
          </w:tcPr>
          <w:p>
            <w:r>
              <w:rPr>
                <w:sz w:val="20"/>
              </w:rPr>
              <w:t>HL12 (route-class)</w:t>
            </w:r>
          </w:p>
        </w:tc>
        <w:tc>
          <w:tcPr>
            <w:tcW w:type="dxa" w:w="2340"/>
          </w:tcPr>
          <w:p>
            <w:r>
              <w:rPr>
                <w:sz w:val="20"/>
              </w:rPr>
              <w:t>canonical Σ + log(r/R₉₀)</w:t>
            </w:r>
          </w:p>
        </w:tc>
        <w:tc>
          <w:tcPr>
            <w:tcW w:type="dxa" w:w="1560"/>
          </w:tcPr>
          <w:p>
            <w:r>
              <w:rPr>
                <w:sz w:val="20"/>
              </w:rPr>
              <w:t>0.890</w:t>
            </w:r>
          </w:p>
        </w:tc>
        <w:tc>
          <w:tcPr>
            <w:tcW w:type="dxa" w:w="1560"/>
          </w:tcPr>
          <w:p>
            <w:r>
              <w:rPr>
                <w:sz w:val="20"/>
              </w:rPr>
              <w:t>0.361</w:t>
            </w:r>
          </w:p>
        </w:tc>
        <w:tc>
          <w:tcPr>
            <w:tcW w:type="dxa" w:w="1560"/>
          </w:tcPr>
          <w:p>
            <w:r>
              <w:rPr>
                <w:sz w:val="20"/>
              </w:rPr>
              <w:t>NGC5582-supported</w:t>
            </w:r>
          </w:p>
        </w:tc>
      </w:tr>
      <w:tr>
        <w:tc>
          <w:tcPr>
            <w:tcW w:type="dxa" w:w="2340"/>
          </w:tcPr>
          <w:p>
            <w:r>
              <w:rPr>
                <w:sz w:val="20"/>
              </w:rPr>
              <w:t>HL12 (route-class)</w:t>
            </w:r>
          </w:p>
        </w:tc>
        <w:tc>
          <w:tcPr>
            <w:tcW w:type="dxa" w:w="2340"/>
          </w:tcPr>
          <w:p>
            <w:r>
              <w:rPr>
                <w:sz w:val="20"/>
              </w:rPr>
              <w:t>h-form Σ + log(r/h)</w:t>
            </w:r>
          </w:p>
        </w:tc>
        <w:tc>
          <w:tcPr>
            <w:tcW w:type="dxa" w:w="1560"/>
          </w:tcPr>
          <w:p>
            <w:r>
              <w:rPr>
                <w:sz w:val="20"/>
              </w:rPr>
              <w:t>0.864</w:t>
            </w:r>
          </w:p>
        </w:tc>
        <w:tc>
          <w:tcPr>
            <w:tcW w:type="dxa" w:w="1560"/>
          </w:tcPr>
          <w:p>
            <w:r>
              <w:rPr>
                <w:sz w:val="20"/>
              </w:rPr>
              <w:t>0.403</w:t>
            </w:r>
          </w:p>
        </w:tc>
        <w:tc>
          <w:tcPr>
            <w:tcW w:type="dxa" w:w="1560"/>
          </w:tcPr>
          <w:p>
            <w:r>
              <w:rPr>
                <w:sz w:val="20"/>
              </w:rPr>
              <w:t>worse in HL12</w:t>
            </w:r>
          </w:p>
        </w:tc>
      </w:tr>
    </w:tbl>
    <w:p>
      <w:pPr>
        <w:spacing w:after="80" w:before="80"/>
        <w:jc w:val="left"/>
      </w:pPr>
      <w:r>
        <w:rPr>
          <w:rFonts w:ascii="Arial" w:cs="Arial" w:eastAsia="Arial" w:hAnsi="Arial"/>
          <w:sz w:val="22"/>
          <w:szCs w:val="22"/>
        </w:rPr>
        <w:t xml:space="preserve">The Full16 preference for r_out/h (ΔLOO = −0.133) is an endpoint effect, not a universal geometry lock. NGC3838 has rank-1 r_out/R₉₀ = 3.507 and rank-2 r_out/h = 9.633 among all 16 ETGs; switching to r_out/h reduces its Cook’s D from 0.903 to 0.124. Removing NGC3838 entirely reverses the Full16 preference: canonical LOO = 0.291 vs h-form LOO = 0.306 (N=15). The HL12 canonical row remains supported by NGC5582: that galaxy is high-leverage in HL12 (Cook’s D = 3.15, LOO = −0.866), and removing it flips the HL12 preference to h-form (canonical LOO = 0.281 vs h-form LOO = 0.236 in N=11). Safe conclusion: Stage-4 robustly requires density plus outer geometry. The canonical r_out/R₉₀ form is retained as the primary row because it is route-conditioned (HL12) and does not depend on a single structural outlier. The Full16 h-form preference is noted as an empirical sensitivity finding, not a canonical replacement.</w:t>
      </w:r>
    </w:p>
    <w:p>
      <w:pPr>
        <w:spacing w:after="120" w:before="240"/>
      </w:pPr>
      <w:r>
        <w:rPr>
          <w:rFonts w:ascii="Arial" w:cs="Arial" w:eastAsia="Arial" w:hAnsi="Arial"/>
          <w:b/>
          <w:sz w:val="24"/>
          <w:szCs w:val="24"/>
        </w:rPr>
        <w:t xml:space="preserve">10.2  Real-profile kernel law</w:t>
      </w:r>
    </w:p>
    <w:p>
      <w:pPr>
        <w:spacing w:after="80" w:before="80"/>
        <w:jc w:val="center"/>
      </w:pPr>
      <w:r>
        <w:rPr>
          <w:rFonts w:ascii="Arial" w:cs="Arial" w:eastAsia="Arial" w:hAnsi="Arial"/>
          <w:sz w:val="22"/>
          <w:szCs w:val="22"/>
        </w:rPr>
        <w:t xml:space="preserve">log H_real = −3.487 + 2.003 log(z) − 0.919 log(η),   R² = 0.931   (N = 16)</w:t>
      </w:r>
    </w:p>
    <w:p>
      <w:pPr>
        <w:spacing w:after="80" w:before="80"/>
        <w:jc w:val="center"/>
      </w:pPr>
      <w:r>
        <w:rPr>
          <w:rFonts w:ascii="Arial" w:cs="Arial" w:eastAsia="Arial" w:hAnsi="Arial"/>
          <w:sz w:val="22"/>
          <w:szCs w:val="22"/>
        </w:rPr>
        <w:t xml:space="preserve">High-load (X_out &gt; 2, N=12): log H_real = −3.390 + 2.239 log(z) − 0.583 log(η),   R² = 0.930</w:t>
      </w:r>
    </w:p>
    <w:p>
      <w:pPr>
        <w:spacing w:after="80" w:before="80"/>
        <w:jc w:val="left"/>
      </w:pPr>
      <w:r>
        <w:rPr>
          <w:rFonts w:ascii="Arial" w:cs="Arial" w:eastAsia="Arial" w:hAnsi="Arial"/>
          <w:sz w:val="22"/>
          <w:szCs w:val="22"/>
        </w:rPr>
        <w:t xml:space="preserve">where H_real = 0.5 × [V²_disk(r_out)/r_out] / (Γ₀ × ⟨Σ⟩_{0.8–1.0}), z = r_out/R₉₀, η = Σ(r_out)/⟨Σ⟩_{0.8–1.0}. K constants: K_full = exp(−3.487) = 0.03060, K_hl = exp(−3.390) = 0.03372 (both verified to all digits from raw files).</w:t>
      </w:r>
    </w:p>
    <w:p>
      <w:pPr>
        <w:pStyle w:val="Heading2"/>
        <w:spacing w:after="120" w:before="240"/>
      </w:pPr>
      <w:r>
        <w:rPr>
          <w:rFonts w:ascii="Arial" w:cs="Arial" w:eastAsia="Arial" w:hAnsi="Arial"/>
          <w:b/>
          <w:bCs/>
          <w:sz w:val="26"/>
          <w:szCs w:val="26"/>
        </w:rPr>
        <w:t xml:space="preserve">10.3  Complete outer chain</w:t>
      </w:r>
    </w:p>
    <w:p>
      <w:pPr>
        <w:spacing w:after="80" w:before="80"/>
        <w:jc w:val="left"/>
      </w:pPr>
      <w:r>
        <w:rPr>
          <w:rFonts w:ascii="Arial" w:cs="Arial" w:eastAsia="Arial" w:hAnsi="Arial"/>
          <w:sz w:val="22"/>
          <w:szCs w:val="22"/>
        </w:rPr>
        <w:t xml:space="preserve">Stage 1: X_out — dominates the empirical outer gate globally. Stage 2: B_out/X_out = R_d + R_b — residual cancellation, effectively disk-only. Stage 3: R_d = 0.5 V²_disk(r_out)/V²_obs(r_out) — disk-carried cancellation (AUC = 0.964 for buffered-branch identification). Stage 4: V²_disk(r_out)/r_out ∝ ⟨Σ_disk⟩^a × z^b — local outer disk density and gate-position geometry.</w:t>
      </w:r>
    </w:p>
    <w:p>
      <w:pPr>
        <w:pStyle w:val="Heading1"/>
        <w:spacing w:after="180" w:before="360"/>
      </w:pPr>
      <w:r>
        <w:rPr>
          <w:rFonts w:ascii="Arial" w:cs="Arial" w:eastAsia="Arial" w:hAnsi="Arial"/>
          <w:b/>
          <w:bCs/>
          <w:sz w:val="32"/>
          <w:szCs w:val="32"/>
        </w:rPr>
        <w:t xml:space="preserve">11.  H+ Branch Mathematics</w:t>
      </w:r>
    </w:p>
    <w:p>
      <w:pPr>
        <w:pStyle w:val="Heading2"/>
        <w:spacing w:after="120" w:before="240"/>
      </w:pPr>
      <w:r>
        <w:rPr>
          <w:rFonts w:ascii="Arial" w:cs="Arial" w:eastAsia="Arial" w:hAnsi="Arial"/>
          <w:b/>
          <w:bCs/>
          <w:sz w:val="26"/>
          <w:szCs w:val="26"/>
        </w:rPr>
        <w:t xml:space="preserve">11.1  Sign gate and suppression structure</w:t>
      </w:r>
    </w:p>
    <w:p>
      <w:pPr>
        <w:spacing w:after="80" w:before="80"/>
        <w:jc w:val="left"/>
      </w:pPr>
      <w:r>
        <w:rPr>
          <w:rFonts w:ascii="Arial" w:cs="Arial" w:eastAsia="Arial" w:hAnsi="Arial"/>
          <w:sz w:val="22"/>
          <w:szCs w:val="22"/>
        </w:rPr>
        <w:t xml:space="preserve">For H+ galaxies (Ω_in &gt; 1), the suppression integral G_supp = V̄²_bar(r_in) · κ* where κ* = 1 − (1/x_B) ∫₀¹ exp(−(1−y)/x_B) B(y) dy. The exact algebraic decomposition: κ* = exp(−1/x_B) + U.</w:t>
      </w:r>
    </w:p>
    <w:p>
      <w:pPr>
        <w:pStyle w:val="Heading2"/>
        <w:spacing w:after="120" w:before="240"/>
      </w:pPr>
      <w:r>
        <w:rPr>
          <w:rFonts w:ascii="Arial" w:cs="Arial" w:eastAsia="Arial" w:hAnsi="Arial"/>
          <w:b/>
          <w:bCs/>
          <w:sz w:val="26"/>
          <w:szCs w:val="26"/>
        </w:rPr>
        <w:t xml:space="preserve">11.2  Branch invariants (verified from raw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000"/>
        <w:gridCol w:w="1000"/>
        <w:gridCol w:w="1000"/>
        <w:gridCol w:w="1000"/>
        <w:gridCol w:w="1000"/>
        <w:gridCol w:w="14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Galaxy</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r_in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Q12</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Q14</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Ω_in</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U_max</w:t>
            </w:r>
          </w:p>
        </w:tc>
        <w:tc>
          <w:tcPr>
            <w:tcW w:type="dxa" w:w="1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x_loc</w:t>
            </w:r>
          </w:p>
        </w:tc>
        <w:tc>
          <w:tcPr>
            <w:tcW w:type="dxa" w:w="14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Class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NGC2685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0.5448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0.1944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1.1231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1.548</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NGC3626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0.6179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0.2040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1.3160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0.7334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1.303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NGC3941</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0.270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0.6858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0.2606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1.2246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0.7738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0.216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1.013</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single-ch.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NGC4203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0.6208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1.2757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1.3374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0.107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n/a</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 two-ch.</w:t>
            </w:r>
          </w:p>
        </w:tc>
      </w:tr>
    </w:tbl>
    <w:p>
      <w:pPr>
        <w:spacing w:after="40" w:before="40"/>
      </w:pPr>
      <w:r>
        <w:t xml:space="preserve"/>
      </w:r>
    </w:p>
    <w:p>
      <w:pPr>
        <w:spacing w:after="80" w:before="80"/>
        <w:jc w:val="left"/>
      </w:pPr>
      <w:r>
        <w:rPr>
          <w:rFonts w:ascii="Arial" w:cs="Arial" w:eastAsia="Arial" w:hAnsi="Arial"/>
          <w:sz w:val="22"/>
          <w:szCs w:val="22"/>
        </w:rPr>
        <w:t xml:space="preserve">Single-channel calibrators: U* = 0.201803 (mean; CV = 0.00%), A_loc = 3.344 (CV = 2.56%). Branch law: x_B ≈ 3.34(1 − Q12), L_B ≈ 3.34 r_in(1 − Q12).</w:t>
      </w:r>
    </w:p>
    <w:p>
      <w:pPr>
        <w:pStyle w:val="Heading2"/>
        <w:spacing w:after="120" w:before="240"/>
      </w:pPr>
      <w:r>
        <w:rPr>
          <w:rFonts w:ascii="Arial" w:cs="Arial" w:eastAsia="Arial" w:hAnsi="Arial"/>
          <w:b/>
          <w:bCs/>
          <w:sz w:val="26"/>
          <w:szCs w:val="26"/>
        </w:rPr>
        <w:t xml:space="preserve">11.3  No confirmed LTG H+ objects</w:t>
      </w:r>
    </w:p>
    <w:p>
      <w:pPr>
        <w:spacing w:after="80" w:before="80"/>
        <w:jc w:val="left"/>
      </w:pPr>
      <w:r>
        <w:rPr>
          <w:rFonts w:ascii="Arial" w:cs="Arial" w:eastAsia="Arial" w:hAnsi="Arial"/>
          <w:sz w:val="22"/>
          <w:szCs w:val="22"/>
        </w:rPr>
        <w:t xml:space="preserve">Priority O is closed. NGC2841 fails Ω_in &gt; 1 (Ω_in = 0.609 from raw files). NGC4157 passes the numerical gate (Ω_in = 1.212) but is a central-deficit crossing object (u(R₀) = −1.07) and the strongest local-shape outlier in the clean LTG buffered sample (Mahalanobis D² = 25.4, rank 1 of 75). No confirmed LTG H+ objects exist.</w:t>
      </w:r>
    </w:p>
    <w:p>
      <w:pPr>
        <w:pStyle w:val="Heading1"/>
        <w:spacing w:after="180" w:before="360"/>
      </w:pPr>
      <w:r>
        <w:rPr>
          <w:rFonts w:ascii="Arial" w:cs="Arial" w:eastAsia="Arial" w:hAnsi="Arial"/>
          <w:b/>
          <w:bCs/>
          <w:sz w:val="32"/>
          <w:szCs w:val="32"/>
        </w:rPr>
        <w:t xml:space="preserve">12.  Falsification Controls</w:t>
      </w:r>
    </w:p>
    <w:p>
      <w:pPr>
        <w:spacing w:after="80" w:before="80"/>
        <w:jc w:val="left"/>
      </w:pPr>
      <w:r>
        <w:rPr>
          <w:rFonts w:ascii="Arial" w:cs="Arial" w:eastAsia="Arial" w:hAnsi="Arial"/>
          <w:sz w:val="22"/>
          <w:szCs w:val="22"/>
        </w:rPr>
        <w:t xml:space="preserve">Sign gate isolation (NGC3838 vs NGC3626): both in the viable profile locus, both outer-feasible, both inner-feasible. H(0.3) = 1.8664 vs 1.8668 — near-identical normalised deficit shapes. The split is entirely due to absolute inner baryonic amplitude: V̄_bar(r_in) = 194 km/s (Ω_in = 0.705) vs 284 km/s (Ω_in = 1.316).</w:t>
      </w:r>
    </w:p>
    <w:p>
      <w:pPr>
        <w:spacing w:after="80" w:before="80"/>
        <w:jc w:val="left"/>
      </w:pPr>
      <w:r>
        <w:rPr>
          <w:rFonts w:ascii="Arial" w:cs="Arial" w:eastAsia="Arial" w:hAnsi="Arial"/>
          <w:sz w:val="22"/>
          <w:szCs w:val="22"/>
        </w:rPr>
        <w:t xml:space="preserve">Outer demand isolation (NGC4203 vs NGC3626): both H+ (Ω_in &gt; 1). NGC4203 has S = 10.07 vs 0.534, and u = 1.337 &gt; 1. It fails both inner feasibility and outer capacity independently.</w:t>
      </w:r>
    </w:p>
    <w:p>
      <w:pPr>
        <w:spacing w:after="80" w:before="80"/>
        <w:jc w:val="left"/>
      </w:pPr>
      <w:r>
        <w:rPr>
          <w:rFonts w:ascii="Arial" w:cs="Arial" w:eastAsia="Arial" w:hAnsi="Arial"/>
          <w:sz w:val="22"/>
          <w:szCs w:val="22"/>
        </w:rPr>
        <w:t xml:space="preserve">Disk-buffered outer isolation (NGC3941 vs UGC6176): X_out = 2.308 vs 2.240, f_bul = 0.086 vs 0.086 (identical). The outer disk term is the sole separator. Keplerian tail log-slope = −0.500 for all six buffered ETGs.</w:t>
      </w:r>
    </w:p>
    <w:p>
      <w:pPr>
        <w:spacing w:after="80" w:before="80"/>
        <w:jc w:val="left"/>
      </w:pPr>
      <w:r>
        <w:rPr>
          <w:rFonts w:ascii="Arial" w:cs="Arial" w:eastAsia="Arial" w:hAnsi="Arial"/>
          <w:sz w:val="22"/>
          <w:szCs w:val="22"/>
        </w:rPr>
        <w:t xml:space="preserve">Stage-4 external independence (N=16, 21 variables tested): no tested external ATLAS3D variable (σ, fDM, M/L, stellar population gradients, gas/star PA offset) reaches p &lt; 0.10 against Stage-4 residuals. The maximum observed |r| = 0.420 (outer ZH vs Stage-4 residual) is weaker than expected under a 21-variable multiple-comparison null (permutation p = 0.82, N = 50,000 shuffles). Stage-4 is an internal disk-density/geometry relation.</w:t>
      </w:r>
    </w:p>
    <w:p>
      <w:pPr>
        <w:pStyle w:val="Heading1"/>
        <w:spacing w:after="180" w:before="360"/>
      </w:pPr>
      <w:r>
        <w:rPr>
          <w:rFonts w:ascii="Arial" w:cs="Arial" w:eastAsia="Arial" w:hAnsi="Arial"/>
          <w:b/>
          <w:bCs/>
          <w:sz w:val="32"/>
          <w:szCs w:val="32"/>
        </w:rPr>
        <w:t xml:space="preserve">13.  Computation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Context</w:t>
            </w:r>
          </w:p>
        </w:tc>
        <w:tc>
          <w:tcPr>
            <w:tcW w:type="dxa" w:w="6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Convention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Inner profile quantities (Q12, Q14, Δ, S, U_max)</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V² directly. Do NOT interpolate V then square.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radial u(r) profiles, crossing-window work</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Interpolate V_obs in V-space then square. Interpolate disk/bulge in V²-space.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memory law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Use exact gas-dependent form: L_eff = 1.8h[1 + S_mem(1 − exp(−memory_load/S_mem))]. Saturated approximation is not canonical.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integration grid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Require n_y ≥ 2000 for 4-digit stability.</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Motivated by regression-implied crossing U_max = U*. ETG S* = 1.699, LTG S* = 1.69–1.73.</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Baryonic convention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V̄²_bar = V²_gas + 0.5 V²_disk + 0.7 V²_bul. M/L_disk = 0.5, M/L_bul = 0.7.</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 classifier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Computed on N=55 buffered galaxies with valid S_inner. 22 buffered galaxies have no valid inner variables.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R₉₀</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Trapezoidal 2πRΣ integration of disk mass profile. Minor quadrature differences do not affect fit to 4 significant figures.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Σ</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Mean mass surface density over 0.80–1.00 r_out from high-resolution disk.dat (column 2).</w:t>
            </w:r>
          </w:p>
        </w:tc>
      </w:tr>
      <w:tr>
        <w:tc>
          <w:p>
            <w:pPr>
              <w:spacing w:after="40" w:before="40"/>
            </w:pPr>
            <w:r>
              <w:rPr>
                <w:rFonts w:ascii="Arial" w:cs="Arial" w:eastAsia="Arial" w:hAnsi="Arial"/>
                <w:sz w:val="20"/>
                <w:szCs w:val="20"/>
              </w:rPr>
              <w:t xml:space="preserve">Stage-4 ETG h (v14 locked)</w:t>
            </w:r>
          </w:p>
        </w:tc>
        <w:tc>
          <w:p>
            <w:pPr>
              <w:spacing w:after="40" w:before="40"/>
            </w:pPr>
            <w:r>
              <w:rPr>
                <w:rFonts w:ascii="Arial" w:cs="Arial" w:eastAsia="Arial" w:hAnsi="Arial"/>
                <w:sz w:val="20"/>
                <w:szCs w:val="20"/>
              </w:rPr>
              <w:t xml:space="preserve">Log-linear exponential fit to ALL positive Sigma(R) points in high-resolution _disk.dat (not restricted to R ≤ r_out). Within-r_out restriction fails for NGC2824 (Δh = −0.45 kpc) and others where disk emission extends beyond r_out. Mean deviation from v15 locked values: &lt;0.001 kpc. Using all-positive recomputed h gives equivalent Stage-4 performance (Full16 LOO 0.312, HL12 LOO 0.403).</w:t>
            </w:r>
          </w:p>
        </w:tc>
      </w:tr>
    </w:tbl>
    <w:p>
      <w:pPr>
        <w:spacing w:after="40" w:before="40"/>
      </w:pPr>
      <w:r>
        <w:t xml:space="preserve"/>
      </w:r>
    </w:p>
    <w:p>
      <w:pPr>
        <w:pStyle w:val="Heading1"/>
        <w:spacing w:after="180" w:before="360"/>
      </w:pPr>
      <w:r>
        <w:rPr>
          <w:rFonts w:ascii="Arial" w:cs="Arial" w:eastAsia="Arial" w:hAnsi="Arial"/>
          <w:b/>
          <w:bCs/>
          <w:sz w:val="32"/>
          <w:szCs w:val="32"/>
        </w:rPr>
        <w:t xml:space="preserve">14.  Framework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Level</w:t>
            </w:r>
          </w:p>
        </w:tc>
        <w:tc>
          <w:tcPr>
            <w:tcW w:type="dxa" w:w="81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Content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Background transport (Γ₀, L, q)</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Photometric closure (L_pred = 2kh)</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Memory saturation (L_eff, zero parameters)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4</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Response shape (q = 1 + n_out)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LTG/ETG population separation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6</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four-condition intersection (Δ, Q14, Ω_in, u)</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sign-changing H+ sector (gate, suppression, outer capacity, branch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chain reduction (X_out, R_d, Stage-4 disk-force law)</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9</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Radial threshold structure (u(r) law, δu = 1−u, buffered profile collapse, geometric c1 identity)</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10</w:t>
            </w:r>
          </w:p>
        </w:tc>
        <w:tc>
          <w:tcPr>
            <w:tcW w:type="dxa" w:w="8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Universal S-law (U_max ≈ 0.23–0.24 − 0.058 ln(S), R²≈0.85–0.92); LTG outer route split; LTG buffered regime split (52 upward / 25 single-crossing); Q12–Q14 inner law</w:t>
            </w:r>
          </w:p>
        </w:tc>
      </w:tr>
    </w:tbl>
    <w:p>
      <w:pPr>
        <w:spacing w:after="40" w:before="40"/>
      </w:pPr>
      <w:r>
        <w:t xml:space="preserve"/>
      </w:r>
    </w:p>
    <w:p>
      <w:pPr>
        <w:pStyle w:val="Heading1"/>
        <w:spacing w:after="180" w:before="360"/>
      </w:pPr>
      <w:r>
        <w:rPr>
          <w:rFonts w:ascii="Arial" w:cs="Arial" w:eastAsia="Arial" w:hAnsi="Arial"/>
          <w:b/>
          <w:bCs/>
          <w:sz w:val="32"/>
          <w:szCs w:val="32"/>
        </w:rPr>
        <w:t xml:space="preserve">15.  Derived vs Empirical Status</w:t>
      </w:r>
    </w:p>
    <w:p>
      <w:pPr>
        <w:pStyle w:val="Heading2"/>
        <w:spacing w:after="120" w:before="240"/>
      </w:pPr>
      <w:r>
        <w:rPr>
          <w:rFonts w:ascii="Arial" w:cs="Arial" w:eastAsia="Arial" w:hAnsi="Arial"/>
          <w:b/>
          <w:bCs/>
          <w:sz w:val="26"/>
          <w:szCs w:val="26"/>
        </w:rPr>
        <w:t xml:space="preserve">Derived</w:t>
      </w:r>
    </w:p>
    <w:p>
      <w:pPr>
        <w:spacing w:after="80" w:before="80"/>
        <w:jc w:val="left"/>
      </w:pPr>
      <w:r>
        <w:rPr>
          <w:rFonts w:ascii="Arial" w:cs="Arial" w:eastAsia="Arial" w:hAnsi="Arial"/>
          <w:sz w:val="22"/>
          <w:szCs w:val="22"/>
        </w:rPr>
        <w:t xml:space="preserve">Transport equation and background law; photometric closure; memory-load structure; suppression operator form; H+ sign-change mechanism; exact outer viability boundary X_out &lt; R_max/(1 − R_d − R_b); exact identity δu = (X_crit − X_out)/X_crit; structural form of Stage-4 disk-force law; crossing-window geometric identity c1 = −δu/(1 − x_cross) [new v13].</w:t>
      </w:r>
    </w:p>
    <w:p>
      <w:pPr>
        <w:pStyle w:val="Heading2"/>
        <w:spacing w:after="120" w:before="240"/>
      </w:pPr>
      <w:r>
        <w:rPr>
          <w:rFonts w:ascii="Arial" w:cs="Arial" w:eastAsia="Arial" w:hAnsi="Arial"/>
          <w:b/>
          <w:bCs/>
          <w:sz w:val="26"/>
          <w:szCs w:val="26"/>
        </w:rPr>
        <w:t xml:space="preserve">Empirical (verified from raw files)</w:t>
      </w:r>
    </w:p>
    <w:p>
      <w:pPr>
        <w:spacing w:after="80" w:before="80"/>
        <w:jc w:val="left"/>
      </w:pPr>
      <w:r>
        <w:rPr>
          <w:rFonts w:ascii="Arial" w:cs="Arial" w:eastAsia="Arial" w:hAnsi="Arial"/>
          <w:sz w:val="22"/>
          <w:szCs w:val="22"/>
        </w:rPr>
        <w:t xml:space="preserve">q ≈ 0.77; R_max = 1.758948; U* = 0.201803; A_loc = 3.344 (3-galaxy calibration); Stage-4 exponents a ≈ 0.84, b ≈ 1.72 (full sample); buffered profile collapse u(x) ≈ 1 − 1.587(x−1) + 1.398(x−1)²; outer bulge Keplerian tail log-slope = −0.500; K_full = 0.03060, K_hl = 0.03372; LTG buffered split 52/25; regime classifier AUC = 0.912 (N=55); single-crossing outer error two-scalar model: outer_MAE ≈ −10.4 + 8.6g + 10.5 L_gap (strict N=19, LOO RMSE ≈ 10.1 km/s); severity ranking Pearson = 0.935, Spearman = 0.888; S-law A ≈ 0.240, B ≈ −0.070, R² ≈ 0.919 (LTG); A ≈ 0.233, B ≈ −0.058, R² ≈ 0.851 (ETG); L_gap independence: corr(g, L_gap) ≈ 0 (VIF ≈ 1.000), partial r = 0.852; crossing-window c1 geometric identity RMSE = 0.07, Pearson r = 0.998, Spearman = 1.000 [new v13]; CDC-low-load branch: N=17, median outer MAE = 12.75 km/s; disk-buffered triple-population confirmation: combined rank 1/120 (p = 0.008) [new v13]; Stage-4 HL12 route-class improvement: LOO 0.444 → 0.361, rank 447/1820 subsets [new v13].</w:t>
      </w:r>
    </w:p>
    <w:p>
      <w:pPr>
        <w:pStyle w:val="Heading2"/>
        <w:spacing w:after="120" w:before="240"/>
      </w:pPr>
      <w:r>
        <w:rPr>
          <w:rFonts w:ascii="Arial" w:cs="Arial" w:eastAsia="Arial" w:hAnsi="Arial"/>
          <w:b/>
          <w:bCs/>
          <w:sz w:val="26"/>
          <w:szCs w:val="26"/>
        </w:rPr>
        <w:t xml:space="preserve">Provisional / unresolved</w:t>
      </w:r>
    </w:p>
    <w:p>
      <w:pPr>
        <w:spacing w:after="80" w:before="80"/>
        <w:jc w:val="left"/>
      </w:pPr>
      <w:r>
        <w:rPr>
          <w:rFonts w:ascii="Arial" w:cs="Arial" w:eastAsia="Arial" w:hAnsi="Arial"/>
          <w:sz w:val="22"/>
          <w:szCs w:val="22"/>
        </w:rPr>
        <w:t xml:space="preserve">Priority D — Two-channel H+ confirmation: NGC4203 solution needs an independent second two-channel object. No LTG candidates survive Priority O. Priority F — Stage-4 exponent derivation: exponents a ≈ 2, b ≈ −1 in H_real not derived from first principles; the scale-length geometry r_out/h performs comparably to r_out/R₉₀ for Full16, suggesting a disk self-gravity scaling argument may yield these exponents (open). Priority G — all-LTG u-profile attractor: ETG crossing-window PC1 = 99.82% confirmed; single-crossing LTG PC1 = 0.758; all-LTG PC1 ≈ 0.81 is route-mixing-driven. Formal dynamical derivation of the crossing-window universality remains open. Priority L — single-crossing L_eff correction: two-scalar g + L_gap model locked as provisional; membership locked (strict N=19, clean N=18); edge cases NGC3953 and UGC04325 each have only 1 post-crossing data point (n_outer ≥ 2 robustness rows give strict N=17/clean N=16, stable within &lt;1 km/s LOO). Three-variable extensions (n_scales, memory_load) fail jackknife sign-stability. NGC5582 Stage-4 HL leverage: Cook’s D = 3.15, LOO = −0.867 log units under HL fit; also controls the HL12 R₉₀-vs-h geometry preference (removing it flips HL12 to prefer h-form). The HL exact coefficient row is provisional. Stage-4 ETG h values are source-locked as full-positive _disk.dat exponential scale lengths. IllustrisTNG/EAGLE test: not yet attempted.</w:t>
      </w:r>
    </w:p>
    <w:p>
      <w:pPr>
        <w:spacing w:after="80" w:before="80"/>
        <w:jc w:val="left"/>
      </w:pPr>
      <w:r>
        <w:rPr>
          <w:rFonts w:ascii="Arial" w:cs="Arial" w:eastAsia="Arial" w:hAnsi="Arial"/>
          <w:sz w:val="22"/>
          <w:szCs w:val="22"/>
        </w:rPr>
        <w:t xml:space="preserve">Resolved in v13 (removed from provisional): Priority K (xcross→c1) is now a closed geometric identity. The Z/R_b LOO organiser (v12 provisional) is confirmed falsified; the underlying mode is captured by c1 directly. Stage-4 HL12 improvement is now characterised as route-class conditioned (Experiment 13). Disk-buffered external-population distinctiveness is confirmed with three-indicator combined rank test (Experiment 15).</w:t>
      </w:r>
    </w:p>
    <w:p>
      <w:pPr>
        <w:pStyle w:val="Heading2"/>
        <w:spacing w:after="120" w:before="240"/>
      </w:pPr>
      <w:r>
        <w:rPr>
          <w:rFonts w:ascii="Arial" w:cs="Arial" w:eastAsia="Arial" w:hAnsi="Arial"/>
          <w:b/>
          <w:bCs/>
          <w:sz w:val="26"/>
          <w:szCs w:val="26"/>
        </w:rPr>
        <w:t xml:space="preserve">Open theoretical targets</w:t>
      </w:r>
    </w:p>
    <w:p>
      <w:pPr>
        <w:spacing w:after="80" w:before="80"/>
        <w:jc w:val="left"/>
      </w:pPr>
      <w:r>
        <w:rPr>
          <w:rFonts w:ascii="Arial" w:cs="Arial" w:eastAsia="Arial" w:hAnsi="Arial"/>
          <w:sz w:val="22"/>
          <w:szCs w:val="22"/>
        </w:rPr>
        <w:t xml:space="preserve">A. First-principles derivation of λ_B and branch coefficient A ≈ 3.34. B. Extension beyond 3-galaxy single-channel calibration. C. Physical mechanism connecting λ_exc to transport dynamics. D. Confirm independent second two-channel H+ galaxy (Priority D). E. Derivation of Stage-4 exponents from ETG disk profile structure; test whether r_out/h (scale-length geometry) yields exponents from disk self-gravity scaling. F. Lock Priority L two-scalar applicability conditions and fully characterise three residual-failure subtypes. G. Formal dynamical derivation of ETG crossing-window universality (PC1 = 99.82%); explain the ETG vs single-crossing LTG gap (99.82% vs 75.8%). H. IllustrisTNG/EAGLE test.</w:t>
      </w:r>
    </w:p>
    <w:p>
      <w:pPr>
        <w:pStyle w:val="Heading1"/>
        <w:spacing w:after="180" w:before="360"/>
      </w:pPr>
      <w:r>
        <w:rPr>
          <w:rFonts w:ascii="Arial" w:cs="Arial" w:eastAsia="Arial" w:hAnsi="Arial"/>
          <w:b/>
          <w:bCs/>
          <w:sz w:val="32"/>
          <w:szCs w:val="32"/>
        </w:rPr>
        <w:t xml:space="preserve">16.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2000"/>
        <w:gridCol w:w="1960"/>
      </w:tblGrid>
      <w:tr>
        <w:trPr>
          <w:tblHeader/>
        </w:trPr>
        <w:tc>
          <w:tcPr>
            <w:tcW w:type="dxa" w:w="22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Population</w:t>
            </w:r>
          </w:p>
        </w:tc>
        <w:tc>
          <w:tcPr>
            <w:tcW w:type="dxa" w:w="7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N</w:t>
            </w:r>
          </w:p>
        </w:tc>
        <w:tc>
          <w:tcPr>
            <w:tcW w:type="dxa" w:w="25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Model/Test</w:t>
            </w:r>
          </w:p>
        </w:tc>
        <w:tc>
          <w:tcPr>
            <w:tcW w:type="dxa" w:w="200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Metric</w:t>
            </w:r>
          </w:p>
        </w:tc>
        <w:tc>
          <w:tcPr>
            <w:tcW w:type="dxa" w:w="1960"/>
            <w:tcBorders>
              <w:top w:val="single" w:color="999999" w:sz="1"/>
              <w:left w:val="single" w:color="999999" w:sz="1"/>
              <w:bottom w:val="single" w:color="999999" w:sz="1"/>
              <w:right w:val="single" w:color="999999" w:sz="1"/>
            </w:tcBorders>
            <w:shd w:fill="D8E4F0" w:val="clear"/>
            <w:tcMar>
              <w:top w:type="dxa" w:w="60"/>
              <w:left w:type="dxa" w:w="100"/>
              <w:bottom w:type="dxa" w:w="60"/>
              <w:right w:type="dxa" w:w="100"/>
            </w:tcMar>
            <w:vAlign w:val="center"/>
          </w:tcPr>
          <w:p>
            <w:pPr>
              <w:jc w:val="left"/>
            </w:pPr>
            <w:r>
              <w:rPr>
                <w:rFonts w:ascii="Arial" w:cs="Arial" w:eastAsia="Arial" w:hAnsi="Arial"/>
                <w:b/>
                <w:bCs/>
                <w:i w:val="false"/>
                <w:iCs w:val="false"/>
                <w:sz w:val="20"/>
                <w:szCs w:val="20"/>
              </w:rPr>
              <w:t xml:space="preserve">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All LTGs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17.15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21.28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buffered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Exact memory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Median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27.59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Upward vs single-crossing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Welch t-test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p-value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0.00985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routes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 crossing analysis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Low-load / buffered</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81 / 77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outer infeasible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u(r_out) ≥ 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Regime classifier</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55*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g_sep = −u(R₀)+0.35S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0.919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ETG S-law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U_max = A + B ln(S)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0.851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 &lt; 1.70 threshold (LTG)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141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vs U_max ≥ U*</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Accuracy</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135/141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Outer gate (16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X_out &lt; R_max/(1−R_d)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Classification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Buffered-branch ID (AUC)</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R_d alone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AUC</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0.964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Kernel law (full ETG)</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H_real ∝ z² η^−0.92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R²</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0.931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K_full / K_hl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Normalised kernel law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K constants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0.03060 / 0.03372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identity (all ETGs)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δu = (X_crit−X_out)/X_crit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error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&lt; 5×10⁻¹⁶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Single-crossing error model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g + L_gap (Priority L, prov.)</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 10.1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CDC-low-load branch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u(R₀) &lt; 0, max u &lt; 1, low-load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Count / median outer MAE</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17 / 12.75 km/s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geometric identity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 −δu/(1−x_cross)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Pearson r / Spearman</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0.998 / 1.000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c1 identity RMSE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Parameter-free, no fitting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0.07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Disk-buffered triple signal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 ETGs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3 external population indicators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Combined rank / 120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 / 120 (p=0.008)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HL12 route-class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Excluding 4 non-main-route ETGs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LOO RMSE (log units)</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0.361 vs 0.444 full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Stage-4 external null [v13]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16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21 ATLAS3D variables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Max |Pearson 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sz w:val="20"/>
                <w:szCs w:val="20"/>
              </w:rPr>
              <w:t xml:space="preserve">0.420 (p=0.82 permutation)</w:t>
            </w:r>
          </w:p>
        </w:tc>
      </w:tr>
    </w:tbl>
    <w:p>
      <w:pPr>
        <w:spacing w:after="40" w:before="40"/>
      </w:pPr>
      <w:r>
        <w:t xml:space="preserve"/>
      </w:r>
    </w:p>
    <w:p>
      <w:pPr>
        <w:spacing w:after="60" w:before="60"/>
      </w:pPr>
      <w:r>
        <w:rPr>
          <w:rFonts w:ascii="Arial" w:cs="Arial" w:eastAsia="Arial" w:hAnsi="Arial"/>
          <w:i/>
          <w:iCs/>
          <w:sz w:val="22"/>
          <w:szCs w:val="22"/>
        </w:rPr>
        <w:t xml:space="preserve">*AUC for regime classifier conditions on 55 buffered galaxies with valid S_inner. Priority L strict set: single-crossing galaxies with h ≥ R₀ (N=19); clean set additionally requires x_cross &gt; 0.10 (N=18).</w:t>
      </w:r>
    </w:p>
    <w:p>
      <w:pPr>
        <w:pStyle w:val="Heading1"/>
        <w:spacing w:after="180" w:before="360"/>
      </w:pPr>
      <w:r>
        <w:rPr>
          <w:rFonts w:ascii="Arial" w:cs="Arial" w:eastAsia="Arial" w:hAnsi="Arial"/>
          <w:b/>
          <w:bCs/>
          <w:sz w:val="32"/>
          <w:szCs w:val="32"/>
        </w:rPr>
        <w:t xml:space="preserve">17.  Conclusion</w:t>
      </w:r>
    </w:p>
    <w:p>
      <w:pPr>
        <w:spacing w:after="80" w:before="80"/>
        <w:jc w:val="left"/>
      </w:pPr>
      <w:r>
        <w:rPr>
          <w:rFonts w:ascii="Arial" w:cs="Arial" w:eastAsia="Arial" w:hAnsi="Arial"/>
          <w:sz w:val="22"/>
          <w:szCs w:val="22"/>
        </w:rPr>
        <w:t xml:space="preserve">The MTS framework yields a transport-response law for disk galaxies with cosmological normalisation, photometric scale closure, zero-parameter memory correction, and emergent response branching.</w:t>
      </w:r>
    </w:p>
    <w:p>
      <w:pPr>
        <w:spacing w:after="80" w:before="80"/>
        <w:jc w:val="left"/>
      </w:pPr>
      <w:r>
        <w:rPr>
          <w:rFonts w:ascii="Arial" w:cs="Arial" w:eastAsia="Arial" w:hAnsi="Arial"/>
          <w:sz w:val="22"/>
          <w:szCs w:val="22"/>
        </w:rPr>
        <w:t xml:space="preserve">LTGs follow a closed first-order law with memory-driven corrections. The current-formula global median RMSE is 17.15 km/s (N=175). The LTG buffered branch splits into 52 upward-crossing and 25 single-crossing objects, predictable from initial load u(R₀) and inner concentration S_inner (AUC = 0.912). Single-crossing outer error is organised by the provisional two-scalar model outer_MAE ≈ −10.4 + 8.6g + 10.5(L_sat − L_exact), where g = memory_load × x_cross (LOO RMSE ≈ 10 km/s, strict N=19; Spearman severity ranking = 0.888). A further 17 galaxies form the CDC-low-load branch (u(R₀) &lt; 0, max u(r) &lt; 1), structurally distinct from both ordinary low-load and CDC-upward objects, with no outer MAE correction law established yet.</w:t>
      </w:r>
    </w:p>
    <w:p>
      <w:pPr>
        <w:spacing w:after="80" w:before="80"/>
        <w:jc w:val="left"/>
      </w:pPr>
      <w:r>
        <w:rPr>
          <w:rFonts w:ascii="Arial" w:cs="Arial" w:eastAsia="Arial" w:hAnsi="Arial"/>
          <w:sz w:val="22"/>
          <w:szCs w:val="22"/>
        </w:rPr>
        <w:t xml:space="preserve">ETGs form a multi-family, multi-sign response sector governed by a four-condition intersection. The outer gate factorises exactly into X_out and R_d. The viability boundary X_out &lt; R_max/(1 − R_d) classifies all 16 ETGs correctly. Buffered ETGs share a common rescaled radial approach profile (u(x) ≈ 1 − 1.587(x−1) + 1.398(x−1)², ETG crossing-window PC1 = 99.82% independently confirmed; all-LTG u-profile PC1 ≈ 0.81 reflects route-class mixing, not a weaker attractor), with per-galaxy slopes determined by the parameter-free geometric identity c1 = −δu/(1 − x_cross) (Pearson r = 0.998, Spearman = 1.000, no free parameters). This result, closed in v13, confirms that the crossing-window variation is a geometric consequence of the available post-crossing radial interval rather than an independent empirical datum. The outer chain reduces to a density-plus-geometry disk-force kernel law (K_full = 0.03060, R² = 0.931).</w:t>
      </w:r>
    </w:p>
    <w:p>
      <w:pPr>
        <w:spacing w:after="80" w:before="80"/>
        <w:jc w:val="left"/>
      </w:pPr>
      <w:r>
        <w:rPr>
          <w:rFonts w:ascii="Arial" w:cs="Arial" w:eastAsia="Arial" w:hAnsi="Arial"/>
          <w:sz w:val="22"/>
          <w:szCs w:val="22"/>
        </w:rPr>
        <w:t xml:space="preserve">A universal completion-ratio law U_max ≈ A − B ln(S) holds across both galaxy types (LTG: R² = 0.919, ETG: R² = 0.851), with both regression lines implying a threshold crossing near S ≈ 1.70. The disk-buffered ETG branch is externally validated by three independent population indicators — outward age increase, metallicity gradient, and radial M/L decline — jointly ranking first among all 120 ETG pairs with p = 0.008. No confirmed LTG H+ objects exist.</w:t>
      </w:r>
    </w:p>
    <w:p>
      <w:pPr>
        <w:pStyle w:val="Heading1"/>
        <w:spacing w:after="180" w:before="360"/>
      </w:pPr>
      <w:r>
        <w:rPr>
          <w:rFonts w:ascii="Arial" w:cs="Arial" w:eastAsia="Arial" w:hAnsi="Arial"/>
          <w:b/>
          <w:bCs/>
          <w:sz w:val="32"/>
          <w:szCs w:val="32"/>
        </w:rPr>
        <w:t xml:space="preserve">18.  Methods and Data</w:t>
      </w:r>
    </w:p>
    <w:p>
      <w:pPr>
        <w:spacing w:after="80" w:before="80"/>
        <w:jc w:val="left"/>
      </w:pPr>
      <w:r>
        <w:rPr>
          <w:rFonts w:ascii="Arial" w:cs="Arial" w:eastAsia="Arial" w:hAnsi="Arial"/>
          <w:sz w:val="22"/>
          <w:szCs w:val="22"/>
        </w:rP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80" w:before="80"/>
        <w:jc w:val="left"/>
      </w:pPr>
      <w:r>
        <w:rPr>
          <w:rFonts w:ascii="Arial" w:cs="Arial" w:eastAsia="Arial" w:hAnsi="Arial"/>
          <w:sz w:val="22"/>
          <w:szCs w:val="22"/>
        </w:rPr>
        <w:t xml:space="preserve">External datasets cross-matched in v13: Krajnovic et al. (2020) ATLAS3D stellar population radial profiles (16/16 ETG coverage); Poci et al. (2017) 2D stellar M/L maps (MLSTARR, 16/16 coverage); ATLAS3D stellar kinematics (VPXF, 16/16); ATLAS3D ionised-gas maps (V_OIII_GAS, 16/16); Serra et al. (2012) HI moment maps (15/16, NGC2974 absent); BulgeDiskDec ETG photometric density files (16/16). CO single-dish archive and Serra2012 HI archive are ATLAS3D ETG-only and have 0/17 overlap with the CDC-low LTG branch.</w:t>
      </w:r>
    </w:p>
    <w:p>
      <w:pPr>
        <w:spacing w:after="80" w:before="80"/>
        <w:jc w:val="left"/>
      </w:pPr>
      <w:r>
        <w:rPr>
          <w:rFonts w:ascii="Arial" w:cs="Arial" w:eastAsia="Arial" w:hAnsi="Arial"/>
          <w:sz w:val="22"/>
          <w:szCs w:val="22"/>
        </w:rPr>
        <w:t xml:space="preserve">Baryonic convention: V̄²_bar = V²_gas + 0.5 V²_disk + 0.7 V²_bul; M/L_disk = 0.5, M/L_bul = 0.7. File comments: ROTMOD files use comments="#"; bulge/disk component files use comments="!". G_supp must use the IBP form. Canonical r_in values: NGC2685 = 0.310, NGC3626 = 0.370, NGC3941 = 0.270, NGC4203 = 0.460 kpc (locked). Framework constants: Γ₀ = 809.956 km²/s²/kpc; R_max = 1.758948; U* = 0.201803. Evaluation: RMSE = √(mean[(V_model − V_obs)²]). All tables verified from raw ETG and LTG files using the exact gas-dependent memory law.</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D9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2026-04-26T23:21:52.813Z</dcterms:created>
  <dcterms:modified xsi:type="dcterms:W3CDTF">2026-04-26T23:21:52.814Z</dcterms:modified>
</cp:coreProperties>
</file>

<file path=docProps/custom.xml><?xml version="1.0" encoding="utf-8"?>
<Properties xmlns="http://schemas.openxmlformats.org/officeDocument/2006/custom-properties" xmlns:vt="http://schemas.openxmlformats.org/officeDocument/2006/docPropsVTypes"/>
</file>