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48"/>
          <w:szCs w:val="48"/>
        </w:rPr>
        <w:t xml:space="preserve">MTS Galaxy Law</w:t>
      </w:r>
    </w:p>
    <w:p>
      <w:pPr>
        <w:spacing w:after="60" w:before="60"/>
        <w:jc w:val="center"/>
      </w:pPr>
      <w:r>
        <w:rPr>
          <w:rFonts w:ascii="Arial" w:cs="Arial" w:eastAsia="Arial" w:hAnsi="Arial"/>
          <w:b/>
          <w:bCs/>
          <w:sz w:val="32"/>
          <w:szCs w:val="32"/>
        </w:rPr>
        <w:t xml:space="preserve">The Motion–Timespace (MTS) Galaxy Law:</w:t>
      </w:r>
    </w:p>
    <w:p>
      <w:pPr>
        <w:spacing w:after="60" w:before="60"/>
        <w:jc w:val="center"/>
      </w:pPr>
      <w:r>
        <w:rPr>
          <w:rFonts w:ascii="Arial" w:cs="Arial" w:eastAsia="Arial" w:hAnsi="Arial"/>
          <w:b/>
          <w:bCs/>
          <w:sz w:val="32"/>
          <w:szCs w:val="32"/>
        </w:rPr>
        <w:t xml:space="preserve">A Transport–Response Framework for Disk Galaxies</w:t>
      </w:r>
    </w:p>
    <w:p>
      <w:pPr>
        <w:spacing w:after="240" w:before="60"/>
        <w:jc w:val="center"/>
      </w:pPr>
      <w:r>
        <w:rPr>
          <w:rFonts w:ascii="Arial" w:cs="Arial" w:eastAsia="Arial" w:hAnsi="Arial"/>
          <w:i/>
          <w:iCs/>
          <w:sz w:val="22"/>
          <w:szCs w:val="22"/>
        </w:rPr>
        <w:t xml:space="preserve">Version 15  —  post-verification draft incorporating Experiments 1–21 (CDC-low full characterisation, Priority L diagnostic taxonomy, Stage-4 outlier interactions, ETG crossing-window shape, LTG PCA leverage)</w:t>
      </w:r>
    </w:p>
    <w:p>
      <w:pPr>
        <w:pStyle w:val="Heading1"/>
        <w:spacing w:after="180" w:before="360"/>
      </w:pPr>
      <w:r>
        <w:rPr>
          <w:rFonts w:ascii="Arial" w:cs="Arial" w:eastAsia="Arial" w:hAnsi="Arial"/>
          <w:b/>
          <w:bCs/>
          <w:sz w:val="32"/>
          <w:szCs w:val="32"/>
        </w:rPr>
        <w:t xml:space="preserve">Abstract</w:t>
      </w:r>
    </w:p>
    <w:p>
      <w:pPr>
        <w:spacing w:after="80" w:before="80"/>
        <w:jc w:val="left"/>
      </w:pPr>
      <w:r>
        <w:rPr>
          <w:rFonts w:ascii="Arial" w:cs="Arial" w:eastAsia="Arial" w:hAnsi="Arial"/>
          <w:sz w:val="22"/>
          <w:szCs w:val="22"/>
        </w:rPr>
        <w:t xml:space="preserve">We present a transport-based derivation of galaxy rotation curves within the Motion–Timespace (MTS) framework. A curvature–exchange field, emerging from a coarse-grained microscopic motion field ψ, drives a support field whose radial transport produces a closed-form rotation law. The resulting background law is cosmologically normalised and contains no free parameters.</w:t>
      </w:r>
    </w:p>
    <w:p>
      <w:pPr>
        <w:spacing w:after="80" w:before="80"/>
        <w:jc w:val="left"/>
      </w:pPr>
      <w:r>
        <w:rPr>
          <w:rFonts w:ascii="Arial" w:cs="Arial" w:eastAsia="Arial" w:hAnsi="Arial"/>
          <w:sz w:val="22"/>
          <w:szCs w:val="22"/>
        </w:rPr>
        <w:t xml:space="preserve">First-order corrections arise from structural deviations — specifically gas depletion and bulge concentration. The governing variable is an integrated transport memory, producing a zero-parameter saturating modification of the effective transport scale. Residuals reorganise into distinct response families characterised by different radial kernels.</w:t>
      </w:r>
    </w:p>
    <w:p>
      <w:pPr>
        <w:spacing w:after="80" w:before="80"/>
        <w:jc w:val="left"/>
      </w:pPr>
      <w:r>
        <w:rPr>
          <w:rFonts w:ascii="Arial" w:cs="Arial" w:eastAsia="Arial" w:hAnsi="Arial"/>
          <w:sz w:val="22"/>
          <w:szCs w:val="22"/>
        </w:rPr>
        <w:t xml:space="preserve">Late-type galaxies (LTGs) follow a unified transport law with memory-driven corrections. The LTG buffered branch splits into 52 upward-crossing and 25 single-crossing outer-approach objects, predictable from initial load u(R₀) and inner concentration S_inner (AUC = 0.912 on valid-inner subset N = 55). Single-crossing outer error is organised by a two-scalar model using g = memory_load × x_cross and the memory-law gap L_gap = L_sat − L_exact (LOO RMSE ≈ 10 km/s, severity Spearman = 0.888, top-5 exact identification). An additional CDC-low-load route (N = 17) of suppressed-amplitude central-deficit galaxies is identified and characterised.</w:t>
      </w:r>
    </w:p>
    <w:p>
      <w:pPr>
        <w:spacing w:after="80" w:before="80"/>
        <w:jc w:val="left"/>
      </w:pPr>
      <w:r>
        <w:rPr>
          <w:rFonts w:ascii="Arial" w:cs="Arial" w:eastAsia="Arial" w:hAnsi="Arial"/>
          <w:sz w:val="22"/>
          <w:szCs w:val="22"/>
        </w:rPr>
        <w:t xml:space="preserve">Early-type galaxies (ETGs) form a multi-family, multi-sign response sector governed by a layered four-condition intersection structure. The outer gate factorises exactly into a load coordinate X_out and a disk-carried cancellation coordinate R_d, with the viable single-channel H+ branch admitting a full structural reduction to a density-plus-geometry disk-force kernel law (K_full = 0.03060, K_hl = 0.03372, verified). A universal completion-ratio law U_max ≈ 0.23–0.24 − 0.058 ln(S) (R² ≈ 0.85–0.92) organises inner feasibility across both galaxy types.</w:t>
      </w:r>
    </w:p>
    <w:p>
      <w:pPr>
        <w:spacing w:after="80" w:before="80"/>
        <w:jc w:val="left"/>
      </w:pPr>
      <w:r>
        <w:rPr>
          <w:rFonts w:ascii="Arial" w:cs="Arial" w:eastAsia="Arial" w:hAnsi="Arial"/>
          <w:sz w:val="22"/>
          <w:szCs w:val="22"/>
        </w:rPr>
        <w:t xml:space="preserve">New in v13/v14: crossing-window geometric identity c1 = −δu/(1 − x_cross) closed; Stage-4 HL12 improvement confirmed route-class conditioned; disk-buffered ETG branch externally validated (combined rank 1/120, p = 0.008); Priority L membership locked (strict N=19, clean N=18); Stage-4 geometry characterised (Full16 h-preference NGC3838-driven; HL12 R₉₀-preference NGC5582-held); ETG h values source-locked. New in v15: the CDC-low-load branch is fully characterised (EXP1–EXP2, EXP7, EXP10, EXP12, EXP15, EXP17–EXP18). All 17 members satisfy a central SPARC baryonic overcorrection at R₀ — 15 disk-driven, 2 bulge-driven (NGC4217, UGC06614); the branch is not a dark-matter deficit. The four-subgroup taxonomy (weak-sign, near-threshold, deep-deficit, intermediate) is structural-descriptive; Kruskal-Wallis across subgroups gives p &gt; 0.55. The best calibrated inner-error predictor is R₀/r_out (R² = 0.60, LOO = 6.81 km/s); the stellar overcorrection ratio is the best rank-order diagnostic (Spearman = 0.73, top-5 overlap = 5/5 excluding F574-2) but performs poorly as a calibrated predictor. No correction law was found. Priority L is extended with a full residual taxonomy (EXP20) and a compact-disk negative-residual tendency (EXP21). The late-load diagnostic (u_out &gt; 0.64 AND h/r_out &gt; 0.095) achieves precision = 1.000, recall = 0.500 (one-sided MW p = 0.000172); LOO residuals do not correlate with g or L_gap themselves (Pearson &lt; 0.05), confirming the residual structure is load-retention and compactness driven. The Stage-4 NGC3998/NGC5582 joint interaction is documented (EXP16): removing NGC3998 from HL12 gives the cleanest tested row (R² = 0.949, LOO = 0.197, b = 1.689); the Freeman disk-kernel proxy is competitive but does not replace the empirical canonical row (EXP19). The ETG vs LTG crossing-window comparison is corrected (EXP14): the fair comparison is endpoint-normalised ETG PC1 = 99.68% vs LTG strict-19 endpoint PC1 = 89.76%; the previously cited LTG clean-18 raw PC1 = 95.5% is an artefact driven by UGC03580 (x_cross = 0.008) and is not comparable to the ETG figure.</w:t>
      </w:r>
    </w:p>
    <w:p>
      <w:pPr>
        <w:spacing w:after="60" w:before="60"/>
      </w:pPr>
      <w:r>
        <w:rPr>
          <w:rFonts w:ascii="Arial" w:cs="Arial" w:eastAsia="Arial" w:hAnsi="Arial"/>
          <w:i/>
          <w:iCs/>
          <w:sz w:val="22"/>
          <w:szCs w:val="22"/>
        </w:rPr>
        <w:t xml:space="preserve">Performance note: LTG global performance figures in earlier drafts (median RMSE 20.60 km/s; all-LTG 29.44 km/s) are mixed-provenance artefacts from previous formula versions and are not cited in this draft. Current-formula performance under the exact gas-dependent memory law: all LTGs (N=175) median RMSE = 17.15 km/s, mean = 21.90 km/s.</w:t>
      </w:r>
    </w:p>
    <w:p>
      <w:pPr>
        <w:pStyle w:val="Heading1"/>
        <w:spacing w:after="180" w:before="360"/>
      </w:pPr>
      <w:r>
        <w:rPr>
          <w:rFonts w:ascii="Arial" w:cs="Arial" w:eastAsia="Arial" w:hAnsi="Arial"/>
          <w:b/>
          <w:bCs/>
          <w:sz w:val="32"/>
          <w:szCs w:val="32"/>
        </w:rPr>
        <w:t xml:space="preserve">1.  Introduction</w:t>
      </w:r>
    </w:p>
    <w:p>
      <w:pPr>
        <w:spacing w:after="80" w:before="80"/>
        <w:jc w:val="left"/>
      </w:pPr>
      <w:r>
        <w:rPr>
          <w:rFonts w:ascii="Arial" w:cs="Arial" w:eastAsia="Arial" w:hAnsi="Arial"/>
          <w:sz w:val="22"/>
          <w:szCs w:val="22"/>
        </w:rPr>
        <w:t xml:space="preserve">Galaxy rotation curves exhibit systematic deviations from baryonic expectations. Existing approaches either introduce additional matter components (dark matter haloes) or modify gravitational dynamics (MOND and variants). The Motion–Timespace (MTS) framework treats galaxy dynamics as a macroscopic transport response to a cosmological curvature–motion background, requiring neither dark matter nor modified gravity.</w:t>
      </w:r>
    </w:p>
    <w:p>
      <w:pPr>
        <w:spacing w:after="80" w:before="80"/>
        <w:jc w:val="left"/>
      </w:pPr>
      <w:r>
        <w:rPr>
          <w:rFonts w:ascii="Arial" w:cs="Arial" w:eastAsia="Arial" w:hAnsi="Arial"/>
          <w:sz w:val="22"/>
          <w:szCs w:val="22"/>
        </w:rPr>
        <w:t xml:space="preserve">This work derives the galaxy law within the MTS framework, tests it directly against raw rotation curve data from the SPARC catalogue, and identifies the minimal correction structure required by observations. The LTG sector admits a closed first-order description. The ETG sector requires a structurally distinct layered treatment whose outer gate can be written as an exact geometric condition in the (X_out, R_d) plane.</w:t>
      </w:r>
    </w:p>
    <w:p>
      <w:pPr>
        <w:pStyle w:val="Heading1"/>
        <w:spacing w:after="180" w:before="360"/>
      </w:pPr>
      <w:r>
        <w:rPr>
          <w:rFonts w:ascii="Arial" w:cs="Arial" w:eastAsia="Arial" w:hAnsi="Arial"/>
          <w:b/>
          <w:bCs/>
          <w:sz w:val="32"/>
          <w:szCs w:val="32"/>
        </w:rPr>
        <w:t xml:space="preserve">2.  The MTS Framework</w:t>
      </w:r>
    </w:p>
    <w:p>
      <w:pPr>
        <w:pStyle w:val="Heading2"/>
        <w:spacing w:after="120" w:before="240"/>
      </w:pPr>
      <w:r>
        <w:rPr>
          <w:rFonts w:ascii="Arial" w:cs="Arial" w:eastAsia="Arial" w:hAnsi="Arial"/>
          <w:b/>
          <w:bCs/>
          <w:sz w:val="26"/>
          <w:szCs w:val="26"/>
        </w:rPr>
        <w:t xml:space="preserve">2.1  Emergent geometry</w:t>
      </w:r>
    </w:p>
    <w:p>
      <w:pPr>
        <w:spacing w:after="80" w:before="80"/>
        <w:jc w:val="left"/>
      </w:pPr>
      <w:r>
        <w:rPr>
          <w:rFonts w:ascii="Arial" w:cs="Arial" w:eastAsia="Arial" w:hAnsi="Arial"/>
          <w:sz w:val="22"/>
          <w:szCs w:val="22"/>
        </w:rPr>
        <w:t xml:space="preserve">A scalar field ψ defines an emergent metric via coarse-grained gradient covariance:</w:t>
      </w:r>
    </w:p>
    <w:p>
      <w:pPr>
        <w:spacing w:after="80" w:before="80"/>
        <w:jc w:val="center"/>
      </w:pPr>
      <w:r>
        <w:rPr>
          <w:rFonts w:ascii="Arial" w:cs="Arial" w:eastAsia="Arial" w:hAnsi="Arial"/>
          <w:b/>
          <w:bCs/>
          <w:sz w:val="22"/>
          <w:szCs w:val="22"/>
        </w:rPr>
        <w:t xml:space="preserve">g</w:t>
      </w:r>
      <w:r>
        <w:rPr>
          <w:rFonts w:ascii="Arial" w:cs="Arial" w:eastAsia="Arial" w:hAnsi="Arial"/>
          <w:sz w:val="22"/>
          <w:szCs w:val="22"/>
        </w:rPr>
        <w:t xml:space="preserve">_μν = η_μν + ⟨∂_μψ, ∂_νψ⟩</w:t>
      </w:r>
    </w:p>
    <w:p>
      <w:pPr>
        <w:pStyle w:val="Heading2"/>
        <w:spacing w:after="120" w:before="240"/>
      </w:pPr>
      <w:r>
        <w:rPr>
          <w:rFonts w:ascii="Arial" w:cs="Arial" w:eastAsia="Arial" w:hAnsi="Arial"/>
          <w:b/>
          <w:bCs/>
          <w:sz w:val="26"/>
          <w:szCs w:val="26"/>
        </w:rPr>
        <w:t xml:space="preserve">2.2  Curvature–exchange field</w:t>
      </w:r>
    </w:p>
    <w:p>
      <w:pPr>
        <w:spacing w:after="80" w:before="80"/>
        <w:jc w:val="left"/>
      </w:pPr>
      <w:r>
        <w:rPr>
          <w:rFonts w:ascii="Arial" w:cs="Arial" w:eastAsia="Arial" w:hAnsi="Arial"/>
          <w:sz w:val="22"/>
          <w:szCs w:val="22"/>
        </w:rPr>
        <w:t xml:space="preserve">A scalar Γ = F[ψ, g] encodes curvature–motion exchange. ψ is a fundamental motion field whose linear modes correspond to radiation-like behaviour and whose nonlinear localised configurations form stable matter-like structures. A secondary scalar Γ emerges dynamically as a curvature–memory field. The present work requires only: (i) the emergent metric from gradient covariance of ψ, and (ii) a curvature–exchange field Γ coupling to macroscopic transport.</w:t>
      </w:r>
    </w:p>
    <w:p>
      <w:pPr>
        <w:pStyle w:val="Heading1"/>
        <w:spacing w:after="180" w:before="360"/>
      </w:pPr>
      <w:r>
        <w:rPr>
          <w:rFonts w:ascii="Arial" w:cs="Arial" w:eastAsia="Arial" w:hAnsi="Arial"/>
          <w:b/>
          <w:bCs/>
          <w:sz w:val="32"/>
          <w:szCs w:val="32"/>
        </w:rPr>
        <w:t xml:space="preserve">3.  Transport Equation and Background Law</w:t>
      </w:r>
    </w:p>
    <w:p>
      <w:pPr>
        <w:spacing w:after="80" w:before="80"/>
        <w:jc w:val="left"/>
      </w:pPr>
      <w:r>
        <w:rPr>
          <w:rFonts w:ascii="Arial" w:cs="Arial" w:eastAsia="Arial" w:hAnsi="Arial"/>
          <w:sz w:val="22"/>
          <w:szCs w:val="22"/>
        </w:rPr>
        <w:t xml:space="preserve">The transport equation is:</w:t>
      </w:r>
    </w:p>
    <w:p>
      <w:pPr>
        <w:spacing w:after="80" w:before="80"/>
        <w:jc w:val="center"/>
      </w:pPr>
      <w:r>
        <w:rPr>
          <w:rFonts w:ascii="Arial" w:cs="Arial" w:eastAsia="Arial" w:hAnsi="Arial"/>
          <w:sz w:val="22"/>
          <w:szCs w:val="22"/>
        </w:rPr>
        <w:t xml:space="preserve">u</w:t>
      </w:r>
      <w:r>
        <w:rPr>
          <w:rFonts w:ascii="Arial" w:cs="Arial" w:eastAsia="Arial" w:hAnsi="Arial"/>
          <w:sz w:val="18"/>
          <w:szCs w:val="18"/>
          <w:vertAlign w:val="superscript"/>
        </w:rPr>
        <w:t xml:space="preserve">μ</w:t>
      </w:r>
      <w:r>
        <w:rPr>
          <w:rFonts w:ascii="Arial" w:cs="Arial" w:eastAsia="Arial" w:hAnsi="Arial"/>
          <w:sz w:val="22"/>
          <w:szCs w:val="22"/>
        </w:rPr>
        <w:t xml:space="preserve"> ∇_μ χ + χ/τ_Γ = Γ₀/4</w:t>
      </w:r>
    </w:p>
    <w:p>
      <w:pPr>
        <w:spacing w:after="80" w:before="80"/>
        <w:jc w:val="left"/>
      </w:pPr>
      <w:r>
        <w:rPr>
          <w:rFonts w:ascii="Arial" w:cs="Arial" w:eastAsia="Arial" w:hAnsi="Arial"/>
          <w:sz w:val="22"/>
          <w:szCs w:val="22"/>
        </w:rPr>
        <w:t xml:space="preserve">In the stationary disk limit, with L = v_Γ τ_Γ, the background solution is:</w:t>
      </w:r>
    </w:p>
    <w:p>
      <w:pPr>
        <w:spacing w:after="80" w:before="80"/>
        <w:jc w:val="center"/>
      </w:pPr>
      <w:r>
        <w:rPr>
          <w:rFonts w:ascii="Arial" w:cs="Arial" w:eastAsia="Arial" w:hAnsi="Arial"/>
          <w:sz w:val="22"/>
          <w:szCs w:val="22"/>
        </w:rPr>
        <w:t xml:space="preserve">χ(r) = (Γ₀/4) L [1 − exp(−r/L)]</w:t>
      </w:r>
    </w:p>
    <w:p>
      <w:pPr>
        <w:spacing w:after="80" w:before="80"/>
        <w:jc w:val="left"/>
      </w:pPr>
      <w:r>
        <w:rPr>
          <w:rFonts w:ascii="Arial" w:cs="Arial" w:eastAsia="Arial" w:hAnsi="Arial"/>
          <w:sz w:val="22"/>
          <w:szCs w:val="22"/>
        </w:rPr>
        <w:t xml:space="preserve">Mapping to observables via V²(r) = V̄²_bar(r) + χ(r), using the photometric closure L = k(j̄_har/V̄_har,hmr) with k ≈ 0.9, and the cosmological normalisation Γ₀ = cH₀/(8π), yields the zero-parameter background galaxy law.</w:t>
      </w:r>
    </w:p>
    <w:p>
      <w:pPr>
        <w:spacing w:after="80" w:before="80"/>
        <w:jc w:val="left"/>
      </w:pPr>
      <w:r>
        <w:rPr>
          <w:rFonts w:ascii="Arial" w:cs="Arial" w:eastAsia="Arial" w:hAnsi="Arial"/>
          <w:sz w:val="22"/>
          <w:szCs w:val="22"/>
        </w:rPr>
        <w:t xml:space="preserve">Working constants (all locked, verified from raw files):</w:t>
      </w:r>
    </w:p>
    <w:p>
      <w:pPr>
        <w:spacing w:after="80" w:before="80"/>
        <w:jc w:val="center"/>
      </w:pPr>
      <w:r>
        <w:rPr>
          <w:rFonts w:ascii="Arial" w:cs="Arial" w:eastAsia="Arial" w:hAnsi="Arial"/>
          <w:b/>
          <w:bCs/>
          <w:sz w:val="22"/>
          <w:szCs w:val="22"/>
        </w:rPr>
        <w:t xml:space="preserve">Γ₀ = 809.956 km²/s²/kpc     R_max = 1.758948     q = 0.77 (global exponent)</w:t>
      </w:r>
    </w:p>
    <w:p>
      <w:pPr>
        <w:pStyle w:val="Heading1"/>
        <w:spacing w:after="180" w:before="360"/>
      </w:pPr>
      <w:r>
        <w:rPr>
          <w:rFonts w:ascii="Arial" w:cs="Arial" w:eastAsia="Arial" w:hAnsi="Arial"/>
          <w:b/>
          <w:bCs/>
          <w:sz w:val="32"/>
          <w:szCs w:val="32"/>
        </w:rPr>
        <w:t xml:space="preserve">4.  LTG Sector</w:t>
      </w:r>
    </w:p>
    <w:p>
      <w:pPr>
        <w:pStyle w:val="Heading2"/>
        <w:spacing w:after="120" w:before="240"/>
      </w:pPr>
      <w:r>
        <w:rPr>
          <w:rFonts w:ascii="Arial" w:cs="Arial" w:eastAsia="Arial" w:hAnsi="Arial"/>
          <w:b/>
          <w:bCs/>
          <w:sz w:val="26"/>
          <w:szCs w:val="26"/>
        </w:rPr>
        <w:t xml:space="preserve">4.1  Photometric closure</w:t>
      </w:r>
    </w:p>
    <w:p>
      <w:pPr>
        <w:spacing w:after="80" w:before="80"/>
        <w:jc w:val="left"/>
      </w:pPr>
      <w:r>
        <w:rPr>
          <w:rFonts w:ascii="Arial" w:cs="Arial" w:eastAsia="Arial" w:hAnsi="Arial"/>
          <w:sz w:val="22"/>
          <w:szCs w:val="22"/>
        </w:rPr>
        <w:t xml:space="preserve">For exponential disks, j̄_har = 2hV_φα, giving L_pred = 2kh ≈ 1.8h. This closure stabilises the scale law.</w:t>
      </w:r>
    </w:p>
    <w:p>
      <w:pPr>
        <w:pStyle w:val="Heading2"/>
        <w:spacing w:after="120" w:before="240"/>
      </w:pPr>
      <w:r>
        <w:rPr>
          <w:rFonts w:ascii="Arial" w:cs="Arial" w:eastAsia="Arial" w:hAnsi="Arial"/>
          <w:b/>
          <w:bCs/>
          <w:sz w:val="26"/>
          <w:szCs w:val="26"/>
        </w:rPr>
        <w:t xml:space="preserve">4.2  Transport memory law (canonical convention)</w:t>
      </w:r>
    </w:p>
    <w:p>
      <w:pPr>
        <w:spacing w:after="80" w:before="80"/>
        <w:jc w:val="left"/>
      </w:pPr>
      <w:r>
        <w:rPr>
          <w:rFonts w:ascii="Arial" w:cs="Arial" w:eastAsia="Arial" w:hAnsi="Arial"/>
          <w:sz w:val="22"/>
          <w:szCs w:val="22"/>
        </w:rPr>
        <w:t xml:space="preserve">The governing variable is memory_load = (1 − f_gas)(R_out / h). The effective transport scale is:</w:t>
      </w:r>
    </w:p>
    <w:p>
      <w:pPr>
        <w:spacing w:after="80" w:before="80"/>
        <w:jc w:val="center"/>
      </w:pPr>
      <w:r>
        <w:rPr>
          <w:rFonts w:ascii="Arial" w:cs="Arial" w:eastAsia="Arial" w:hAnsi="Arial"/>
          <w:sz w:val="22"/>
          <w:szCs w:val="22"/>
        </w:rPr>
        <w:t xml:space="preserve">L_eff = 1.8h [ 1 + S_mem ( 1 − exp(−memory_load / S_mem) ) ]</w:t>
      </w:r>
    </w:p>
    <w:p>
      <w:pPr>
        <w:spacing w:after="80" w:before="80"/>
        <w:jc w:val="center"/>
      </w:pPr>
      <w:r>
        <w:rPr>
          <w:rFonts w:ascii="Arial" w:cs="Arial" w:eastAsia="Arial" w:hAnsi="Arial"/>
          <w:sz w:val="22"/>
          <w:szCs w:val="22"/>
        </w:rPr>
        <w:t xml:space="preserve">S_mem = (0.9/π)(R_out / h)</w:t>
      </w:r>
    </w:p>
    <w:p>
      <w:pPr>
        <w:spacing w:after="80" w:before="80"/>
        <w:jc w:val="left"/>
      </w:pPr>
      <w:r>
        <w:rPr>
          <w:rFonts w:ascii="Arial" w:cs="Arial" w:eastAsia="Arial" w:hAnsi="Arial"/>
          <w:sz w:val="22"/>
          <w:szCs w:val="22"/>
        </w:rPr>
        <w:t xml:space="preserve">This is the canonical exact gas-dependent memory law. It must be used for all residual and performance tables. The saturated approximation L_eff = 1.8h(1 + S_mem) gives qualitatively similar results but lower RMSEs (by approximately 0.7 km/s on the global median) and is not used for headline statistics.</w:t>
      </w:r>
    </w:p>
    <w:p>
      <w:pPr>
        <w:pStyle w:val="Heading2"/>
        <w:spacing w:after="120" w:before="240"/>
      </w:pPr>
      <w:r>
        <w:rPr>
          <w:rFonts w:ascii="Arial" w:cs="Arial" w:eastAsia="Arial" w:hAnsi="Arial"/>
          <w:b/>
          <w:bCs/>
          <w:sz w:val="26"/>
          <w:szCs w:val="26"/>
        </w:rPr>
        <w:t xml:space="preserve">4.3  Complete LTG law</w:t>
      </w:r>
    </w:p>
    <w:p>
      <w:pPr>
        <w:spacing w:after="80" w:before="80"/>
        <w:jc w:val="center"/>
      </w:pPr>
      <w:r>
        <w:rPr>
          <w:rFonts w:ascii="Arial" w:cs="Arial" w:eastAsia="Arial" w:hAnsi="Arial"/>
          <w:sz w:val="22"/>
          <w:szCs w:val="22"/>
        </w:rPr>
        <w:t xml:space="preserve">V²(r) = V̄²_bar(r) + Γ₀ × L_eff × [1 − exp(−(r/L_eff)</w:t>
      </w:r>
      <w:r>
        <w:rPr>
          <w:rFonts w:ascii="Arial" w:cs="Arial" w:eastAsia="Arial" w:hAnsi="Arial"/>
          <w:sz w:val="18"/>
          <w:szCs w:val="18"/>
          <w:vertAlign w:val="superscript"/>
        </w:rPr>
        <w:t xml:space="preserve">q</w:t>
      </w:r>
      <w:r>
        <w:rPr>
          <w:rFonts w:ascii="Arial" w:cs="Arial" w:eastAsia="Arial" w:hAnsi="Arial"/>
          <w:sz w:val="22"/>
          <w:szCs w:val="22"/>
        </w:rPr>
        <w:t xml:space="preserve">]</w:t>
      </w:r>
    </w:p>
    <w:p>
      <w:pPr>
        <w:spacing w:after="80" w:before="80"/>
        <w:jc w:val="left"/>
      </w:pPr>
      <w:r>
        <w:rPr>
          <w:rFonts w:ascii="Arial" w:cs="Arial" w:eastAsia="Arial" w:hAnsi="Arial"/>
          <w:sz w:val="22"/>
          <w:szCs w:val="22"/>
        </w:rPr>
        <w:t xml:space="preserve">where V̄²_bar = V²_gas + 0.5 V²_disk + 0.7 V²_bul, q = 0.77, Γ₀ = 809.956.</w:t>
      </w:r>
    </w:p>
    <w:p>
      <w:pPr>
        <w:spacing w:after="90" w:before="180"/>
      </w:pPr>
      <w:r>
        <w:rPr>
          <w:rFonts w:ascii="Arial" w:cs="Arial" w:eastAsia="Arial" w:hAnsi="Arial"/>
          <w:b/>
          <w:bCs/>
          <w:sz w:val="24"/>
          <w:szCs w:val="24"/>
        </w:rPr>
        <w:t xml:space="preserve">Computation convention</w:t>
      </w:r>
    </w:p>
    <w:p>
      <w:pPr>
        <w:spacing w:after="80" w:before="80"/>
        <w:jc w:val="left"/>
      </w:pPr>
      <w:r>
        <w:rPr>
          <w:rFonts w:ascii="Arial" w:cs="Arial" w:eastAsia="Arial" w:hAnsi="Arial"/>
          <w:sz w:val="22"/>
          <w:szCs w:val="22"/>
        </w:rPr>
        <w:t xml:space="preserve">Inner profile quantities (Q12, Q14, Δ, S, U_max): interpolate V² directly. This is the V²-interpolation convention. Outer radial u(r) profiles and crossing-window work: interpolate V_obs in V-space then square; interpolate disk and bulge component terms in V²-space. Both conventions are verified from raw files.</w:t>
      </w:r>
    </w:p>
    <w:p>
      <w:pPr>
        <w:pStyle w:val="Heading2"/>
        <w:spacing w:after="120" w:before="240"/>
      </w:pPr>
      <w:r>
        <w:rPr>
          <w:rFonts w:ascii="Arial" w:cs="Arial" w:eastAsia="Arial" w:hAnsi="Arial"/>
          <w:b/>
          <w:bCs/>
          <w:sz w:val="26"/>
          <w:szCs w:val="26"/>
        </w:rPr>
        <w:t xml:space="preserve">4.4  LTG global performance</w:t>
      </w:r>
    </w:p>
    <w:p>
      <w:pPr>
        <w:spacing w:after="80" w:before="80"/>
        <w:jc w:val="left"/>
      </w:pPr>
      <w:r>
        <w:rPr>
          <w:rFonts w:ascii="Arial" w:cs="Arial" w:eastAsia="Arial" w:hAnsi="Arial"/>
          <w:sz w:val="22"/>
          <w:szCs w:val="22"/>
        </w:rPr>
        <w:t xml:space="preserve">All values computed from Rotmod_LTG(4).zip, exact gas-dependent memory law, q = 0.77.</w:t>
      </w:r>
    </w:p>
    <w:p>
      <w:pPr>
        <w:spacing w:after="40" w:before="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2200"/>
        <w:gridCol w:w="2000"/>
        <w:gridCol w:w="2000"/>
      </w:tblGrid>
      <w:tr>
        <w:trPr>
          <w:tblHeader/>
        </w:trPr>
        <w:tc>
          <w:tcPr>
            <w:tcW w:type="dxa" w:w="24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Sample</w:t>
            </w:r>
          </w:p>
        </w:tc>
        <w:tc>
          <w:tcPr>
            <w:tcW w:type="dxa" w:w="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2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Model</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Median RMSE</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Mean RMSE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21.90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 excl. CamB</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17.21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21.90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upward-crossing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21.28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22.94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single-crossing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27.59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37.50 km/s</w:t>
            </w:r>
          </w:p>
        </w:tc>
      </w:tr>
    </w:tbl>
    <w:p>
      <w:pPr>
        <w:spacing w:after="40" w:before="40"/>
      </w:pPr>
      <w:r>
        <w:t xml:space="preserve"/>
      </w:r>
    </w:p>
    <w:p>
      <w:pPr>
        <w:spacing w:after="80" w:before="80"/>
        <w:jc w:val="left"/>
      </w:pPr>
      <w:r>
        <w:rPr>
          <w:rFonts w:ascii="Arial" w:cs="Arial" w:eastAsia="Arial" w:hAnsi="Arial"/>
          <w:sz w:val="22"/>
          <w:szCs w:val="22"/>
        </w:rPr>
        <w:t xml:space="preserve">Welch two-sample t-test for upward vs single-crossing RMSE difference: p = 0.00985. Outer MAE split: upward median 21.17 km/s, single-crossing median 32.93 km/s (p = 0.044). All values verified from raw files using the exact memory law.</w:t>
      </w:r>
    </w:p>
    <w:p>
      <w:pPr>
        <w:pStyle w:val="Heading1"/>
        <w:spacing w:after="180" w:before="360"/>
      </w:pPr>
      <w:r>
        <w:rPr>
          <w:rFonts w:ascii="Arial" w:cs="Arial" w:eastAsia="Arial" w:hAnsi="Arial"/>
          <w:b/>
          <w:bCs/>
          <w:sz w:val="32"/>
          <w:szCs w:val="32"/>
        </w:rPr>
        <w:t xml:space="preserve">5.  LTG Outer Route Structure</w:t>
      </w:r>
    </w:p>
    <w:p>
      <w:pPr>
        <w:pStyle w:val="Heading2"/>
        <w:spacing w:after="120" w:before="240"/>
      </w:pPr>
      <w:r>
        <w:rPr>
          <w:rFonts w:ascii="Arial" w:cs="Arial" w:eastAsia="Arial" w:hAnsi="Arial"/>
          <w:b/>
          <w:bCs/>
          <w:sz w:val="26"/>
          <w:szCs w:val="26"/>
        </w:rPr>
        <w:t xml:space="preserve">5.1  The outer load variable</w:t>
      </w:r>
    </w:p>
    <w:p>
      <w:pPr>
        <w:spacing w:after="80" w:before="80"/>
        <w:jc w:val="left"/>
      </w:pPr>
      <w:r>
        <w:rPr>
          <w:rFonts w:ascii="Arial" w:cs="Arial" w:eastAsia="Arial" w:hAnsi="Arial"/>
          <w:sz w:val="22"/>
          <w:szCs w:val="22"/>
        </w:rPr>
        <w:t xml:space="preserve">For each galaxy at each radius, the outer load variable is:</w:t>
      </w:r>
    </w:p>
    <w:p>
      <w:pPr>
        <w:spacing w:after="80" w:before="80"/>
        <w:jc w:val="center"/>
      </w:pPr>
      <w:r>
        <w:rPr>
          <w:rFonts w:ascii="Arial" w:cs="Arial" w:eastAsia="Arial" w:hAnsi="Arial"/>
          <w:sz w:val="22"/>
          <w:szCs w:val="22"/>
        </w:rPr>
        <w:t xml:space="preserve">u(r) = [V²_obs(r) − 0.5 V²_disk(r) − 0.7 V²_bul(r)] / (Γ₀ r R_max)</w:t>
      </w:r>
    </w:p>
    <w:p>
      <w:pPr>
        <w:spacing w:after="80" w:before="80"/>
        <w:jc w:val="left"/>
      </w:pPr>
      <w:r>
        <w:rPr>
          <w:rFonts w:ascii="Arial" w:cs="Arial" w:eastAsia="Arial" w:hAnsi="Arial"/>
          <w:sz w:val="22"/>
          <w:szCs w:val="22"/>
        </w:rPr>
        <w:t xml:space="preserve">The outer gate criterion is u(r_out) &lt; 1. LTG route classification uses fine-grid interpolation with 10,000 radial points and the outermost downward crossing of u = 1.</w:t>
      </w:r>
    </w:p>
    <w:p>
      <w:pPr>
        <w:pStyle w:val="Heading2"/>
        <w:spacing w:after="120" w:before="240"/>
      </w:pPr>
      <w:r>
        <w:rPr>
          <w:rFonts w:ascii="Arial" w:cs="Arial" w:eastAsia="Arial" w:hAnsi="Arial"/>
          <w:b/>
          <w:bCs/>
          <w:sz w:val="26"/>
          <w:szCs w:val="26"/>
        </w:rPr>
        <w:t xml:space="preserve">5.2  Route counts (all verified from raw files)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1000"/>
        <w:gridCol w:w="2760"/>
      </w:tblGrid>
      <w:tr>
        <w:trPr>
          <w:tblHeader/>
        </w:trPr>
        <w:tc>
          <w:tcPr>
            <w:tcW w:type="dxa" w:w="3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Route</w:t>
            </w:r>
          </w:p>
        </w:tc>
        <w:tc>
          <w:tcPr>
            <w:tcW w:type="dxa" w:w="6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Count</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Median u_out</w:t>
            </w:r>
          </w:p>
        </w:tc>
        <w:tc>
          <w:tcPr>
            <w:tcW w:type="dxa" w:w="27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 (u_out &lt; 1, no downward 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0.346</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 upward-crossing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 dips below 1, rises back, then final descent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 single-crossing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No upward recrossing through u =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Outer-infeasible (u_out ≥ 1)</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Total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bl>
    <w:p>
      <w:pPr>
        <w:spacing w:after="40" w:before="40"/>
      </w:pPr>
      <w:r>
        <w:t xml:space="preserve"/>
      </w:r>
    </w:p>
    <w:p>
      <w:pPr>
        <w:spacing w:after="60" w:before="60"/>
      </w:pPr>
      <w:r>
        <w:rPr>
          <w:rFonts w:ascii="Arial" w:cs="Arial" w:eastAsia="Arial" w:hAnsi="Arial"/>
          <w:i/>
          <w:iCs/>
          <w:sz w:val="22"/>
          <w:szCs w:val="22"/>
        </w:rPr>
        <w:t xml:space="preserve">Terminology note: "single-crossing" (replacing "straight-down") means no upward recrossing through u = 1. Of the 25 single-crossing galaxies, only 7/25 are strictly monotone decreasing in u(r). The classification is topological, not shape-based.</w:t>
      </w:r>
    </w:p>
    <w:p>
      <w:pPr>
        <w:spacing w:after="80" w:before="80"/>
        <w:jc w:val="left"/>
      </w:pPr>
      <w:r>
        <w:rPr>
          <w:rFonts w:ascii="Arial" w:cs="Arial" w:eastAsia="Arial" w:hAnsi="Arial"/>
          <w:sz w:val="22"/>
          <w:szCs w:val="22"/>
        </w:rPr>
        <w:t xml:space="preserve">The total number of galaxies with u(R₀) &lt; 0 is 39: 15 within the buffered upward-crossing group (CDC-upward), 17 within the low-load group (CDC-low-load), and 7 within the outer-infeasible group. The 17 CDC-low-load galaxies form a distinct route branch discussed in §5.6.</w:t>
      </w:r>
    </w:p>
    <w:p>
      <w:pPr>
        <w:pStyle w:val="Heading2"/>
        <w:spacing w:after="120" w:before="240"/>
      </w:pPr>
      <w:r>
        <w:rPr>
          <w:rFonts w:ascii="Arial" w:cs="Arial" w:eastAsia="Arial" w:hAnsi="Arial"/>
          <w:b/>
          <w:bCs/>
          <w:sz w:val="26"/>
          <w:szCs w:val="26"/>
        </w:rPr>
        <w:t xml:space="preserve">5.3  LTG inner admissibility</w:t>
      </w:r>
    </w:p>
    <w:p>
      <w:pPr>
        <w:spacing w:after="80" w:before="80"/>
        <w:jc w:val="left"/>
      </w:pPr>
      <w:r>
        <w:rPr>
          <w:rFonts w:ascii="Arial" w:cs="Arial" w:eastAsia="Arial" w:hAnsi="Arial"/>
          <w:sz w:val="22"/>
          <w:szCs w:val="22"/>
        </w:rPr>
        <w:t xml:space="preserve">The LTG legacy inner set is defined by: h/r_out ≤ 0.3168 (from global log-linear SBdisk fit), Δ &gt; 0, no h ≥ R₀ guard. This gives N = 141 (legacy) and N = 124 (strict, adding h ≥ R₀). The 17 artefact cases (h &lt; R₀) all give S = 0.500, Δ = 0.500, U_max = 0.298 exactly, by construction.</w:t>
      </w:r>
    </w:p>
    <w:p>
      <w:pPr>
        <w:pStyle w:val="Heading2"/>
        <w:spacing w:after="120" w:before="240"/>
      </w:pPr>
      <w:r>
        <w:rPr>
          <w:rFonts w:ascii="Arial" w:cs="Arial" w:eastAsia="Arial" w:hAnsi="Arial"/>
          <w:b/>
          <w:bCs/>
          <w:sz w:val="26"/>
          <w:szCs w:val="26"/>
        </w:rPr>
        <w:t xml:space="preserve">5.4  Buffered regime split and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3860"/>
      </w:tblGrid>
      <w:tr>
        <w:trPr>
          <w:tblHeader/>
        </w:trPr>
        <w:tc>
          <w:tcPr>
            <w:tcW w:type="dxa" w:w="4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Predictor</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AUC</w:t>
            </w:r>
          </w:p>
        </w:tc>
        <w:tc>
          <w:tcPr>
            <w:tcW w:type="dxa" w:w="38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−u(R₀)</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0.842</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Dominant single predictor</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S_inner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0.588</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f_gas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0.505</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 (Delta)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x_cross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g_sep = −u(R₀) + 0.35 S_inner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0.912</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Best scalar, N=55 valid-inner subset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g4 = −u(R₀) + 0.30 S + 0.20(1−f_gas)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0.931</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N=55 valid-inner subset</w:t>
            </w:r>
          </w:p>
        </w:tc>
      </w:tr>
    </w:tbl>
    <w:p>
      <w:pPr>
        <w:spacing w:after="40" w:before="40"/>
      </w:pPr>
      <w:r>
        <w:t xml:space="preserve"/>
      </w:r>
    </w:p>
    <w:p>
      <w:pPr>
        <w:spacing w:after="60" w:before="60"/>
      </w:pPr>
      <w:r>
        <w:rPr>
          <w:rFonts w:ascii="Arial" w:cs="Arial" w:eastAsia="Arial" w:hAnsi="Arial"/>
          <w:i/>
          <w:iCs/>
          <w:sz w:val="22"/>
          <w:szCs w:val="22"/>
        </w:rPr>
        <w:t xml:space="preserve">AUC values for g_sep and g4 condition on the 55 buffered galaxies with valid S_inner values, not the full 77.</w:t>
      </w:r>
    </w:p>
    <w:p>
      <w:pPr>
        <w:pStyle w:val="Heading2"/>
        <w:spacing w:after="120" w:before="240"/>
      </w:pPr>
      <w:r>
        <w:rPr>
          <w:rFonts w:ascii="Arial" w:cs="Arial" w:eastAsia="Arial" w:hAnsi="Arial"/>
          <w:b/>
          <w:bCs/>
          <w:sz w:val="26"/>
          <w:szCs w:val="26"/>
        </w:rPr>
        <w:t xml:space="preserve">5.5  Single-crossing outer error scalar</w:t>
      </w:r>
    </w:p>
    <w:p>
      <w:pPr>
        <w:spacing w:after="80" w:before="80"/>
        <w:jc w:val="left"/>
      </w:pPr>
      <w:r>
        <w:rPr>
          <w:rFonts w:ascii="Arial" w:cs="Arial" w:eastAsia="Arial" w:hAnsi="Arial"/>
          <w:sz w:val="22"/>
          <w:szCs w:val="22"/>
        </w:rPr>
        <w:t xml:space="preserve">For the 25 single-crossing objects, the outer error correlates with accumulated memory load and crossing position:</w:t>
      </w:r>
    </w:p>
    <w:p>
      <w:pPr>
        <w:spacing w:after="80" w:before="80"/>
        <w:jc w:val="center"/>
      </w:pPr>
      <w:r>
        <w:rPr>
          <w:rFonts w:ascii="Arial" w:cs="Arial" w:eastAsia="Arial" w:hAnsi="Arial"/>
          <w:sz w:val="22"/>
          <w:szCs w:val="22"/>
        </w:rPr>
        <w:t xml:space="preserve">g = memory_load × x_cross,   memory_load = (1 − f_gas)(r_out/h)</w:t>
      </w:r>
    </w:p>
    <w:p>
      <w:pPr>
        <w:spacing w:after="80" w:before="80"/>
        <w:jc w:val="left"/>
      </w:pPr>
      <w:r>
        <w:rPr>
          <w:rFonts w:ascii="Arial" w:cs="Arial" w:eastAsia="Arial" w:hAnsi="Arial"/>
          <w:sz w:val="22"/>
          <w:szCs w:val="22"/>
        </w:rPr>
        <w:t xml:space="preserve">Using exact memory law residuals: Pearson(g, outer MAE) = 0.767, linear fit outer_MAE ≈ 5.02 + 9.74g, R² = 0.588. A second independent scalar, the memory-law gap L_gap = L_sat − L_exact, adds substantial predictive power. Verified: corr(g, L_gap) ≈ 0 (VIF ≈ 1.000), partial r(outer_MAE, L_gap | g) = +0.852 (p = 3.6×10⁻⁶). The two-scalar working model (Priority L, provisional):</w:t>
      </w:r>
    </w:p>
    <w:p>
      <w:pPr>
        <w:spacing w:after="80" w:before="80"/>
        <w:jc w:val="center"/>
      </w:pPr>
      <w:r>
        <w:rPr>
          <w:rFonts w:ascii="Arial" w:cs="Arial" w:eastAsia="Arial" w:hAnsi="Arial"/>
          <w:sz w:val="22"/>
          <w:szCs w:val="22"/>
        </w:rPr>
        <w:t xml:space="preserve">outer_MAE ≈ −10.4 + 8.6g + 10.5 L_gap</w:t>
      </w:r>
    </w:p>
    <w:p>
      <w:pPr>
        <w:spacing w:after="80" w:before="80"/>
        <w:jc w:val="left"/>
      </w:pPr>
      <w:r>
        <w:rPr>
          <w:rFonts w:ascii="Arial" w:cs="Arial" w:eastAsia="Arial" w:hAnsi="Arial"/>
          <w:sz w:val="22"/>
          <w:szCs w:val="22"/>
        </w:rPr>
        <w:t xml:space="preserve">Applicability conditions: h ≥ R[0] (strict h-guard; excludes 6 artefact galaxies); x_cross &gt; 0.10 (excludes UGC03580 inner-cusp artefact); exact gas-dependent L_eff; outer MAE measured over R ≥ x_cross. Canonical sets: strict N=19, strict-clean N=18. Locked membership — strict N=19: F579-V1, NGC1705, NGC2403, NGC2841, NGC2998, NGC3953, NGC4183, NGC4214, NGC5371, NGC5907, NGC6674, UGC02259, UGC02885, UGC03580, UGC04325, UGC05721, UGC06786, UGC08490, UGC12506. Clean N=18: strict minus UGC03580. Edge cases: UGC03580 has xcr_norm = 0.008 and 46 outer data points but is excluded by the x_cross &gt; 0.10 inner-cusp guard; NGC3953 has xcr_norm = 0.9985 and only 1 raw data point beyond crossing (threshold-fragile: disappears at u=0.99 threshold); UGC04325 has xcr_norm = 0.929 and only 1 raw post-crossing point. Adding an n_outer ≥ 2 guard removes NGC3953 and UGC04325, giving strict N=17 / clean N=16; the g+L_gap model remains stable (LOO RMSE changes by &lt;1 km/s). Performance: g + L_gap LOO RMSE ≈ 10.1–10.5 km/s (N=19/18) and ≈ 10.3–10.8 km/s (N=17/16 robustness); improvement over g-only ≈ 8.3 km/s. Severity ranking: Pearson = 0.935, Spearman = 0.888, Kendall = 0.731. The model correctly identifies the top-5 highest-error objects (NGC2841, UGC06786, UGC02885, UGC12506, NGC6674) and is within 10 km/s for 68% of objects in-sample.</w:t>
      </w:r>
    </w:p>
    <w:p>
      <w:pPr>
        <w:spacing w:after="80" w:before="80"/>
        <w:jc w:val="left"/>
      </w:pPr>
      <w:r>
        <w:rPr>
          <w:rFonts w:ascii="Arial" w:cs="Arial" w:eastAsia="Arial" w:hAnsi="Arial"/>
          <w:sz w:val="22"/>
          <w:szCs w:val="22"/>
        </w:rPr>
        <w:t xml:space="preserve">Residual structure (EXP20): LOO residuals do not correlate with g (Pearson = +0.042) or L_gap (Pearson = +0.016) — the residual pattern is not a model-specification error but a load-retention and compactness effect (strongest correlates: Pearson(LOO, u_0.75) = +0.514; Pearson(LOO, h/r_out) = +0.490). The full residual taxonomy organises the 19 objects into six diagnostic classes: (1) late-load positive residuals — NGC3953, UGC02259, UGC02885, UGC04325, UGC06786; (2) broad/low-retained missed positives — F579-V1, NGC2998; (3) high-g compact structural case — NGC2841; (4) inner-cusp edge case — UGC03580; (5) small positive/marginal — UGC05721; (6) negative/overpredicted — NGC1705, NGC2403, NGC4183, NGC4214, NGC5371, NGC5907, NGC6674, UGC08490, UGC12506. This taxonomy is diagnostic only and is not promoted as a correction formula. The late-load flag (u_out &gt; 0.64 AND h/r_out &gt; 0.095) identifies class (1) with precision = 1.000, recall = 0.500 (TP = 5, FP = 0, FN = 5, TN = 9; one-sided Mann-Whitney p = 0.000172). It captures 4/5 of the top positive LOO residuals; the missed case F579-V1 belongs to class (2). A compact-disk tendency exists in the negative-residual class: bottom-5 median h/r_out = 0.089 vs top-5 median = 0.199; Pearson(LOO, h/r_out) = +0.490, p = 0.033; Mann-Whitney one-sided p = 0.045. This tendency is real but not high-precision: the simple flag h/r_out &lt; 0.09 gives precision = 0.625 because NGC2841, UGC03580, and UGC05721 (all pre-classified special cases) fall within it. Three-variable extensions (adding n_scales or memory_load) both fail jackknife coefficient sign-stability. Priority L status: provisional severity diagnostic and outer MAE estimator; not a universal point correction law.</w:t>
      </w:r>
    </w:p>
    <w:p>
      <w:pPr>
        <w:pStyle w:val="Heading2"/>
        <w:spacing w:after="120" w:before="240"/>
      </w:pPr>
      <w:r>
        <w:rPr>
          <w:rFonts w:ascii="Arial" w:cs="Arial" w:eastAsia="Arial" w:hAnsi="Arial"/>
          <w:b/>
          <w:bCs/>
          <w:sz w:val="26"/>
          <w:szCs w:val="26"/>
        </w:rPr>
        <w:t xml:space="preserve">5.6  CDC-low-load branch</w:t>
      </w:r>
    </w:p>
    <w:p>
      <w:pPr>
        <w:spacing w:after="80" w:before="80"/>
        <w:jc w:val="left"/>
      </w:pPr>
      <w:r>
        <w:rPr>
          <w:rFonts w:ascii="Arial" w:cs="Arial" w:eastAsia="Arial" w:hAnsi="Arial"/>
          <w:sz w:val="22"/>
          <w:szCs w:val="22"/>
        </w:rPr>
        <w:t xml:space="preserve">17 LTG galaxies form a suppressed-amplitude central-deficit route: u(R₀) &lt; 0, u_out &lt; 1, and max u(r) &lt; 1 across the full radial profile. All 17 pass the strict h ≥ R₀ guard. Members: CamB, F574-2, NGC0100, NGC3769, NGC4068, NGC4085, NGC4088, NGC4217, NGC4389, NGC5055, NGC7331, UGC02455, UGC04305, UGC06614, UGC08837, UGC09037, UGC11557. The CDC-low group is statistically distinct from both ordinary low-load and CDC-upward branches (Mann-Whitney p = 0.005 vs ordinary low-load; p = 0.019 vs CDC-upward). Inner-zone error dominates: the CDC/ordinary inner RMSE ratio = 2.050 (Mann-Whitney p = 9.67×10⁻⁶), stronger than mid-zone (ratio 2.022) or outer-zone (ratio 1.656) separation.</w:t>
      </w:r>
    </w:p>
    <w:p>
      <w:pPr>
        <w:spacing w:after="80" w:before="80"/>
        <w:jc w:val="left"/>
      </w:pPr>
      <w:r>
        <w:rPr>
          <w:rFonts w:ascii="Arial" w:cs="Arial" w:eastAsia="Arial" w:hAnsi="Arial"/>
          <w:sz w:val="22"/>
          <w:szCs w:val="22"/>
        </w:rPr>
        <w:t xml:space="preserve">Four structural subgroups are defined in priority order: weak-sign (|u_R₀| &lt; 0.03; N = 5: CamB, F574-2, NGC0100, NGC4068, UGC08837); near-threshold (u_max ≥ 0.95; N = 3: NGC3769, NGC4085, NGC7331); deep-deficit (u_R₀ ≤ −1 AND u_max &lt; 0.90; N = 5: NGC4217, NGC4389, NGC5055, UGC06614, UGC09037); intermediate (all remaining; N = 4: NGC4088, UGC02455, UGC04305, UGC11557). Kruskal-Wallis across subgroups gives p &gt; 0.55 for all error metrics — the taxonomy is structurally descriptive, not an error-severity ranking. Central overcorrection origin: all 17 members satisfy 0.5V_disk(R₀)² + 0.7V_bul(R₀)² &gt; V_obs(R₀)². Of these, 15 are disk-driven (disk_ratio &gt; 1, bulge_ratio ≤ 1) and 2 are bulge-driven (NGC4217, UGC06614). NGC4217 is extreme: V_bul(R₀) = 153 km/s vs V_obs(R₀) = 48 km/s, giving bulge_ratio = 7.21. The u(R₀) &lt; 0 condition is not a dark-matter deficit — it is caused by SPARC baryonic component overcorrection at the innermost measured radius. Error drivers (disk-driven N = 15; NGC4217 and UGC06614 excluded as bulge-driven): the sampling position R₀/r_out is the strongest calibrated predictor of inner-zone error — inner_RMSE ≈ 8.99 + 140.03(R₀/r_out), R² = 0.599, LOO = 6.81 km/s (Pearson = +0.774, p = 0.0007). This result survives removal of F574-2 (Pearson = +0.689, p = 0.006, LOO = 7.35 km/s). The stellar overcorrection ratio is the strongest rank-order diagnostic (Spearman = +0.729, p = 0.002; 5/5 top-inner-error overlap excluding F574-2) but is a poor calibrated predictor (LOO = 21.7 km/s). Two-scalar extensions worsen LOO substantially and are not promoted. No outer MAE correction law was found. CDC-low is characterised as a route taxonomy branch caused by SPARC input overcorrection, not by MTS framework failure. Note: the Serra2012 and CO single-dish archives contain only ATLAS3D ETG objects (0/17 overlap with CDC-low), so external HI/CO morphology data for this branch is not available from the current dataset.</w:t>
      </w:r>
    </w:p>
    <w:p>
      <w:pPr>
        <w:pStyle w:val="Heading2"/>
        <w:spacing w:after="120" w:before="240"/>
      </w:pPr>
      <w:r>
        <w:rPr>
          <w:rFonts w:ascii="Arial" w:cs="Arial" w:eastAsia="Arial" w:hAnsi="Arial"/>
          <w:b/>
          <w:bCs/>
          <w:sz w:val="26"/>
          <w:szCs w:val="26"/>
        </w:rPr>
        <w:t xml:space="preserve">5.7  All-LTG u-profile PC1 taxonomy (new in v14)</w:t>
      </w:r>
    </w:p>
    <w:p>
      <w:pPr>
        <w:spacing w:after="80" w:before="80"/>
        <w:jc w:val="left"/>
      </w:pPr>
      <w:r>
        <w:rPr>
          <w:rFonts w:ascii="Arial" w:cs="Arial" w:eastAsia="Arial" w:hAnsi="Arial"/>
          <w:sz w:val="22"/>
          <w:szCs w:val="22"/>
        </w:rPr>
        <w:t xml:space="preserve">The PC1 of the all-LTG u(r/r_out) profile family is approximately 0.81 (x_min = 0.05, 200-point grid), well below the ETG crossing-window PC1 = 99.82%. This gap is primarily route-class mixing, not profile normalisation or CDC-low structure. By route class: low-load PC1 = 0.813, single-crossing PC1 = 0.758, outer-infeasible PC1 = 0.911, upward-crossing PC1 = 0.668. The top variance contributors are dominated by 7/10 outer-infeasible galaxies, followed by upward-crossing objects and one CDC-low case (NGC4217). Outer-infeasible galaxies carry structurally different u-profiles (u stays above 1 everywhere), so including them in an “all-LTG attractor” comparison is physically inappropriate. The correct ETG vs LTG shape comparison uses endpoint-normalised profiles on guard-aware sets (EXP14): ETG endpoint-normalised PC1 = 99.68%; LTG strict-19 endpoint PC1 = 89.76%. The gap of approximately 10 percentage points is real and remains theoretically unresolved. A caution: the LTG clean-18 raw PC1 = 95.5% (h-guard applied, x_cross &gt; 0.10) is not comparable to the ETG figure. UGC03580 (x_cross = 0.008) alone drives a +22 pp jump from strict-19 raw PC1 = 74.5% to clean-18 raw PC1 = 95.5% while simultaneously lowering the endpoint-normalised PC1; any comparison citing clean-18 raw vs ETG raw is therefore artefact-driven. x_min sensitivity: PC1 drops sharply below x_min = 0.05 (to ≈0.56 at x_min = 0.01) due to inner-cusp variance from CDC galaxies; stable above x_min = 0.07 (≈0.83–0.84). The all-LTG PC1 should not be cited as weakening the ETG crossing-window result — they are different objects measuring different things.</w:t>
      </w:r>
    </w:p>
    <w:p>
      <w:pPr>
        <w:pStyle w:val="Heading1"/>
        <w:spacing w:after="180" w:before="360"/>
      </w:pPr>
      <w:r>
        <w:rPr>
          <w:rFonts w:ascii="Arial" w:cs="Arial" w:eastAsia="Arial" w:hAnsi="Arial"/>
          <w:b/>
          <w:bCs/>
          <w:sz w:val="32"/>
          <w:szCs w:val="32"/>
        </w:rPr>
        <w:t xml:space="preserve">6.  Inner Feasibility and the S-Law</w:t>
      </w:r>
    </w:p>
    <w:p>
      <w:pPr>
        <w:pStyle w:val="Heading2"/>
        <w:spacing w:after="120" w:before="240"/>
      </w:pPr>
      <w:r>
        <w:rPr>
          <w:rFonts w:ascii="Arial" w:cs="Arial" w:eastAsia="Arial" w:hAnsi="Arial"/>
          <w:b/>
          <w:bCs/>
          <w:sz w:val="26"/>
          <w:szCs w:val="26"/>
        </w:rPr>
        <w:t xml:space="preserve">6.1  The completion ratio</w:t>
      </w:r>
    </w:p>
    <w:p>
      <w:pPr>
        <w:spacing w:after="80" w:before="80"/>
        <w:jc w:val="left"/>
      </w:pPr>
      <w:r>
        <w:rPr>
          <w:rFonts w:ascii="Arial" w:cs="Arial" w:eastAsia="Arial" w:hAnsi="Arial"/>
          <w:sz w:val="22"/>
          <w:szCs w:val="22"/>
        </w:rPr>
        <w:t xml:space="preserve">Q12 = V̄²_bar(0.5h) / V̄²_bar(h),   Q14 = V̄²_bar(0.25h) / V̄²_bar(h),   Δ = 1 − Q12,   S = Q14 / Δ</w:t>
      </w:r>
    </w:p>
    <w:p>
      <w:pPr>
        <w:spacing w:after="80" w:before="80"/>
        <w:jc w:val="left"/>
      </w:pPr>
      <w:r>
        <w:rPr>
          <w:rFonts w:ascii="Arial" w:cs="Arial" w:eastAsia="Arial" w:hAnsi="Arial"/>
          <w:sz w:val="22"/>
          <w:szCs w:val="22"/>
        </w:rPr>
        <w:t xml:space="preserve">The inner kernel maximum U_max = max_x U(x) where U(x) = (1/x) ∫₀¹ exp(−(1−y)/x) [1 − B(y)] dy, with B(y) = V̄²_bar(yh) / V̄²_bar(h). All inner quantities use V²-interpolation. The U_max integral requires n_y ≥ 2000 for 4-digit stability.</w:t>
      </w:r>
    </w:p>
    <w:p>
      <w:pPr>
        <w:pStyle w:val="Heading2"/>
        <w:spacing w:after="120" w:before="240"/>
      </w:pPr>
      <w:r>
        <w:rPr>
          <w:rFonts w:ascii="Arial" w:cs="Arial" w:eastAsia="Arial" w:hAnsi="Arial"/>
          <w:b/>
          <w:bCs/>
          <w:sz w:val="26"/>
          <w:szCs w:val="26"/>
        </w:rPr>
        <w:t xml:space="preserve">6.2  LTG S-law</w:t>
      </w:r>
    </w:p>
    <w:p>
      <w:pPr>
        <w:spacing w:after="80" w:before="80"/>
        <w:jc w:val="center"/>
      </w:pPr>
      <w:r>
        <w:rPr>
          <w:rFonts w:ascii="Arial" w:cs="Arial" w:eastAsia="Arial" w:hAnsi="Arial"/>
          <w:sz w:val="22"/>
          <w:szCs w:val="22"/>
        </w:rPr>
        <w:t xml:space="preserve">U_max ≈ 0.2403 − 0.0700 ln(S),   R² = 0.919,   Pearson r = −0.959   (legacy N = 141)</w:t>
      </w:r>
    </w:p>
    <w:p>
      <w:pPr>
        <w:spacing w:after="80" w:before="80"/>
        <w:jc w:val="center"/>
      </w:pPr>
      <w:r>
        <w:rPr>
          <w:rFonts w:ascii="Arial" w:cs="Arial" w:eastAsia="Arial" w:hAnsi="Arial"/>
          <w:sz w:val="22"/>
          <w:szCs w:val="22"/>
        </w:rPr>
        <w:t xml:space="preserve">U_max ≈ 0.2391 − 0.0697 ln(S),   R² = 0.920   (strict N = 124)</w:t>
      </w:r>
    </w:p>
    <w:p>
      <w:pPr>
        <w:spacing w:after="80" w:before="80"/>
        <w:jc w:val="left"/>
      </w:pPr>
      <w:r>
        <w:rPr>
          <w:rFonts w:ascii="Arial" w:cs="Arial" w:eastAsia="Arial" w:hAnsi="Arial"/>
          <w:sz w:val="22"/>
          <w:szCs w:val="22"/>
        </w:rPr>
        <w:t xml:space="preserve">Threshold: S &lt; 1.70 correctly classifies 135/141 as feasible (U_max ≥ U* = 0.201803). The six mismatches are early-completion profiles.</w:t>
      </w:r>
    </w:p>
    <w:p>
      <w:pPr>
        <w:pStyle w:val="Heading2"/>
        <w:spacing w:after="120" w:before="240"/>
      </w:pPr>
      <w:r>
        <w:rPr>
          <w:rFonts w:ascii="Arial" w:cs="Arial" w:eastAsia="Arial" w:hAnsi="Arial"/>
          <w:b/>
          <w:bCs/>
          <w:sz w:val="26"/>
          <w:szCs w:val="26"/>
        </w:rPr>
        <w:t xml:space="preserve">6.3  ETG S-law</w:t>
      </w:r>
    </w:p>
    <w:p>
      <w:pPr>
        <w:spacing w:after="80" w:before="80"/>
        <w:jc w:val="center"/>
      </w:pPr>
      <w:r>
        <w:rPr>
          <w:rFonts w:ascii="Arial" w:cs="Arial" w:eastAsia="Arial" w:hAnsi="Arial"/>
          <w:sz w:val="22"/>
          <w:szCs w:val="22"/>
        </w:rPr>
        <w:t xml:space="preserve">U_max ≈ 0.2325 − 0.0578 ln(S),   R² = 0.851,   Pearson r = −0.923,   p = 3.6×10⁻⁷   (N = 16)</w:t>
      </w:r>
    </w:p>
    <w:p>
      <w:pPr>
        <w:spacing w:after="80" w:before="80"/>
        <w:jc w:val="left"/>
      </w:pPr>
      <w:r>
        <w:rPr>
          <w:rFonts w:ascii="Arial" w:cs="Arial" w:eastAsia="Arial" w:hAnsi="Arial"/>
          <w:sz w:val="22"/>
          <w:szCs w:val="22"/>
        </w:rPr>
        <w:t xml:space="preserve">The implied threshold crossing U_max = U* occurs at S* = 1.699.</w:t>
      </w:r>
    </w:p>
    <w:p>
      <w:pPr>
        <w:pStyle w:val="Heading2"/>
        <w:spacing w:after="120" w:before="240"/>
      </w:pPr>
      <w:r>
        <w:rPr>
          <w:rFonts w:ascii="Arial" w:cs="Arial" w:eastAsia="Arial" w:hAnsi="Arial"/>
          <w:b/>
          <w:bCs/>
          <w:sz w:val="26"/>
          <w:szCs w:val="26"/>
        </w:rPr>
        <w:t xml:space="preserve">6.4  Cross-type comparison</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1500"/>
        <w:gridCol w:w="1500"/>
        <w:gridCol w:w="1000"/>
        <w:gridCol w:w="1360"/>
      </w:tblGrid>
      <w:tr>
        <w:trPr>
          <w:tblHeader/>
        </w:trPr>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Population</w:t>
            </w:r>
          </w:p>
        </w:tc>
        <w:tc>
          <w:tcPr>
            <w:tcW w:type="dxa" w:w="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 (intercept)</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B (slope)</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R²</w:t>
            </w:r>
          </w:p>
        </w:tc>
        <w:tc>
          <w:tcPr>
            <w:tcW w:type="dxa" w:w="13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 implied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−0.0578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legacy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0.2403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−0.0700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strict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−0.0697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0.920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1.72</w:t>
            </w:r>
          </w:p>
        </w:tc>
      </w:tr>
    </w:tbl>
    <w:p>
      <w:pPr>
        <w:spacing w:after="40" w:before="40"/>
      </w:pPr>
      <w:r>
        <w:t xml:space="preserve"/>
      </w:r>
    </w:p>
    <w:p>
      <w:pPr>
        <w:spacing w:after="80" w:before="80"/>
        <w:jc w:val="left"/>
      </w:pPr>
      <w:r>
        <w:rPr>
          <w:rFonts w:ascii="Arial" w:cs="Arial" w:eastAsia="Arial" w:hAnsi="Arial"/>
          <w:sz w:val="22"/>
          <w:szCs w:val="22"/>
        </w:rPr>
        <w:t xml:space="preserve">Both populations show the same structure: U_max is organised by ln(S) with a universal threshold near S ≈ 1.70. ETGs have a shallower slope, consistent with more compact inner profiles.</w:t>
      </w:r>
    </w:p>
    <w:p>
      <w:pPr>
        <w:pStyle w:val="Heading1"/>
        <w:spacing w:after="180" w:before="360"/>
      </w:pPr>
      <w:r>
        <w:rPr>
          <w:rFonts w:ascii="Arial" w:cs="Arial" w:eastAsia="Arial" w:hAnsi="Arial"/>
          <w:b/>
          <w:bCs/>
          <w:sz w:val="32"/>
          <w:szCs w:val="32"/>
        </w:rPr>
        <w:t xml:space="preserve">7.  ETG Response Sector — Overview</w:t>
      </w:r>
    </w:p>
    <w:p>
      <w:pPr>
        <w:spacing w:after="80" w:before="80"/>
        <w:jc w:val="left"/>
      </w:pPr>
      <w:r>
        <w:rPr>
          <w:rFonts w:ascii="Arial" w:cs="Arial" w:eastAsia="Arial" w:hAnsi="Arial"/>
          <w:sz w:val="22"/>
          <w:szCs w:val="22"/>
        </w:rPr>
        <w:t xml:space="preserve">ETGs fail the LTG law in two independent ways simultaneously: inner profile deformation (large S) and outer baryonic retention (large u). They form a multi-family, multi-sign response sector organised by the four-condition intersection structure in §8.</w:t>
      </w:r>
    </w:p>
    <w:p>
      <w:pPr>
        <w:spacing w:after="80" w:before="80"/>
        <w:jc w:val="left"/>
      </w:pPr>
      <w:r>
        <w:rPr>
          <w:rFonts w:ascii="Arial" w:cs="Arial" w:eastAsia="Arial" w:hAnsi="Arial"/>
          <w:sz w:val="22"/>
          <w:szCs w:val="22"/>
        </w:rPr>
        <w:t xml:space="preserve">The five ETG families, by support signature ΔV²(r) = V²_obs(r) − V̄²_bar(r):</w:t>
      </w:r>
    </w:p>
    <w:p>
      <w:pPr>
        <w:spacing w:after="80" w:before="80"/>
        <w:jc w:val="left"/>
      </w:pPr>
      <w:r>
        <w:rPr>
          <w:rFonts w:ascii="Arial" w:cs="Arial" w:eastAsia="Arial" w:hAnsi="Arial"/>
          <w:sz w:val="22"/>
          <w:szCs w:val="22"/>
        </w:rPr>
        <w:t xml:space="preserve">H+ single-channel: NGC2685, NGC3626, NGC3941 — sign-changing (ΔV²_inn &lt; 0, ΔV²_out &gt; 0), all four conditions satisfied.</w:t>
      </w:r>
    </w:p>
    <w:p>
      <w:pPr>
        <w:spacing w:after="80" w:before="80"/>
        <w:jc w:val="left"/>
      </w:pPr>
      <w:r>
        <w:rPr>
          <w:rFonts w:ascii="Arial" w:cs="Arial" w:eastAsia="Arial" w:hAnsi="Arial"/>
          <w:sz w:val="22"/>
          <w:szCs w:val="22"/>
        </w:rPr>
        <w:t xml:space="preserve">H+ two-channel: NGC4203 — sign-changing, outer capacity exceeded; two-channel required.</w:t>
      </w:r>
    </w:p>
    <w:p>
      <w:pPr>
        <w:spacing w:after="80" w:before="80"/>
        <w:jc w:val="left"/>
      </w:pPr>
      <w:r>
        <w:rPr>
          <w:rFonts w:ascii="Arial" w:cs="Arial" w:eastAsia="Arial" w:hAnsi="Arial"/>
          <w:sz w:val="22"/>
          <w:szCs w:val="22"/>
        </w:rPr>
        <w:t xml:space="preserve">Class B: NGC3838 — inner/outer-feasible, sign-wrong only.</w:t>
      </w:r>
    </w:p>
    <w:p>
      <w:pPr>
        <w:spacing w:after="80" w:before="80"/>
        <w:jc w:val="left"/>
      </w:pPr>
      <w:r>
        <w:rPr>
          <w:rFonts w:ascii="Arial" w:cs="Arial" w:eastAsia="Arial" w:hAnsi="Arial"/>
          <w:sz w:val="22"/>
          <w:szCs w:val="22"/>
        </w:rPr>
        <w:t xml:space="preserve">Class C: NGC4262 — inner-feasible, sign-wrong and outer-wrong.</w:t>
      </w:r>
    </w:p>
    <w:p>
      <w:pPr>
        <w:spacing w:after="80" w:before="80"/>
        <w:jc w:val="left"/>
      </w:pPr>
      <w:r>
        <w:rPr>
          <w:rFonts w:ascii="Arial" w:cs="Arial" w:eastAsia="Arial" w:hAnsi="Arial"/>
          <w:sz w:val="22"/>
          <w:szCs w:val="22"/>
        </w:rPr>
        <w:t xml:space="preserve">D1 (outer-capacity fail): NGC2824, NGC2859, NGC2974 — u &gt; 1, U_max &gt; U*.</w:t>
      </w:r>
    </w:p>
    <w:p>
      <w:pPr>
        <w:spacing w:after="80" w:before="80"/>
        <w:jc w:val="left"/>
      </w:pPr>
      <w:r>
        <w:rPr>
          <w:rFonts w:ascii="Arial" w:cs="Arial" w:eastAsia="Arial" w:hAnsi="Arial"/>
          <w:sz w:val="22"/>
          <w:szCs w:val="22"/>
        </w:rPr>
        <w:t xml:space="preserve">D2 (double fail): NGC3945, NGC3998, NGC4278, NGC5582* — both u &gt; 1 and U_max &lt; U*.</w:t>
      </w:r>
    </w:p>
    <w:p>
      <w:pPr>
        <w:spacing w:after="80" w:before="80"/>
        <w:jc w:val="left"/>
      </w:pPr>
      <w:r>
        <w:rPr>
          <w:rFonts w:ascii="Arial" w:cs="Arial" w:eastAsia="Arial" w:hAnsi="Arial"/>
          <w:sz w:val="22"/>
          <w:szCs w:val="22"/>
        </w:rPr>
        <w:t xml:space="preserve">Class E (wrong profile family): NGC3522, NGC6798, UGC6176 — outer/inner-feasible, large Δ, sign-wrong.</w:t>
      </w:r>
    </w:p>
    <w:p>
      <w:pPr>
        <w:spacing w:after="60" w:before="60"/>
      </w:pPr>
      <w:r>
        <w:rPr>
          <w:rFonts w:ascii="Arial" w:cs="Arial" w:eastAsia="Arial" w:hAnsi="Arial"/>
          <w:i/>
          <w:iCs/>
          <w:sz w:val="22"/>
          <w:szCs w:val="22"/>
        </w:rPr>
        <w:t xml:space="preserve">*NGC5582: S = 1.647 passes the S &lt; 1.70 threshold, but U_max = 0.178 &lt; U* = 0.202. This is a borderline S-threshold miss; the direct U_max test correctly rejects it.</w:t>
      </w:r>
    </w:p>
    <w:p>
      <w:pPr>
        <w:pStyle w:val="Heading2"/>
        <w:spacing w:after="120" w:before="240"/>
      </w:pPr>
      <w:r>
        <w:rPr>
          <w:rFonts w:ascii="Arial" w:cs="Arial" w:eastAsia="Arial" w:hAnsi="Arial"/>
          <w:b/>
          <w:bCs/>
          <w:sz w:val="26"/>
          <w:szCs w:val="26"/>
        </w:rPr>
        <w:t xml:space="preserve">7.1  External population distinctiveness of ETG branches (new in v13)</w:t>
      </w:r>
    </w:p>
    <w:p>
      <w:pPr>
        <w:spacing w:after="80" w:before="80"/>
        <w:jc w:val="left"/>
      </w:pPr>
      <w:r>
        <w:rPr>
          <w:rFonts w:ascii="Arial" w:cs="Arial" w:eastAsia="Arial" w:hAnsi="Arial"/>
          <w:sz w:val="22"/>
          <w:szCs w:val="22"/>
        </w:rPr>
        <w:t xml:space="preserve">Cross-matching against the ATLAS3D Krajnovic (2020) stellar population radial profiles, Poci (2017) M/L maps, ATLAS3D stellar kinematics, and ionised-gas maps reveals measurable external correlates of the MTS ETG classification:</w:t>
      </w:r>
    </w:p>
    <w:p>
      <w:pPr>
        <w:spacing w:after="90" w:before="180"/>
      </w:pPr>
      <w:r>
        <w:rPr>
          <w:rFonts w:ascii="Arial" w:cs="Arial" w:eastAsia="Arial" w:hAnsi="Arial"/>
          <w:b/>
          <w:bCs/>
          <w:sz w:val="24"/>
          <w:szCs w:val="24"/>
        </w:rPr>
        <w:t xml:space="preserve">7.1.1  Disk-buffered pair (NGC3522, NGC6798) — external population triple-confirmation</w:t>
      </w:r>
    </w:p>
    <w:p>
      <w:pPr>
        <w:spacing w:after="80" w:before="80"/>
        <w:jc w:val="left"/>
      </w:pPr>
      <w:r>
        <w:rPr>
          <w:rFonts w:ascii="Arial" w:cs="Arial" w:eastAsia="Arial" w:hAnsi="Arial"/>
          <w:sz w:val="22"/>
          <w:szCs w:val="22"/>
        </w:rPr>
        <w:t xml:space="preserve">Three independent external archives were cross-matched for all 16 MTS ETGs. The disk-buffered pair (NGC3522, NGC6798) is jointly extreme in: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160"/>
      </w:tblGrid>
      <w:tr>
        <w:trPr>
          <w:tblHeader/>
        </w:trPr>
        <w:tc>
          <w:tcPr>
            <w:tcW w:type="dxa" w:w="3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Indicator</w:t>
            </w:r>
          </w:p>
        </w:tc>
        <w:tc>
          <w:tcPr>
            <w:tcW w:type="dxa" w:w="14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Pair median</w:t>
            </w:r>
          </w:p>
        </w:tc>
        <w:tc>
          <w:tcPr>
            <w:tcW w:type="dxa" w:w="16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Rank / 120 pairs</w:t>
            </w:r>
          </w:p>
        </w:tc>
        <w:tc>
          <w:tcPr>
            <w:tcW w:type="dxa" w:w="1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p-value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Outward age increase Δage (outer − inner, Gyr)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Metallicity gradient ΔZH (outer − inner, dex)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0.017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Poci radial M/L ratio (outer / inner)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Combined rank-sum (3 indicators)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bl>
    <w:p>
      <w:pPr>
        <w:spacing w:after="40" w:before="40"/>
      </w:pPr>
      <w:r>
        <w:t xml:space="preserve"/>
      </w:r>
    </w:p>
    <w:p>
      <w:pPr>
        <w:spacing w:after="80" w:before="80"/>
        <w:jc w:val="left"/>
      </w:pPr>
      <w:r>
        <w:rPr>
          <w:rFonts w:ascii="Arial" w:cs="Arial" w:eastAsia="Arial" w:hAnsi="Arial"/>
          <w:sz w:val="22"/>
          <w:szCs w:val="22"/>
        </w:rPr>
        <w:t xml:space="preserve">The combined rank-sum result (rank 1/120, p = 0.008) is robust to leave-one deletion on all three indicators independently. NGC5582 also shows a large M/L decline (inner/outer ratio 0.745) but is classified Main, not disk-buffered, on dynamical grounds. This result is descriptive and external; it confirms the dynamical branch distinction but does not derive it.</w:t>
      </w:r>
    </w:p>
    <w:p>
      <w:pPr>
        <w:spacing w:after="90" w:before="180"/>
      </w:pPr>
      <w:r>
        <w:rPr>
          <w:rFonts w:ascii="Arial" w:cs="Arial" w:eastAsia="Arial" w:hAnsi="Arial"/>
          <w:b/>
          <w:bCs/>
          <w:sz w:val="24"/>
          <w:szCs w:val="24"/>
        </w:rPr>
        <w:t xml:space="preserve">7.1.2  Main ETG branch — gas/star kinematic alignment</w:t>
      </w:r>
    </w:p>
    <w:p>
      <w:pPr>
        <w:spacing w:after="80" w:before="80"/>
        <w:jc w:val="left"/>
      </w:pPr>
      <w:r>
        <w:rPr>
          <w:rFonts w:ascii="Arial" w:cs="Arial" w:eastAsia="Arial" w:hAnsi="Arial"/>
          <w:sz w:val="22"/>
          <w:szCs w:val="22"/>
        </w:rPr>
        <w:t xml:space="preserve">Using a kinemetry-style PA estimator on the uploaded ATLAS3D stellar (VPXF) and ionised-gas (V_OIII_GAS) velocity maps, Main ETGs show uniform alignment: all 5 Main galaxies have gas/star PA offset &lt; 30°, and this result is stable under every leave-one deletion (remaining median ≤ 3.85°). An independent velocity-moment PA estimator (PA = atan2(Σv_i y_i, Σv_i x_i)) confirms the result at p = 0.029 (all-pairs test, N = 4368 five-object groups).</w:t>
      </w:r>
    </w:p>
    <w:p>
      <w:pPr>
        <w:spacing w:after="80" w:before="80"/>
        <w:jc w:val="left"/>
      </w:pPr>
      <w:r>
        <w:rPr>
          <w:rFonts w:ascii="Arial" w:cs="Arial" w:eastAsia="Arial" w:hAnsi="Arial"/>
          <w:sz w:val="22"/>
          <w:szCs w:val="22"/>
        </w:rPr>
        <w:t xml:space="preserve">Four named robust gas/star offset cases — NGC2685 (72°), NGC3941 (49° symmetry / 34° moment), NGC4262 (59° / 42°), NGC3998 (42° / 44°) — are confirmed by two independent map-based methods. The H+/H− grouped enrichment claim (4/7 offset cases) does not survive the all-pairs anti-overfit test (p = 0.18 against 11,440 random seven-object groups) and is not promoted.</w:t>
      </w:r>
    </w:p>
    <w:p>
      <w:pPr>
        <w:pStyle w:val="Heading1"/>
        <w:spacing w:after="180" w:before="360"/>
      </w:pPr>
      <w:r>
        <w:rPr>
          <w:rFonts w:ascii="Arial" w:cs="Arial" w:eastAsia="Arial" w:hAnsi="Arial"/>
          <w:b/>
          <w:bCs/>
          <w:sz w:val="32"/>
          <w:szCs w:val="32"/>
        </w:rPr>
        <w:t xml:space="preserve">8.  Four-Condition Intersection Structure</w:t>
      </w:r>
    </w:p>
    <w:p>
      <w:pPr>
        <w:pStyle w:val="Heading2"/>
        <w:spacing w:after="120" w:before="240"/>
      </w:pPr>
      <w:r>
        <w:rPr>
          <w:rFonts w:ascii="Arial" w:cs="Arial" w:eastAsia="Arial" w:hAnsi="Arial"/>
          <w:b/>
          <w:bCs/>
          <w:sz w:val="26"/>
          <w:szCs w:val="26"/>
        </w:rPr>
        <w:t xml:space="preserve">8.1  The four conditions</w:t>
      </w:r>
    </w:p>
    <w:p>
      <w:pPr>
        <w:spacing w:after="90" w:before="180"/>
      </w:pPr>
      <w:r>
        <w:rPr>
          <w:rFonts w:ascii="Arial" w:cs="Arial" w:eastAsia="Arial" w:hAnsi="Arial"/>
          <w:b/>
          <w:bCs/>
          <w:sz w:val="24"/>
          <w:szCs w:val="24"/>
        </w:rPr>
        <w:t xml:space="preserve">Condition 1 — Profile family</w:t>
      </w:r>
    </w:p>
    <w:p>
      <w:pPr>
        <w:spacing w:after="80" w:before="80"/>
        <w:jc w:val="left"/>
      </w:pPr>
      <w:r>
        <w:rPr>
          <w:rFonts w:ascii="Arial" w:cs="Arial" w:eastAsia="Arial" w:hAnsi="Arial"/>
          <w:sz w:val="22"/>
          <w:szCs w:val="22"/>
        </w:rPr>
        <w:t xml:space="preserve">Organised by (Δ, Q14) where Δ = 1 − Q12 and Q14 = B(1/4). Viable locus: Δ ≈ 0.31–0.46, Q14 ≈ 0.19–0.26.</w:t>
      </w:r>
    </w:p>
    <w:p>
      <w:pPr>
        <w:spacing w:after="90" w:before="180"/>
      </w:pPr>
      <w:r>
        <w:rPr>
          <w:rFonts w:ascii="Arial" w:cs="Arial" w:eastAsia="Arial" w:hAnsi="Arial"/>
          <w:b/>
          <w:bCs/>
          <w:sz w:val="24"/>
          <w:szCs w:val="24"/>
        </w:rPr>
        <w:t xml:space="preserve">Condition 2 — Sign gate (inner baryonic amplitude)</w:t>
      </w:r>
    </w:p>
    <w:p>
      <w:pPr>
        <w:spacing w:after="80" w:before="80"/>
        <w:jc w:val="center"/>
      </w:pPr>
      <w:r>
        <w:rPr>
          <w:rFonts w:ascii="Arial" w:cs="Arial" w:eastAsia="Arial" w:hAnsi="Arial"/>
          <w:sz w:val="22"/>
          <w:szCs w:val="22"/>
        </w:rPr>
        <w:t xml:space="preserve">Ω_in = V̄²_bar(r_in) / V²_obs(r_in) &gt; 1</w:t>
      </w:r>
    </w:p>
    <w:p>
      <w:pPr>
        <w:spacing w:after="80" w:before="80"/>
        <w:jc w:val="left"/>
      </w:pPr>
      <w:r>
        <w:rPr>
          <w:rFonts w:ascii="Arial" w:cs="Arial" w:eastAsia="Arial" w:hAnsi="Arial"/>
          <w:sz w:val="22"/>
          <w:szCs w:val="22"/>
        </w:rPr>
        <w:t xml:space="preserve">At fixed profile shape, the sign gate is decided by absolute inner baryonic normalisation. The NGC3838/NGC3626 control pair demonstrates this: near-identical normalised profiles (H(0.3) = 1.866 for both), but V̄_bar(r_in) = 194 vs 284 km/s splits Ω_in = 0.705 vs 1.316.</w:t>
      </w:r>
    </w:p>
    <w:p>
      <w:pPr>
        <w:spacing w:after="90" w:before="180"/>
      </w:pPr>
      <w:r>
        <w:rPr>
          <w:rFonts w:ascii="Arial" w:cs="Arial" w:eastAsia="Arial" w:hAnsi="Arial"/>
          <w:b/>
          <w:bCs/>
          <w:sz w:val="24"/>
          <w:szCs w:val="24"/>
        </w:rPr>
        <w:t xml:space="preserve">Condition 3 — Inner feasibility</w:t>
      </w:r>
    </w:p>
    <w:p>
      <w:pPr>
        <w:spacing w:after="80" w:before="80"/>
        <w:jc w:val="left"/>
      </w:pPr>
      <w:r>
        <w:rPr>
          <w:rFonts w:ascii="Arial" w:cs="Arial" w:eastAsia="Arial" w:hAnsi="Arial"/>
          <w:sz w:val="22"/>
          <w:szCs w:val="22"/>
        </w:rPr>
        <w:t xml:space="preserve">S = Q14/Δ organises U_max. Threshold S ≲ 1.70 gives 15/16 correct (NGC5582 is the borderline miss).</w:t>
      </w:r>
    </w:p>
    <w:p>
      <w:pPr>
        <w:spacing w:after="90" w:before="180"/>
      </w:pPr>
      <w:r>
        <w:rPr>
          <w:rFonts w:ascii="Arial" w:cs="Arial" w:eastAsia="Arial" w:hAnsi="Arial"/>
          <w:b/>
          <w:bCs/>
          <w:sz w:val="24"/>
          <w:szCs w:val="24"/>
        </w:rPr>
        <w:t xml:space="preserve">Condition 4 — Outer capacity</w:t>
      </w:r>
    </w:p>
    <w:p>
      <w:pPr>
        <w:spacing w:after="80" w:before="80"/>
        <w:jc w:val="center"/>
      </w:pPr>
      <w:r>
        <w:rPr>
          <w:rFonts w:ascii="Arial" w:cs="Arial" w:eastAsia="Arial" w:hAnsi="Arial"/>
          <w:sz w:val="22"/>
          <w:szCs w:val="22"/>
        </w:rPr>
        <w:t xml:space="preserve">u = (V²_obs(r_out) − V̄²_bar(r_out)) / (Γ₀ r_out R_max) ≤ 1</w:t>
      </w:r>
    </w:p>
    <w:p>
      <w:pPr>
        <w:pStyle w:val="Heading2"/>
        <w:spacing w:after="120" w:before="240"/>
      </w:pPr>
      <w:r>
        <w:rPr>
          <w:rFonts w:ascii="Arial" w:cs="Arial" w:eastAsia="Arial" w:hAnsi="Arial"/>
          <w:b/>
          <w:bCs/>
          <w:sz w:val="26"/>
          <w:szCs w:val="26"/>
        </w:rPr>
        <w:t xml:space="preserve">8.2  Independence of the four axes</w:t>
      </w:r>
    </w:p>
    <w:p>
      <w:pPr>
        <w:spacing w:after="80" w:before="80"/>
        <w:jc w:val="left"/>
      </w:pPr>
      <w:r>
        <w:rPr>
          <w:rFonts w:ascii="Arial" w:cs="Arial" w:eastAsia="Arial" w:hAnsi="Arial"/>
          <w:sz w:val="22"/>
          <w:szCs w:val="22"/>
        </w:rPr>
        <w:t xml:space="preserve">The four conditions are genuinely independent. Key cross-correlations from raw files: r(Ω_in, u) = −0.274, r(S, u) = 0.375. Inner failure is a profile-deformation problem; outer failure is a baryonic-retention problem.</w:t>
      </w:r>
    </w:p>
    <w:p>
      <w:pPr>
        <w:pStyle w:val="Heading2"/>
        <w:spacing w:after="120" w:before="240"/>
      </w:pPr>
      <w:r>
        <w:rPr>
          <w:rFonts w:ascii="Arial" w:cs="Arial" w:eastAsia="Arial" w:hAnsi="Arial"/>
          <w:b/>
          <w:bCs/>
          <w:sz w:val="26"/>
          <w:szCs w:val="26"/>
        </w:rPr>
        <w:t xml:space="preserve">8.3  Canonical ETG decision table (all 16, verified from raw files)</w:t>
      </w:r>
    </w:p>
    <w:p>
      <w:pPr>
        <w:spacing w:after="60" w:before="60"/>
      </w:pPr>
      <w:r>
        <w:rPr>
          <w:rFonts w:ascii="Arial" w:cs="Arial" w:eastAsia="Arial" w:hAnsi="Arial"/>
          <w:i/>
          <w:iCs/>
          <w:sz w:val="22"/>
          <w:szCs w:val="22"/>
        </w:rPr>
        <w:t xml:space="preserve">Inner profile quantities: V²-interpolation convention. Outer u: mixed convention. r_in values for H+ objects are canonical locked values.</w:t>
      </w:r>
    </w:p>
    <w:p>
      <w:pPr>
        <w:spacing w:after="40" w:before="4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00"/>
        <w:gridCol w:w="800"/>
        <w:gridCol w:w="900"/>
        <w:gridCol w:w="900"/>
        <w:gridCol w:w="900"/>
        <w:gridCol w:w="1000"/>
        <w:gridCol w:w="700"/>
        <w:gridCol w:w="860"/>
      </w:tblGrid>
      <w:tr>
        <w:trPr>
          <w:tblHeader/>
        </w:trPr>
        <w:tc>
          <w:tcPr>
            <w:tcW w:type="dxa" w:w="11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Q14</w:t>
            </w:r>
          </w:p>
        </w:tc>
        <w:tc>
          <w:tcPr>
            <w:tcW w:type="dxa" w:w="8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Ω_in</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U_max</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Class</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r_in</w:t>
            </w:r>
          </w:p>
        </w:tc>
        <w:tc>
          <w:tcPr>
            <w:tcW w:type="dxa" w:w="8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δu</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0.4552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0.1944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0.427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1.1231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NGC2824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0.6161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0.1252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NGC2859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0.3505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0.3381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0.965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0.8378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1.4878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−0.488</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NGC2974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0.2979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0.3027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0.6030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3.9166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−2.917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NGC3522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0.4846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0.1386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0.286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0.4375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0.282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0.3821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0.2040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NGC3838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0.3760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0.2097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0.7052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0.9133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0.390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0.3142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0.2606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1.2246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+0.226</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0.5396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2.369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0.6882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1.6309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0.167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NGC3998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0.0219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0.6722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30.58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0.4735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2.5880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−1.588</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NGC4203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0.0617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0.6208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1.2757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1.3374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D2(2ch)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0.460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−0.337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NGC4262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0.3887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0.521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0.4159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2.2636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−1.264</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0.0927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6.824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0.5656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2.8116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−1.812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NGC5582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0.3587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0.5539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1.5049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−0.505</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NGC6798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0.6899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0.7606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0.900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UGC6176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0.6690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0.1655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0.2491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+0.118</w:t>
            </w:r>
          </w:p>
        </w:tc>
      </w:tr>
    </w:tbl>
    <w:p>
      <w:pPr>
        <w:spacing w:after="40" w:before="40"/>
      </w:pPr>
      <w:r>
        <w:t xml:space="preserve"/>
      </w:r>
    </w:p>
    <w:p>
      <w:pPr>
        <w:spacing w:after="60" w:before="60"/>
      </w:pPr>
      <w:r>
        <w:rPr>
          <w:rFonts w:ascii="Arial" w:cs="Arial" w:eastAsia="Arial" w:hAnsi="Arial"/>
          <w:i/>
          <w:iCs/>
          <w:sz w:val="22"/>
          <w:szCs w:val="22"/>
        </w:rPr>
        <w:t xml:space="preserve">Class A = single-channel H+. *D2 = borderline U_max miss (S &lt; 1.70 passes, but U_max = 0.178 &lt; U* = 0.202). δu values verified from raw files.</w:t>
      </w:r>
    </w:p>
    <w:p>
      <w:pPr>
        <w:pStyle w:val="Heading1"/>
        <w:spacing w:after="180" w:before="360"/>
      </w:pPr>
      <w:r>
        <w:rPr>
          <w:rFonts w:ascii="Arial" w:cs="Arial" w:eastAsia="Arial" w:hAnsi="Arial"/>
          <w:b/>
          <w:bCs/>
          <w:sz w:val="32"/>
          <w:szCs w:val="32"/>
        </w:rPr>
        <w:t xml:space="preserve">9.  Outer Gate Structure</w:t>
      </w:r>
    </w:p>
    <w:p>
      <w:pPr>
        <w:pStyle w:val="Heading2"/>
        <w:spacing w:after="120" w:before="240"/>
      </w:pPr>
      <w:r>
        <w:rPr>
          <w:rFonts w:ascii="Arial" w:cs="Arial" w:eastAsia="Arial" w:hAnsi="Arial"/>
          <w:b/>
          <w:bCs/>
          <w:sz w:val="26"/>
          <w:szCs w:val="26"/>
        </w:rPr>
        <w:t xml:space="preserve">9.1  Exact outer viability boundary</w:t>
      </w:r>
    </w:p>
    <w:p>
      <w:pPr>
        <w:spacing w:after="80" w:before="80"/>
        <w:jc w:val="left"/>
      </w:pPr>
      <w:r>
        <w:rPr>
          <w:rFonts w:ascii="Arial" w:cs="Arial" w:eastAsia="Arial" w:hAnsi="Arial"/>
          <w:sz w:val="22"/>
          <w:szCs w:val="22"/>
        </w:rPr>
        <w:t xml:space="preserve">X_out = V²_obs(r_out) / (Γ₀ r_out),   R_d = 0.5 V²_disk(r_out)/V²_obs(r_out),   X_crit = R_max / (1 − R_d − R_b)</w:t>
      </w:r>
    </w:p>
    <w:p>
      <w:pPr>
        <w:spacing w:after="80" w:before="80"/>
        <w:jc w:val="left"/>
      </w:pPr>
      <w:r>
        <w:rPr>
          <w:rFonts w:ascii="Arial" w:cs="Arial" w:eastAsia="Arial" w:hAnsi="Arial"/>
          <w:sz w:val="22"/>
          <w:szCs w:val="22"/>
        </w:rPr>
        <w:t xml:space="preserve">The exact outer slack variable is:</w:t>
      </w:r>
    </w:p>
    <w:p>
      <w:pPr>
        <w:spacing w:after="80" w:before="80"/>
        <w:jc w:val="center"/>
      </w:pPr>
      <w:r>
        <w:rPr>
          <w:rFonts w:ascii="Arial" w:cs="Arial" w:eastAsia="Arial" w:hAnsi="Arial"/>
          <w:sz w:val="22"/>
          <w:szCs w:val="22"/>
        </w:rPr>
        <w:t xml:space="preserve">δu ≡ 1 − u = (X_crit − X_out) / X_crit</w:t>
      </w:r>
    </w:p>
    <w:p>
      <w:pPr>
        <w:spacing w:after="80" w:before="80"/>
        <w:jc w:val="left"/>
      </w:pPr>
      <w:r>
        <w:rPr>
          <w:rFonts w:ascii="Arial" w:cs="Arial" w:eastAsia="Arial" w:hAnsi="Arial"/>
          <w:sz w:val="22"/>
          <w:szCs w:val="22"/>
        </w:rPr>
        <w:t xml:space="preserve">This identity holds to floating-point precision for all 16 ETGs (max deviation &lt; 5×10⁻¹⁶, verified).</w:t>
      </w:r>
    </w:p>
    <w:p>
      <w:pPr>
        <w:pStyle w:val="Heading2"/>
        <w:spacing w:after="120" w:before="240"/>
      </w:pPr>
      <w:r>
        <w:rPr>
          <w:rFonts w:ascii="Arial" w:cs="Arial" w:eastAsia="Arial" w:hAnsi="Arial"/>
          <w:b/>
          <w:bCs/>
          <w:sz w:val="26"/>
          <w:szCs w:val="26"/>
        </w:rPr>
        <w:t xml:space="preserve">9.2  Two viable outer routes and crossing 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500"/>
        <w:gridCol w:w="1000"/>
        <w:gridCol w:w="2160"/>
      </w:tblGrid>
      <w:tr>
        <w:trPr>
          <w:tblHeader/>
        </w:trPr>
        <w:tc>
          <w:tcPr>
            <w:tcW w:type="dxa" w:w="13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r_out (kpc)</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u(r_out)</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r_cross/r_out</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δu</w:t>
            </w:r>
          </w:p>
        </w:tc>
        <w:tc>
          <w:tcPr>
            <w:tcW w:type="dxa" w:w="2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Route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24.98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NGC3522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0.7395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0.861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NGC3838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0.9133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11.72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NGC6798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0.7606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0.783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UGC6176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0.8817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+0.118</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bl>
    <w:p>
      <w:pPr>
        <w:spacing w:after="40" w:before="40"/>
      </w:pPr>
      <w:r>
        <w:t xml:space="preserve"/>
      </w:r>
    </w:p>
    <w:p>
      <w:pPr>
        <w:pStyle w:val="Heading2"/>
        <w:spacing w:after="120" w:before="240"/>
      </w:pPr>
      <w:r>
        <w:rPr>
          <w:rFonts w:ascii="Arial" w:cs="Arial" w:eastAsia="Arial" w:hAnsi="Arial"/>
          <w:b/>
          <w:bCs/>
          <w:sz w:val="26"/>
          <w:szCs w:val="26"/>
        </w:rPr>
        <w:t xml:space="preserve">9.3  Buffered branch radial profile structure and crossing-window geometry</w:t>
      </w:r>
    </w:p>
    <w:p>
      <w:pPr>
        <w:spacing w:after="80" w:before="80"/>
        <w:jc w:val="left"/>
      </w:pPr>
      <w:r>
        <w:rPr>
          <w:rFonts w:ascii="Arial" w:cs="Arial" w:eastAsia="Arial" w:hAnsi="Arial"/>
          <w:sz w:val="22"/>
          <w:szCs w:val="22"/>
        </w:rPr>
        <w:t xml:space="preserve">The six disk-buffered ETGs share a common rescaled radial approach profile near u = 1. On the window 0.92 ≤ x = r/r_cross ≤ 1.04 (121-point grid), the common constrained quadratic law is:</w:t>
      </w:r>
    </w:p>
    <w:p>
      <w:pPr>
        <w:spacing w:after="80" w:before="80"/>
        <w:jc w:val="center"/>
      </w:pPr>
      <w:r>
        <w:rPr>
          <w:rFonts w:ascii="Arial" w:cs="Arial" w:eastAsia="Arial" w:hAnsi="Arial"/>
          <w:sz w:val="22"/>
          <w:szCs w:val="22"/>
        </w:rPr>
        <w:t xml:space="preserve">u(x) ≈ 1 − 1.587(x−1) + 1.398(x−1)²</w:t>
      </w:r>
    </w:p>
    <w:p>
      <w:pPr>
        <w:spacing w:after="80" w:before="80"/>
        <w:jc w:val="left"/>
      </w:pPr>
      <w:r>
        <w:rPr>
          <w:rFonts w:ascii="Arial" w:cs="Arial" w:eastAsia="Arial" w:hAnsi="Arial"/>
          <w:sz w:val="22"/>
          <w:szCs w:val="22"/>
        </w:rPr>
        <w:t xml:space="preserve">Per-galaxy RMSEs against the common law: NGC3522 = 0.013, NGC3626 = 0.002, NGC3838 = 0.012, NGC3941 = 0.009, NGC6798 = 0.023, UGC6176 = 0.005. Residual PC1 variance: 99.82% (independently confirmed from raw ETG files; v14). This ETG crossing-window PC1 is distinct from the all-LTG u-profile PC1 ≈ 0.81 (EXP05/15), which is lower due to route-class mixing across structurally heterogeneous profile families (see §5.7 below). The crossing-window shape is close to a shared endpoint ramp with a small coherent curvature term: (1−u)/δu ≈ t + A·t(1−t) with A ≈ 0.18 pooled. Per-galaxy curvature anti-correlates strongly with crossing position (Pearson r = −0.985), so earlier crossings have more bowed profiles; disk-buffered objects are close to linear. Individual slope coefficients c1: NGC3522 = −1.874, NGC3626 = −1.660, NGC3838 = −1.847, NGC3941 = −1.402, NGC6798 = −1.045, UGC6176 = −1.695.</w:t>
      </w:r>
    </w:p>
    <w:p>
      <w:pPr>
        <w:spacing w:after="90" w:before="180"/>
      </w:pPr>
      <w:r>
        <w:rPr>
          <w:rFonts w:ascii="Arial" w:cs="Arial" w:eastAsia="Arial" w:hAnsi="Arial"/>
          <w:b/>
          <w:bCs/>
          <w:sz w:val="24"/>
          <w:szCs w:val="24"/>
        </w:rPr>
        <w:t xml:space="preserve">Priority K: Crossing-window geometric identity (closed in v13)</w:t>
      </w:r>
    </w:p>
    <w:p>
      <w:pPr>
        <w:spacing w:after="80" w:before="80"/>
        <w:jc w:val="left"/>
      </w:pPr>
      <w:r>
        <w:rPr>
          <w:rFonts w:ascii="Arial" w:cs="Arial" w:eastAsia="Arial" w:hAnsi="Arial"/>
          <w:sz w:val="22"/>
          <w:szCs w:val="22"/>
        </w:rPr>
        <w:t xml:space="preserve">The crossing-window slope c1 satisfies the following parameter-free geometric identity across all 7 crossing objects (including NGC2685, low-load route):</w:t>
      </w:r>
    </w:p>
    <w:p>
      <w:pPr>
        <w:spacing w:after="80" w:before="80"/>
        <w:jc w:val="center"/>
      </w:pPr>
      <w:r>
        <w:rPr>
          <w:rFonts w:ascii="Arial" w:cs="Arial" w:eastAsia="Arial" w:hAnsi="Arial"/>
          <w:sz w:val="22"/>
          <w:szCs w:val="22"/>
        </w:rPr>
        <w:t xml:space="preserve">c1 = −δu / (1 − x_cross) = (u_out − 1) / (1 − x_cross)</w:t>
      </w:r>
    </w:p>
    <w:p>
      <w:pPr>
        <w:spacing w:after="80" w:before="80"/>
        <w:jc w:val="left"/>
      </w:pPr>
      <w:r>
        <w:rPr>
          <w:rFonts w:ascii="Arial" w:cs="Arial" w:eastAsia="Arial" w:hAnsi="Arial"/>
          <w:sz w:val="22"/>
          <w:szCs w:val="22"/>
        </w:rPr>
        <w:t xml:space="preserve">Verification across 7 objects: Pearson r = 0.998 (p &lt; 10⁻⁵), Spearman = 1.000 (perfect rank order), parameter-free RMSE = 0.07 log units. For 6 of 7 objects the formula residual is ≤ 0.09; NGC2685 (low-load route, residual = 0.14) is the boundary case. This formula requires no fitting — it is derived from the geometric fact that the load profile must traverse from u = 1 (at x_cross) to u_out &lt; 1 (at r_out) over the remaining radial interval (1 − x_cross). The local crossing slope is therefore set by the ratio of available depth (δu = 1 − u_out) to available width (1 − x_cross). This result closes Priority K as a derived geometric identity.</w:t>
      </w:r>
    </w:p>
    <w:p>
      <w:pPr>
        <w:spacing w:after="80" w:before="80"/>
        <w:jc w:val="left"/>
      </w:pPr>
      <w:r>
        <w:rPr>
          <w:rFonts w:ascii="Arial" w:cs="Arial" w:eastAsia="Arial" w:hAnsi="Arial"/>
          <w:sz w:val="22"/>
          <w:szCs w:val="22"/>
        </w:rPr>
        <w:t xml:space="preserve">Direction (corrected from v12): later crossing position (larger x_cross) corresponds to a steeper, more negative c1. This is the opposite of the wording in v12 ("shallower slope") which was incorrect. Empirical confirmation: NGC3838 (x_cross = 0.953, c1 = −1.847) vs NGC2685 (x_cross = 0.488, c1 = −0.838). The geometric identity explains this: as x_cross → 1, the denominator (1 − x_cross) → 0, making the required slope more negative.</w:t>
      </w:r>
    </w:p>
    <w:p>
      <w:pPr>
        <w:spacing w:after="80" w:before="80"/>
        <w:jc w:val="left"/>
      </w:pPr>
      <w:r>
        <w:rPr>
          <w:rFonts w:ascii="Arial" w:cs="Arial" w:eastAsia="Arial" w:hAnsi="Arial"/>
          <w:sz w:val="22"/>
          <w:szCs w:val="22"/>
        </w:rPr>
        <w:t xml:space="preserve">Population-gradient contamination check: age_delta, ZH_delta, and αFe_delta show no correlation with either x_cross or c1 across the 7-object set (all |r| &lt; 0.17, all p &gt; 0.72). The xcross→c1 relation is kinematic/geometric in origin, not a stellar-population artefact.</w:t>
      </w:r>
    </w:p>
    <w:p>
      <w:pPr>
        <w:pStyle w:val="Heading2"/>
        <w:spacing w:after="120" w:before="240"/>
      </w:pPr>
      <w:r>
        <w:rPr>
          <w:rFonts w:ascii="Arial" w:cs="Arial" w:eastAsia="Arial" w:hAnsi="Arial"/>
          <w:b/>
          <w:bCs/>
          <w:sz w:val="26"/>
          <w:szCs w:val="26"/>
        </w:rPr>
        <w:t xml:space="preserve">9.4  Cancellation sector</w:t>
      </w:r>
    </w:p>
    <w:p>
      <w:pPr>
        <w:spacing w:after="80" w:before="80"/>
        <w:jc w:val="left"/>
      </w:pPr>
      <w:r>
        <w:rPr>
          <w:rFonts w:ascii="Arial" w:cs="Arial" w:eastAsia="Arial" w:hAnsi="Arial"/>
          <w:sz w:val="22"/>
          <w:szCs w:val="22"/>
        </w:rPr>
        <w:t xml:space="preserve">The outer cancellation ratio R = Bout/Xout decomposes exactly as R = R_d + R_b. Correlations: r(R_d, R) = 0.905, r(R_b, R) = 0.544 for all 16 ETGs. The cancellation sector is effectively disk-carried where it matters. The outer bulge component follows a Keplerian tail (V_bul ∝ r^{−1/2}, log-slope = −0.500 to 4 decimal places) for all six buffered ETGs.</w:t>
      </w:r>
    </w:p>
    <w:p>
      <w:pPr>
        <w:pStyle w:val="Heading1"/>
        <w:spacing w:after="180" w:before="360"/>
      </w:pPr>
      <w:r>
        <w:rPr>
          <w:rFonts w:ascii="Arial" w:cs="Arial" w:eastAsia="Arial" w:hAnsi="Arial"/>
          <w:b/>
          <w:bCs/>
          <w:sz w:val="32"/>
          <w:szCs w:val="32"/>
        </w:rPr>
        <w:t xml:space="preserve">10.  Outer Chain Reduction</w:t>
      </w:r>
    </w:p>
    <w:p>
      <w:pPr>
        <w:pStyle w:val="Heading2"/>
        <w:spacing w:after="120" w:before="240"/>
      </w:pPr>
      <w:r>
        <w:rPr>
          <w:rFonts w:ascii="Arial" w:cs="Arial" w:eastAsia="Arial" w:hAnsi="Arial"/>
          <w:b/>
          <w:bCs/>
          <w:sz w:val="26"/>
          <w:szCs w:val="26"/>
        </w:rPr>
        <w:t xml:space="preserve">10.1  Stage-4 disk-force law</w:t>
      </w:r>
    </w:p>
    <w:p>
      <w:pPr>
        <w:spacing w:after="80" w:before="80"/>
        <w:jc w:val="left"/>
      </w:pPr>
      <w:r>
        <w:rPr>
          <w:rFonts w:ascii="Arial" w:cs="Arial" w:eastAsia="Arial" w:hAnsi="Arial"/>
          <w:sz w:val="22"/>
          <w:szCs w:val="22"/>
        </w:rPr>
        <w:t xml:space="preserve">The disk-only viability boundary is equivalent to a gate disk-force condition, verified via log-log regression:</w:t>
      </w:r>
    </w:p>
    <w:p>
      <w:pPr>
        <w:spacing w:after="80" w:before="80"/>
        <w:jc w:val="center"/>
      </w:pPr>
      <w:r>
        <w:rPr>
          <w:rFonts w:ascii="Arial" w:cs="Arial" w:eastAsia="Arial" w:hAnsi="Arial"/>
          <w:sz w:val="22"/>
          <w:szCs w:val="22"/>
        </w:rPr>
        <w:t xml:space="preserve">log(V²_disk(r_out)/r_out) = A + a log(Σ_disk) + b log(r_out/R₉₀)</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200"/>
        <w:gridCol w:w="800"/>
        <w:gridCol w:w="1300"/>
        <w:gridCol w:w="21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Sample</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 (density)</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b (geometry)</w:t>
            </w:r>
          </w:p>
        </w:tc>
        <w:tc>
          <w:tcPr>
            <w:tcW w:type="dxa" w:w="8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R²</w:t>
            </w:r>
          </w:p>
        </w:tc>
        <w:tc>
          <w:tcPr>
            <w:tcW w:type="dxa" w:w="13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LOO RMSE (log units)</w:t>
            </w:r>
          </w:p>
        </w:tc>
        <w:tc>
          <w:tcPr>
            <w:tcW w:type="dxa" w:w="2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Full N=16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4.756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0.444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Σ mean over 0.80–1.00 r_out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HL-like N=12 (route-class)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0.890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Excl. NGC2685, NGC3522, NGC3838, NGC6798</w:t>
            </w:r>
          </w:p>
        </w:tc>
      </w:tr>
    </w:tbl>
    <w:p>
      <w:pPr>
        <w:spacing w:after="40" w:before="40"/>
      </w:pPr>
      <w:r>
        <w:t xml:space="preserve"/>
      </w:r>
    </w:p>
    <w:p>
      <w:pPr>
        <w:spacing w:after="80" w:before="80"/>
        <w:jc w:val="left"/>
      </w:pPr>
      <w:r>
        <w:rPr>
          <w:rFonts w:ascii="Arial" w:cs="Arial" w:eastAsia="Arial" w:hAnsi="Arial"/>
          <w:sz w:val="22"/>
          <w:szCs w:val="22"/>
        </w:rPr>
        <w:t xml:space="preserve">The HL-like subset excludes the 4 non-main-route ETGs (NGC2685 low-load; NGC3522, NGC3838, NGC6798 disk-buffered). The LOO improvement from 0.444 to 0.361 is route-class conditioned, not driven by any Xout threshold — Xout-based cuts give LOO ≥ 0.450 for all tested thresholds. The HL12 route-set ranks 447/1820 (top 24.6%) among all possible 4-object exclusion subsets, confirming it is structurally motivated but not uniquely optimal. NGC5582 is the dominant HL12 leverage object (Cook’s D = 3.155, leverage = 0.762, LOO residual = −0.867 log units under HL fit) and controls the HL12 R₉₀-vs-h geometry preference; NGC3998 is the main positive HL12 residual (LOO = +0.625, Cook’s D = 0.520). Their joint interaction (EXP16): removing NGC3998 from HL12 gives the cleanest calibration row (R² = 0.949, LOO = 0.197, b = 1.689); removing NGC5582 instead flips the geometry preference to h-form; removing both restores R₉₀ preference but weakens fit quality. The cleanest tested row is HL12 minus NGC3998 with canonical r_out/R₉₀. Full-sample row is reproduced exactly using mean Σ over 0.80–1.00 r_out from high-resolution disk.dat files (Σ computed as mass surface density, column 2); R₉₀ from trapezoidal 2πRΣ integration.</w:t>
      </w:r>
    </w:p>
    <w:p>
      <w:pPr>
        <w:spacing w:after="90" w:before="180"/>
      </w:pPr>
      <w:r>
        <w:rPr>
          <w:rFonts w:ascii="Arial" w:cs="Arial" w:eastAsia="Arial" w:hAnsi="Arial"/>
          <w:b/>
          <w:bCs/>
          <w:sz w:val="24"/>
          <w:szCs w:val="24"/>
        </w:rPr>
        <w:t xml:space="preserve">Stage-4 structural outliers</w:t>
      </w:r>
    </w:p>
    <w:p>
      <w:pPr>
        <w:spacing w:after="80" w:before="80"/>
        <w:jc w:val="left"/>
      </w:pPr>
      <w:r>
        <w:rPr>
          <w:rFonts w:ascii="Arial" w:cs="Arial" w:eastAsia="Arial" w:hAnsi="Arial"/>
          <w:sz w:val="22"/>
          <w:szCs w:val="22"/>
        </w:rPr>
        <w:t xml:space="preserve">Two named residual endpoints are documented in v14. Three are now fully characterised (v15). NGC3838 (residual = −0.853, largest negative): it has the highest r_out/R₉₀ = 3.507, rank-2 r_out/h = 9.633, and the sharpest retained-rotation fall beyond R₉₀ among all 16 ETGs. Its Stage-4 failure is compact-mass-concentration geometry combined with extended r_out. No external ATLAS3D variable explains this residual. NGC3838 also drives the Full16 h-form preference: removing it reverses the preference (canonical LOO = 0.291 vs h-form LOO = 0.306 in the N=15 subset). NGC3522 (residual = −0.464, LOO = −0.847, second-largest negative, Cook’s D = 0.806): it is HL-excluded by route class (disk-buffered) but is NOT a geometry extreme — r_out/R₉₀ = 1.072 (rank 13/16), r_out/h = 4.147 (rank 15/16). Its large negative residual reflects a route-class mismatch rather than an outlier disk structure. NGC3998 (residual = +0.694, largest positive; HL12: residual = +0.474, LOO = +0.625, Cook’s D = 0.520): it has very low outer Σ (0.710 M☉/pc²) but sustains high V_disk at r_out (102 km/s), so Stage-4 underestimates its disk force. Removing NGC3998 from HL12 gives the cleanest tested subset: A = 4.838, a = 0.809, b = 1.689, R² = 0.949, LOO = 0.197 log units. This is the reference row for HL12-based Stage-4 claims. NGC5582 (HL12 dominant leverage object: Cook’s D = 3.155, leverage = 0.762, LOO = −0.867): NGC5582 is the galaxy holding the HL12 canonical r_out/R₉₀ preference. Removing it flips HL12 to prefer h-form (canonical LOO = 0.281 vs h-form LOO = 0.236 in N=11). Removing both NGC3998 and NGC5582 restores the R₉₀ preference (canonical LOO = 0.218 vs h-form LOO = 0.255 in N=10), but at lower R² = 0.813. The joint interaction (EXP16): NGC3998 and NGC5582 affect the HL12 geometry in opposite directions; the canonical row is best understood as the route-conditioned subset with these two leverage objects retained, and the HL12 minus NGC3998 row as the cleanest calibration target. The Freeman exponential-disk kernel proxy (EXP19) is competitive with the canonical form in all subsets — for HL12 minus NGC3998, Freeman+logx achieves LOO = 0.233 vs canonical LOO = 0.197 — confirming that Stage-4 is consistent with disk self-gravity scaling in structure, but the empirical canonical row remains superior.</w:t>
      </w:r>
    </w:p>
    <w:p>
      <w:pPr>
        <w:spacing w:after="80" w:before="80"/>
        <w:jc w:val="left"/>
      </w:pPr>
      <w:r>
        <w:rPr>
          <w:rFonts w:ascii="Arial" w:cs="Arial" w:eastAsia="Arial" w:hAnsi="Arial"/>
          <w:sz w:val="22"/>
          <w:szCs w:val="22"/>
        </w:rPr>
        <w:t xml:space="preserve">Outer falloff shape diagnostic: the fractional disk falloff drop80 = (Vdisk(0.8r_out) − Vdisk(r_out)) / Vdisk(0.8r_out) has the strongest rank correlation with Stage-4 residuals (Spearman = +0.644, p = 0.007). The sign means larger fractional falloff correlates with more positive residuals, not negative — the earlier wording "fast outer fall → negative residual" is incorrect. The absolute falloff slope80 = (Vdisk(r_out) − Vdisk(0.8r_out)) / (0.2r_out) has Pearson r = −0.504 (p = 0.046), but adding it to the Stage-4 model improves LOO by only 0.025 log units. No falloff variable is promoted as a Stage-4 correction term.</w:t>
      </w:r>
    </w:p>
    <w:p>
      <w:pPr>
        <w:pStyle w:val="Heading2"/>
        <w:spacing w:after="120" w:before="240"/>
      </w:pPr>
      <w:r>
        <w:rPr>
          <w:rFonts w:ascii="Arial" w:cs="Arial" w:eastAsia="Arial" w:hAnsi="Arial"/>
          <w:b/>
          <w:bCs/>
          <w:sz w:val="26"/>
          <w:szCs w:val="26"/>
        </w:rPr>
        <w:t xml:space="preserve">10.1a  Stage-4 geometry variable: r_out/R₉₀ vs r_out/h (new in v14)</w:t>
      </w:r>
    </w:p>
    <w:p>
      <w:pPr>
        <w:spacing w:after="80" w:before="80"/>
        <w:jc w:val="left"/>
      </w:pPr>
      <w:r>
        <w:rPr>
          <w:rFonts w:ascii="Arial" w:cs="Arial" w:eastAsia="Arial" w:hAnsi="Arial"/>
          <w:sz w:val="22"/>
          <w:szCs w:val="22"/>
        </w:rPr>
        <w:t xml:space="preserve">The Stage-4 canonical geometry variable log(r_out/R₉₀) was compared against the alternative log(r_out/h) using the locked v14 ETG inputs. The h values are source-locked as full-positive high-resolution _disk.dat exponential scale lengths (log-linear fit to all Sigma &gt; 0 points; mean deviation from v15 locked values is &lt;0.001 kpc; within-r_out restricted fits fail for galaxies where disk emission extends beyond r_out). Results under mean Sigma_{0.80-1.00}: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Pr>
          <w:p>
            <w:r>
              <w:rPr>
                <w:b/>
                <w:sz w:val="20"/>
              </w:rPr>
              <w:t>Sample</w:t>
            </w:r>
          </w:p>
        </w:tc>
        <w:tc>
          <w:tcPr>
            <w:tcW w:type="dxa" w:w="2340"/>
          </w:tcPr>
          <w:p>
            <w:r>
              <w:rPr>
                <w:b/>
                <w:sz w:val="20"/>
              </w:rPr>
              <w:t>Geometry</w:t>
            </w:r>
          </w:p>
        </w:tc>
        <w:tc>
          <w:tcPr>
            <w:tcW w:type="dxa" w:w="1560"/>
          </w:tcPr>
          <w:p>
            <w:r>
              <w:rPr>
                <w:b/>
                <w:sz w:val="20"/>
              </w:rPr>
              <w:t>R²</w:t>
            </w:r>
          </w:p>
        </w:tc>
        <w:tc>
          <w:tcPr>
            <w:tcW w:type="dxa" w:w="1560"/>
          </w:tcPr>
          <w:p>
            <w:r>
              <w:rPr>
                <w:b/>
                <w:sz w:val="20"/>
              </w:rPr>
              <w:t>LOO RMSE</w:t>
            </w:r>
          </w:p>
        </w:tc>
        <w:tc>
          <w:tcPr>
            <w:tcW w:type="dxa" w:w="1560"/>
          </w:tcPr>
          <w:p>
            <w:r>
              <w:rPr>
                <w:b/>
                <w:sz w:val="20"/>
              </w:rPr>
              <w:t>Note</w:t>
            </w:r>
          </w:p>
        </w:tc>
      </w:tr>
      <w:tr>
        <w:tc>
          <w:tcPr>
            <w:tcW w:type="dxa" w:w="2340"/>
          </w:tcPr>
          <w:p>
            <w:r>
              <w:rPr>
                <w:sz w:val="20"/>
              </w:rPr>
              <w:t>Full16</w:t>
            </w:r>
          </w:p>
        </w:tc>
        <w:tc>
          <w:tcPr>
            <w:tcW w:type="dxa" w:w="2340"/>
          </w:tcPr>
          <w:p>
            <w:r>
              <w:rPr>
                <w:sz w:val="20"/>
              </w:rPr>
              <w:t>canonical Σ + log(r/R₉₀)</w:t>
            </w:r>
          </w:p>
        </w:tc>
        <w:tc>
          <w:tcPr>
            <w:tcW w:type="dxa" w:w="1560"/>
          </w:tcPr>
          <w:p>
            <w:r>
              <w:rPr>
                <w:sz w:val="20"/>
              </w:rPr>
              <w:t>0.884</w:t>
            </w:r>
          </w:p>
        </w:tc>
        <w:tc>
          <w:tcPr>
            <w:tcW w:type="dxa" w:w="1560"/>
          </w:tcPr>
          <w:p>
            <w:r>
              <w:rPr>
                <w:sz w:val="20"/>
              </w:rPr>
              <w:t>0.444</w:t>
            </w:r>
          </w:p>
        </w:tc>
        <w:tc>
          <w:tcPr>
            <w:tcW w:type="dxa" w:w="1560"/>
          </w:tcPr>
          <w:p>
            <w:r>
              <w:rPr>
                <w:sz w:val="20"/>
              </w:rPr>
              <w:t>baseline</w:t>
            </w:r>
          </w:p>
        </w:tc>
      </w:tr>
      <w:tr>
        <w:tc>
          <w:tcPr>
            <w:tcW w:type="dxa" w:w="2340"/>
          </w:tcPr>
          <w:p>
            <w:r>
              <w:rPr>
                <w:sz w:val="20"/>
              </w:rPr>
              <w:t>Full16</w:t>
            </w:r>
          </w:p>
        </w:tc>
        <w:tc>
          <w:tcPr>
            <w:tcW w:type="dxa" w:w="2340"/>
          </w:tcPr>
          <w:p>
            <w:r>
              <w:rPr>
                <w:sz w:val="20"/>
              </w:rPr>
              <w:t>h-form Σ + log(r/h)</w:t>
            </w:r>
          </w:p>
        </w:tc>
        <w:tc>
          <w:tcPr>
            <w:tcW w:type="dxa" w:w="1560"/>
          </w:tcPr>
          <w:p>
            <w:r>
              <w:rPr>
                <w:sz w:val="20"/>
              </w:rPr>
              <w:t>0.935</w:t>
            </w:r>
          </w:p>
        </w:tc>
        <w:tc>
          <w:tcPr>
            <w:tcW w:type="dxa" w:w="1560"/>
          </w:tcPr>
          <w:p>
            <w:r>
              <w:rPr>
                <w:sz w:val="20"/>
              </w:rPr>
              <w:t>0.312</w:t>
            </w:r>
          </w:p>
        </w:tc>
        <w:tc>
          <w:tcPr>
            <w:tcW w:type="dxa" w:w="1560"/>
          </w:tcPr>
          <w:p>
            <w:r>
              <w:rPr>
                <w:sz w:val="20"/>
              </w:rPr>
              <w:t>NGC3838-driven</w:t>
            </w:r>
          </w:p>
        </w:tc>
      </w:tr>
      <w:tr>
        <w:tc>
          <w:tcPr>
            <w:tcW w:type="dxa" w:w="2340"/>
          </w:tcPr>
          <w:p>
            <w:r>
              <w:rPr>
                <w:sz w:val="20"/>
              </w:rPr>
              <w:t>HL12 (route-class)</w:t>
            </w:r>
          </w:p>
        </w:tc>
        <w:tc>
          <w:tcPr>
            <w:tcW w:type="dxa" w:w="2340"/>
          </w:tcPr>
          <w:p>
            <w:r>
              <w:rPr>
                <w:sz w:val="20"/>
              </w:rPr>
              <w:t>canonical Σ + log(r/R₉₀)</w:t>
            </w:r>
          </w:p>
        </w:tc>
        <w:tc>
          <w:tcPr>
            <w:tcW w:type="dxa" w:w="1560"/>
          </w:tcPr>
          <w:p>
            <w:r>
              <w:rPr>
                <w:sz w:val="20"/>
              </w:rPr>
              <w:t>0.890</w:t>
            </w:r>
          </w:p>
        </w:tc>
        <w:tc>
          <w:tcPr>
            <w:tcW w:type="dxa" w:w="1560"/>
          </w:tcPr>
          <w:p>
            <w:r>
              <w:rPr>
                <w:sz w:val="20"/>
              </w:rPr>
              <w:t>0.361</w:t>
            </w:r>
          </w:p>
        </w:tc>
        <w:tc>
          <w:tcPr>
            <w:tcW w:type="dxa" w:w="1560"/>
          </w:tcPr>
          <w:p>
            <w:r>
              <w:rPr>
                <w:sz w:val="20"/>
              </w:rPr>
              <w:t>NGC5582-supported</w:t>
            </w:r>
          </w:p>
        </w:tc>
      </w:tr>
      <w:tr>
        <w:tc>
          <w:tcPr>
            <w:tcW w:type="dxa" w:w="2340"/>
          </w:tcPr>
          <w:p>
            <w:r>
              <w:rPr>
                <w:sz w:val="20"/>
              </w:rPr>
              <w:t>HL12 (route-class)</w:t>
            </w:r>
          </w:p>
        </w:tc>
        <w:tc>
          <w:tcPr>
            <w:tcW w:type="dxa" w:w="2340"/>
          </w:tcPr>
          <w:p>
            <w:r>
              <w:rPr>
                <w:sz w:val="20"/>
              </w:rPr>
              <w:t>h-form Σ + log(r/h)</w:t>
            </w:r>
          </w:p>
        </w:tc>
        <w:tc>
          <w:tcPr>
            <w:tcW w:type="dxa" w:w="1560"/>
          </w:tcPr>
          <w:p>
            <w:r>
              <w:rPr>
                <w:sz w:val="20"/>
              </w:rPr>
              <w:t>0.864</w:t>
            </w:r>
          </w:p>
        </w:tc>
        <w:tc>
          <w:tcPr>
            <w:tcW w:type="dxa" w:w="1560"/>
          </w:tcPr>
          <w:p>
            <w:r>
              <w:rPr>
                <w:sz w:val="20"/>
              </w:rPr>
              <w:t>0.403</w:t>
            </w:r>
          </w:p>
        </w:tc>
        <w:tc>
          <w:tcPr>
            <w:tcW w:type="dxa" w:w="1560"/>
          </w:tcPr>
          <w:p>
            <w:r>
              <w:rPr>
                <w:sz w:val="20"/>
              </w:rPr>
              <w:t>worse in HL12</w:t>
            </w:r>
          </w:p>
        </w:tc>
      </w:tr>
    </w:tbl>
    <w:p>
      <w:pPr>
        <w:spacing w:after="80" w:before="80"/>
        <w:jc w:val="left"/>
      </w:pPr>
      <w:r>
        <w:rPr>
          <w:rFonts w:ascii="Arial" w:cs="Arial" w:eastAsia="Arial" w:hAnsi="Arial"/>
          <w:sz w:val="22"/>
          <w:szCs w:val="22"/>
        </w:rPr>
        <w:t xml:space="preserve">The Full16 preference for r_out/h (ΔLOO = −0.133) is an endpoint effect, not a universal geometry lock. NGC3838 has rank-1 r_out/R₉₀ = 3.507 and rank-2 r_out/h = 9.633 among all 16 ETGs; switching to r_out/h reduces its Cook’s D from 0.903 to 0.124. Removing NGC3838 entirely reverses the Full16 preference: canonical LOO = 0.291 vs h-form LOO = 0.306 (N=15). The HL12 canonical row remains supported by NGC5582: that galaxy is high-leverage in HL12 (Cook’s D = 3.15, LOO = −0.866), and removing it flips the HL12 preference to h-form (canonical LOO = 0.281 vs h-form LOO = 0.236 in N=11). Safe conclusion: Stage-4 robustly requires density plus outer geometry. The canonical r_out/R₉₀ form is retained as the primary row because it is route-conditioned (HL12) and does not depend on a single structural outlier. The Full16 h-form preference is noted as an empirical sensitivity finding, not a canonical replacement.</w:t>
      </w:r>
    </w:p>
    <w:p>
      <w:pPr>
        <w:spacing w:after="120" w:before="240"/>
      </w:pPr>
      <w:r>
        <w:rPr>
          <w:rFonts w:ascii="Arial" w:cs="Arial" w:eastAsia="Arial" w:hAnsi="Arial"/>
          <w:b/>
          <w:sz w:val="24"/>
          <w:szCs w:val="24"/>
        </w:rPr>
        <w:t xml:space="preserve">10.2  Real-profile kernel law</w:t>
      </w:r>
    </w:p>
    <w:p>
      <w:pPr>
        <w:spacing w:after="80" w:before="80"/>
        <w:jc w:val="center"/>
      </w:pPr>
      <w:r>
        <w:rPr>
          <w:rFonts w:ascii="Arial" w:cs="Arial" w:eastAsia="Arial" w:hAnsi="Arial"/>
          <w:sz w:val="22"/>
          <w:szCs w:val="22"/>
        </w:rPr>
        <w:t xml:space="preserve">log H_real = −3.487 + 2.003 log(z) − 0.919 log(η),   R² = 0.931   (N = 16)</w:t>
      </w:r>
    </w:p>
    <w:p>
      <w:pPr>
        <w:spacing w:after="80" w:before="80"/>
        <w:jc w:val="center"/>
      </w:pPr>
      <w:r>
        <w:rPr>
          <w:rFonts w:ascii="Arial" w:cs="Arial" w:eastAsia="Arial" w:hAnsi="Arial"/>
          <w:sz w:val="22"/>
          <w:szCs w:val="22"/>
        </w:rPr>
        <w:t xml:space="preserve">High-load (X_out &gt; 2, N=12): log H_real = −3.390 + 2.239 log(z) − 0.583 log(η),   R² = 0.930</w:t>
      </w:r>
    </w:p>
    <w:p>
      <w:pPr>
        <w:spacing w:after="80" w:before="80"/>
        <w:jc w:val="left"/>
      </w:pPr>
      <w:r>
        <w:rPr>
          <w:rFonts w:ascii="Arial" w:cs="Arial" w:eastAsia="Arial" w:hAnsi="Arial"/>
          <w:sz w:val="22"/>
          <w:szCs w:val="22"/>
        </w:rPr>
        <w:t xml:space="preserve">where H_real = 0.5 × [V²_disk(r_out)/r_out] / (Γ₀ × ⟨Σ⟩_{0.8–1.0}), z = r_out/R₉₀, η = Σ(r_out)/⟨Σ⟩_{0.8–1.0}. K constants: K_full = exp(−3.487) = 0.03060, K_hl = exp(−3.390) = 0.03372 (both verified to all digits from raw files).</w:t>
      </w:r>
    </w:p>
    <w:p>
      <w:pPr>
        <w:pStyle w:val="Heading2"/>
        <w:spacing w:after="120" w:before="240"/>
      </w:pPr>
      <w:r>
        <w:rPr>
          <w:rFonts w:ascii="Arial" w:cs="Arial" w:eastAsia="Arial" w:hAnsi="Arial"/>
          <w:b/>
          <w:bCs/>
          <w:sz w:val="26"/>
          <w:szCs w:val="26"/>
        </w:rPr>
        <w:t xml:space="preserve">10.3  Complete outer chain</w:t>
      </w:r>
    </w:p>
    <w:p>
      <w:pPr>
        <w:spacing w:after="80" w:before="80"/>
        <w:jc w:val="left"/>
      </w:pPr>
      <w:r>
        <w:rPr>
          <w:rFonts w:ascii="Arial" w:cs="Arial" w:eastAsia="Arial" w:hAnsi="Arial"/>
          <w:sz w:val="22"/>
          <w:szCs w:val="22"/>
        </w:rPr>
        <w:t xml:space="preserve">Stage 1: X_out — dominates the empirical outer gate globally. Stage 2: B_out/X_out = R_d + R_b — residual cancellation, effectively disk-only. Stage 3: R_d = 0.5 V²_disk(r_out)/V²_obs(r_out) — disk-carried cancellation (AUC = 0.964 for buffered-branch identification). Stage 4: V²_disk(r_out)/r_out ∝ ⟨Σ_disk⟩^a × z^b — local outer disk density and gate-position geometry.</w:t>
      </w:r>
    </w:p>
    <w:p>
      <w:pPr>
        <w:pStyle w:val="Heading1"/>
        <w:spacing w:after="180" w:before="360"/>
      </w:pPr>
      <w:r>
        <w:rPr>
          <w:rFonts w:ascii="Arial" w:cs="Arial" w:eastAsia="Arial" w:hAnsi="Arial"/>
          <w:b/>
          <w:bCs/>
          <w:sz w:val="32"/>
          <w:szCs w:val="32"/>
        </w:rPr>
        <w:t xml:space="preserve">11.  H+ Branch Mathematics</w:t>
      </w:r>
    </w:p>
    <w:p>
      <w:pPr>
        <w:pStyle w:val="Heading2"/>
        <w:spacing w:after="120" w:before="240"/>
      </w:pPr>
      <w:r>
        <w:rPr>
          <w:rFonts w:ascii="Arial" w:cs="Arial" w:eastAsia="Arial" w:hAnsi="Arial"/>
          <w:b/>
          <w:bCs/>
          <w:sz w:val="26"/>
          <w:szCs w:val="26"/>
        </w:rPr>
        <w:t xml:space="preserve">11.1  Sign gate and suppression structure</w:t>
      </w:r>
    </w:p>
    <w:p>
      <w:pPr>
        <w:spacing w:after="80" w:before="80"/>
        <w:jc w:val="left"/>
      </w:pPr>
      <w:r>
        <w:rPr>
          <w:rFonts w:ascii="Arial" w:cs="Arial" w:eastAsia="Arial" w:hAnsi="Arial"/>
          <w:sz w:val="22"/>
          <w:szCs w:val="22"/>
        </w:rPr>
        <w:t xml:space="preserve">For H+ galaxies (Ω_in &gt; 1), the suppression integral G_supp = V̄²_bar(r_in) · κ* where κ* = 1 − (1/x_B) ∫₀¹ exp(−(1−y)/x_B) B(y) dy. The exact algebraic decomposition: κ* = exp(−1/x_B) + U.</w:t>
      </w:r>
    </w:p>
    <w:p>
      <w:pPr>
        <w:pStyle w:val="Heading2"/>
        <w:spacing w:after="120" w:before="240"/>
      </w:pPr>
      <w:r>
        <w:rPr>
          <w:rFonts w:ascii="Arial" w:cs="Arial" w:eastAsia="Arial" w:hAnsi="Arial"/>
          <w:b/>
          <w:bCs/>
          <w:sz w:val="26"/>
          <w:szCs w:val="26"/>
        </w:rPr>
        <w:t xml:space="preserve">11.2  Branch invariants (verified from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000"/>
        <w:gridCol w:w="1000"/>
        <w:gridCol w:w="1000"/>
        <w:gridCol w:w="1000"/>
        <w:gridCol w:w="1000"/>
        <w:gridCol w:w="14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r_in</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Q12</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Q14</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Ω_in</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U_max</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x_loc</w:t>
            </w:r>
          </w:p>
        </w:tc>
        <w:tc>
          <w:tcPr>
            <w:tcW w:type="dxa" w:w="14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Class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0.5448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0.1944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1.1231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1.548</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0.6179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1.303</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0.6858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1.2246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1.013</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NGC4203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0.9384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0.6208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1.2757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1.3374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n/a</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two-ch.</w:t>
            </w:r>
          </w:p>
        </w:tc>
      </w:tr>
    </w:tbl>
    <w:p>
      <w:pPr>
        <w:spacing w:after="40" w:before="40"/>
      </w:pPr>
      <w:r>
        <w:t xml:space="preserve"/>
      </w:r>
    </w:p>
    <w:p>
      <w:pPr>
        <w:spacing w:after="80" w:before="80"/>
        <w:jc w:val="left"/>
      </w:pPr>
      <w:r>
        <w:rPr>
          <w:rFonts w:ascii="Arial" w:cs="Arial" w:eastAsia="Arial" w:hAnsi="Arial"/>
          <w:sz w:val="22"/>
          <w:szCs w:val="22"/>
        </w:rPr>
        <w:t xml:space="preserve">Single-channel calibrators: U* = 0.201803 (mean; CV = 0.00%), A_loc = 3.344 (CV = 2.56%). Branch law: x_B ≈ 3.34(1 − Q12), L_B ≈ 3.34 r_in(1 − Q12).</w:t>
      </w:r>
    </w:p>
    <w:p>
      <w:pPr>
        <w:pStyle w:val="Heading2"/>
        <w:spacing w:after="120" w:before="240"/>
      </w:pPr>
      <w:r>
        <w:rPr>
          <w:rFonts w:ascii="Arial" w:cs="Arial" w:eastAsia="Arial" w:hAnsi="Arial"/>
          <w:b/>
          <w:bCs/>
          <w:sz w:val="26"/>
          <w:szCs w:val="26"/>
        </w:rPr>
        <w:t xml:space="preserve">11.3  No confirmed LTG H+ objects</w:t>
      </w:r>
    </w:p>
    <w:p>
      <w:pPr>
        <w:spacing w:after="80" w:before="80"/>
        <w:jc w:val="left"/>
      </w:pPr>
      <w:r>
        <w:rPr>
          <w:rFonts w:ascii="Arial" w:cs="Arial" w:eastAsia="Arial" w:hAnsi="Arial"/>
          <w:sz w:val="22"/>
          <w:szCs w:val="22"/>
        </w:rPr>
        <w:t xml:space="preserve">Priority O is closed. NGC2841 fails Ω_in &gt; 1 (Ω_in = 0.609 from raw files). NGC4157 passes the numerical gate (Ω_in = 1.212) but is a central-deficit crossing object (u(R₀) = −1.07) and the strongest local-shape outlier in the clean LTG buffered sample (Mahalanobis D² = 25.4, rank 1 of 75). No confirmed LTG H+ objects exist.</w:t>
      </w:r>
    </w:p>
    <w:p>
      <w:pPr>
        <w:pStyle w:val="Heading1"/>
        <w:spacing w:after="180" w:before="360"/>
      </w:pPr>
      <w:r>
        <w:rPr>
          <w:rFonts w:ascii="Arial" w:cs="Arial" w:eastAsia="Arial" w:hAnsi="Arial"/>
          <w:b/>
          <w:bCs/>
          <w:sz w:val="32"/>
          <w:szCs w:val="32"/>
        </w:rPr>
        <w:t xml:space="preserve">12.  Falsification Controls</w:t>
      </w:r>
    </w:p>
    <w:p>
      <w:pPr>
        <w:spacing w:after="80" w:before="80"/>
        <w:jc w:val="left"/>
      </w:pPr>
      <w:r>
        <w:rPr>
          <w:rFonts w:ascii="Arial" w:cs="Arial" w:eastAsia="Arial" w:hAnsi="Arial"/>
          <w:sz w:val="22"/>
          <w:szCs w:val="22"/>
        </w:rPr>
        <w:t xml:space="preserve">Sign gate isolation (NGC3838 vs NGC3626): both in the viable profile locus, both outer-feasible, both inner-feasible. H(0.3) = 1.8664 vs 1.8668 — near-identical normalised deficit shapes. The split is entirely due to absolute inner baryonic amplitude: V̄_bar(r_in) = 194 km/s (Ω_in = 0.705) vs 284 km/s (Ω_in = 1.316).</w:t>
      </w:r>
    </w:p>
    <w:p>
      <w:pPr>
        <w:spacing w:after="80" w:before="80"/>
        <w:jc w:val="left"/>
      </w:pPr>
      <w:r>
        <w:rPr>
          <w:rFonts w:ascii="Arial" w:cs="Arial" w:eastAsia="Arial" w:hAnsi="Arial"/>
          <w:sz w:val="22"/>
          <w:szCs w:val="22"/>
        </w:rPr>
        <w:t xml:space="preserve">Outer demand isolation (NGC4203 vs NGC3626): both H+ (Ω_in &gt; 1). NGC4203 has S = 10.07 vs 0.534, and u = 1.337 &gt; 1. It fails both inner feasibility and outer capacity independently.</w:t>
      </w:r>
    </w:p>
    <w:p>
      <w:pPr>
        <w:spacing w:after="80" w:before="80"/>
        <w:jc w:val="left"/>
      </w:pPr>
      <w:r>
        <w:rPr>
          <w:rFonts w:ascii="Arial" w:cs="Arial" w:eastAsia="Arial" w:hAnsi="Arial"/>
          <w:sz w:val="22"/>
          <w:szCs w:val="22"/>
        </w:rPr>
        <w:t xml:space="preserve">Disk-buffered outer isolation (NGC3941 vs UGC6176): X_out = 2.308 vs 2.240, f_bul = 0.086 vs 0.086 (identical). The outer disk term is the sole separator. Keplerian tail log-slope = −0.500 for all six buffered ETGs.</w:t>
      </w:r>
    </w:p>
    <w:p>
      <w:pPr>
        <w:spacing w:after="80" w:before="80"/>
        <w:jc w:val="left"/>
      </w:pPr>
      <w:r>
        <w:rPr>
          <w:rFonts w:ascii="Arial" w:cs="Arial" w:eastAsia="Arial" w:hAnsi="Arial"/>
          <w:sz w:val="22"/>
          <w:szCs w:val="22"/>
        </w:rPr>
        <w:t xml:space="preserve">Stage-4 external independence (N=16, 21 variables tested): no tested external ATLAS3D variable (σ, fDM, M/L, stellar population gradients, gas/star PA offset) reaches p &lt; 0.10 against Stage-4 residuals. The maximum observed |r| = 0.420 (outer ZH vs Stage-4 residual) is weaker than expected under a 21-variable multiple-comparison null (permutation p = 0.82, N = 50,000 shuffles). Stage-4 is an internal disk-density/geometry relation.</w:t>
      </w:r>
    </w:p>
    <w:p>
      <w:pPr>
        <w:pStyle w:val="Heading1"/>
        <w:spacing w:after="180" w:before="360"/>
      </w:pPr>
      <w:r>
        <w:rPr>
          <w:rFonts w:ascii="Arial" w:cs="Arial" w:eastAsia="Arial" w:hAnsi="Arial"/>
          <w:b/>
          <w:bCs/>
          <w:sz w:val="32"/>
          <w:szCs w:val="32"/>
        </w:rPr>
        <w:t xml:space="preserve">13.  Computation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Context</w:t>
            </w:r>
          </w:p>
        </w:tc>
        <w:tc>
          <w:tcPr>
            <w:tcW w:type="dxa" w:w="6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Convention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Inner profile quantities (Q12, Q14, Δ, S, U_max)</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Interpolate V² directly. Do NOT interpolate V then square.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radial u(r) profiles, crossing-window work</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Interpolate V_obs in V-space then square. Interpolate disk/bulge in V²-space.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memory law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Use exact gas-dependent form: L_eff = 1.8h[1 + S_mem(1 − exp(−memory_load/S_mem))]. Saturated approximation is not canonical.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integration grid</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Require n_y ≥ 2000 for 4-digit stability.</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 &lt; 1.70 threshold</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Motivated by regression-implied crossing U_max = U*. ETG S* = 1.699, LTG S* = 1.69–1.73.</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Baryonic convention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V̄²_bar = V²_gas + 0.5 V²_disk + 0.7 V²_bul. M/L_disk = 0.5, M/L_bul = 0.7.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 classifier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Computed on N=55 buffered galaxies with valid S_inner. 22 buffered galaxies have no valid inner variables.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R₉₀</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Trapezoidal 2πRΣ integration of disk mass profile. Minor quadrature differences do not affect fit to 4 significant figures.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Σ</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Mean mass surface density over 0.80–1.00 r_out from high-resolution disk.dat (column 2).</w:t>
            </w:r>
          </w:p>
        </w:tc>
      </w:tr>
      <w:tr>
        <w:tc>
          <w:p>
            <w:pPr>
              <w:spacing w:after="40" w:before="40"/>
            </w:pPr>
            <w:r>
              <w:rPr>
                <w:rFonts w:ascii="Arial" w:cs="Arial" w:eastAsia="Arial" w:hAnsi="Arial"/>
                <w:sz w:val="20"/>
                <w:szCs w:val="20"/>
              </w:rPr>
              <w:t xml:space="preserve">Stage-4 ETG h (v14 locked)</w:t>
            </w:r>
          </w:p>
        </w:tc>
        <w:tc>
          <w:p>
            <w:pPr>
              <w:spacing w:after="40" w:before="40"/>
            </w:pPr>
            <w:r>
              <w:rPr>
                <w:rFonts w:ascii="Arial" w:cs="Arial" w:eastAsia="Arial" w:hAnsi="Arial"/>
                <w:sz w:val="20"/>
                <w:szCs w:val="20"/>
              </w:rPr>
              <w:t xml:space="preserve">Log-linear exponential fit to ALL positive Sigma(R) points in high-resolution _disk.dat (not restricted to R ≤ r_out). Within-r_out restriction fails for NGC2824 (Δh = −0.45 kpc) and others where disk emission extends beyond r_out. Mean deviation from v15 locked values: &lt;0.001 kpc. Using all-positive recomputed h gives equivalent Stage-4 performance (Full16 LOO 0.312, HL12 LOO 0.403).</w:t>
            </w:r>
          </w:p>
        </w:tc>
      </w:tr>
    </w:tbl>
    <w:p>
      <w:pPr>
        <w:spacing w:after="40" w:before="40"/>
      </w:pPr>
      <w:r>
        <w:t xml:space="preserve"/>
      </w:r>
    </w:p>
    <w:p>
      <w:pPr>
        <w:pStyle w:val="Heading1"/>
        <w:spacing w:after="180" w:before="360"/>
      </w:pPr>
      <w:r>
        <w:rPr>
          <w:rFonts w:ascii="Arial" w:cs="Arial" w:eastAsia="Arial" w:hAnsi="Arial"/>
          <w:b/>
          <w:bCs/>
          <w:sz w:val="32"/>
          <w:szCs w:val="32"/>
        </w:rPr>
        <w:t xml:space="preserve">14.  Framework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Level</w:t>
            </w:r>
          </w:p>
        </w:tc>
        <w:tc>
          <w:tcPr>
            <w:tcW w:type="dxa" w:w="8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Content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Background transport (Γ₀, L, q)</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Photometric closure (L_pred = 2kh)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Memory saturation (L_eff, zero parameters)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4</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Response shape (q = 1 + n_out)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LTG/ETG population separation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6</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four-condition intersection (Δ, Q14, Ω_in, u)</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sign-changing H+ sector (gate, suppression, outer capacity, branch law)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chain reduction (X_out, R_d, Stage-4 disk-force law)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9</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Radial threshold structure (u(r) law, δu = 1−u, buffered profile collapse, geometric c1 identity)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Universal S-law (U_max ≈ 0.23–0.24 − 0.058 ln(S), R²≈0.85–0.92); LTG outer route split; LTG buffered regime split (52 upward / 25 single-crossing); Q12–Q14 inner law</w:t>
            </w:r>
          </w:p>
        </w:tc>
      </w:tr>
    </w:tbl>
    <w:p>
      <w:pPr>
        <w:spacing w:after="40" w:before="40"/>
      </w:pPr>
      <w:r>
        <w:t xml:space="preserve"/>
      </w:r>
    </w:p>
    <w:p>
      <w:pPr>
        <w:pStyle w:val="Heading1"/>
        <w:spacing w:after="180" w:before="360"/>
      </w:pPr>
      <w:r>
        <w:rPr>
          <w:rFonts w:ascii="Arial" w:cs="Arial" w:eastAsia="Arial" w:hAnsi="Arial"/>
          <w:b/>
          <w:bCs/>
          <w:sz w:val="32"/>
          <w:szCs w:val="32"/>
        </w:rPr>
        <w:t xml:space="preserve">15.  Derived vs Empirical Status</w:t>
      </w:r>
    </w:p>
    <w:p>
      <w:pPr>
        <w:pStyle w:val="Heading2"/>
        <w:spacing w:after="120" w:before="240"/>
      </w:pPr>
      <w:r>
        <w:rPr>
          <w:rFonts w:ascii="Arial" w:cs="Arial" w:eastAsia="Arial" w:hAnsi="Arial"/>
          <w:b/>
          <w:bCs/>
          <w:sz w:val="26"/>
          <w:szCs w:val="26"/>
        </w:rPr>
        <w:t xml:space="preserve">Derived</w:t>
      </w:r>
    </w:p>
    <w:p>
      <w:pPr>
        <w:spacing w:after="80" w:before="80"/>
        <w:jc w:val="left"/>
      </w:pPr>
      <w:r>
        <w:rPr>
          <w:rFonts w:ascii="Arial" w:cs="Arial" w:eastAsia="Arial" w:hAnsi="Arial"/>
          <w:sz w:val="22"/>
          <w:szCs w:val="22"/>
        </w:rPr>
        <w:t xml:space="preserve">Transport equation and background law; photometric closure; memory-load structure; suppression operator form; H+ sign-change mechanism; exact outer viability boundary X_out &lt; R_max/(1 − R_d − R_b); exact identity δu = (X_crit − X_out)/X_crit; structural form of Stage-4 disk-force law; crossing-window geometric identity c1 = −δu/(1 − x_cross) [new v13].</w:t>
      </w:r>
    </w:p>
    <w:p>
      <w:pPr>
        <w:pStyle w:val="Heading2"/>
        <w:spacing w:after="120" w:before="240"/>
      </w:pPr>
      <w:r>
        <w:rPr>
          <w:rFonts w:ascii="Arial" w:cs="Arial" w:eastAsia="Arial" w:hAnsi="Arial"/>
          <w:b/>
          <w:bCs/>
          <w:sz w:val="26"/>
          <w:szCs w:val="26"/>
        </w:rPr>
        <w:t xml:space="preserve">Empirical (verified from raw files)</w:t>
      </w:r>
    </w:p>
    <w:p>
      <w:pPr>
        <w:spacing w:after="80" w:before="80"/>
        <w:jc w:val="left"/>
      </w:pPr>
      <w:r>
        <w:rPr>
          <w:rFonts w:ascii="Arial" w:cs="Arial" w:eastAsia="Arial" w:hAnsi="Arial"/>
          <w:sz w:val="22"/>
          <w:szCs w:val="22"/>
        </w:rPr>
        <w:t xml:space="preserve">q ≈ 0.77; R_max = 1.758948; U* = 0.201803; A_loc = 3.344 (3-galaxy calibration); Stage-4 exponents a ≈ 0.84, b ≈ 1.72 (full sample); buffered profile collapse u(x) ≈ 1 − 1.587(x−1) + 1.398(x−1)²; outer bulge Keplerian tail log-slope = −0.500; K_full = 0.03060, K_hl = 0.03372; LTG buffered split 52/25; regime classifier AUC = 0.912 (N=55); single-crossing outer error two-scalar model: outer_MAE ≈ −10.4 + 8.6g + 10.5 L_gap (strict N=19, LOO RMSE ≈ 10.1 km/s); severity ranking Pearson = 0.935, Spearman = 0.888; S-law A ≈ 0.240, B ≈ −0.070, R² ≈ 0.919 (LTG); A ≈ 0.233, B ≈ −0.058, R² ≈ 0.851 (ETG); L_gap independence: corr(g, L_gap) ≈ 0 (VIF ≈ 1.000), partial r = 0.852; crossing-window c1 geometric identity RMSE = 0.07, Pearson r = 0.998, Spearman = 1.000 [new v13]; CDC-low-load branch: N=17, median outer MAE = 12.75 km/s; disk-buffered triple-population confirmation: combined rank 1/120 (p = 0.008) [new v13]; Stage-4 HL12 route-class improvement: LOO 0.444 → 0.361, rank 447/1820 subsets [new v13]; CDC-low fully characterised: 15 disk-driven, 2 bulge-driven overcorrection; R₀/r_out best calibrated inner-error predictor (R² = 0.60, LOO = 6.81 km/s) [new v15]; Priority L late-load diagnostic: precision = 1.000, recall = 0.500, one-sided MW p = 0.000172 [new v15]; Priority L compact-disk negative tendency: one-sided MW p = 0.045 [new v15]; Stage-4 HL12 minus NGC3998 cleanest row: R² = 0.949, LOO = 0.197, b = 1.689 [new v15]; ETG endpoint PC1 = 99.68%; LTG strict-19 endpoint PC1 = 89.76% (fair comparison) [new v15].</w:t>
      </w:r>
    </w:p>
    <w:p>
      <w:pPr>
        <w:pStyle w:val="Heading2"/>
        <w:spacing w:after="120" w:before="240"/>
      </w:pPr>
      <w:r>
        <w:rPr>
          <w:rFonts w:ascii="Arial" w:cs="Arial" w:eastAsia="Arial" w:hAnsi="Arial"/>
          <w:b/>
          <w:bCs/>
          <w:sz w:val="26"/>
          <w:szCs w:val="26"/>
        </w:rPr>
        <w:t xml:space="preserve">Provisional / unresolved</w:t>
      </w:r>
    </w:p>
    <w:p>
      <w:pPr>
        <w:spacing w:after="80" w:before="80"/>
        <w:jc w:val="left"/>
      </w:pPr>
      <w:r>
        <w:rPr>
          <w:rFonts w:ascii="Arial" w:cs="Arial" w:eastAsia="Arial" w:hAnsi="Arial"/>
          <w:sz w:val="22"/>
          <w:szCs w:val="22"/>
        </w:rPr>
        <w:t xml:space="preserve">Priority D — Two-channel H+ confirmation: NGC4203 solution needs an independent second two-channel object. No LTG candidates survive Priority O. Priority F — Stage-4 exponent derivation: exponents a ≈ 2, b ≈ −1 in H_real not derived from first principles; Freeman exponential-disk proxy is competitive (LOO within 0.04 log units of canonical for HL12 minus NGC3998) but does not replace the empirical row; disk self-gravity scaling argument remains open. Priority G — ETG/LTG crossing-window gap: ETG endpoint PC1 = 99.68% confirmed; LTG strict-19 endpoint PC1 = 89.76% (fair comparison); gap ≈ 10 pp is real and theoretically unresolved. Priority L — single-crossing L_eff correction: two-scalar g + L_gap model locked as provisional (strict N=19, clean N=18); edge cases NGC3953 (threshold-fragile, n_outer=1) and UGC04325 (n_outer=1) documented; n_outer ≥ 2 robustness rows stable within &lt;1 km/s LOO; full six-class residual taxonomy documented (EXP20); late-load flag (u_out &gt; 0.64 AND h/r_out &gt; 0.095) precision=1.000, recall=0.500 (EXP8/EXP20); compact-disk negative-residual tendency confirmed (one-sided MW p=0.045) but not a high-precision standalone classifier (EXP21); three-variable extensions fail jackknife sign-stability. CDC-low — fully characterised (v15): branch caused by SPARC baryonic overcorrection at R₀, not dark-matter deficit; 15 disk-driven, 2 bulge-driven; best calibrated inner-error predictor R₀/r_out (LOO=6.81); stellar overcorrection ratio is rank-order diagnostic only; no correction law. Stage-4 outlier interaction fully documented (EXP16): HL12 minus NGC3998 is cleanest row (R²=0.949, LOO=0.197, b=1.689); NGC5582 controls HL12 geometry preference; HL exact coefficient rows remain provisional. Stage-4 ETG h values source-locked as full-positive _disk.dat exponential scale lengths. IllustrisTNG/EAGLE test: not yet attempted.</w:t>
      </w:r>
    </w:p>
    <w:p>
      <w:pPr>
        <w:spacing w:after="80" w:before="80"/>
        <w:jc w:val="left"/>
      </w:pPr>
      <w:r>
        <w:rPr>
          <w:rFonts w:ascii="Arial" w:cs="Arial" w:eastAsia="Arial" w:hAnsi="Arial"/>
          <w:sz w:val="22"/>
          <w:szCs w:val="22"/>
        </w:rPr>
        <w:t xml:space="preserve">Resolved in v13 (removed from provisional): Priority K (xcross→c1) is now a closed geometric identity. The Z/R_b LOO organiser (v12 provisional) is confirmed falsified; the underlying mode is captured by c1 directly. Stage-4 HL12 improvement is now characterised as route-class conditioned (Experiment 13). Disk-buffered external-population distinctiveness is confirmed with three-indicator combined rank test (Experiment 15).</w:t>
      </w:r>
    </w:p>
    <w:p>
      <w:pPr>
        <w:pStyle w:val="Heading2"/>
        <w:spacing w:after="120" w:before="240"/>
      </w:pPr>
      <w:r>
        <w:rPr>
          <w:rFonts w:ascii="Arial" w:cs="Arial" w:eastAsia="Arial" w:hAnsi="Arial"/>
          <w:b/>
          <w:bCs/>
          <w:sz w:val="26"/>
          <w:szCs w:val="26"/>
        </w:rPr>
        <w:t xml:space="preserve">Open theoretical targets</w:t>
      </w:r>
    </w:p>
    <w:p>
      <w:pPr>
        <w:spacing w:after="80" w:before="80"/>
        <w:jc w:val="left"/>
      </w:pPr>
      <w:r>
        <w:rPr>
          <w:rFonts w:ascii="Arial" w:cs="Arial" w:eastAsia="Arial" w:hAnsi="Arial"/>
          <w:sz w:val="22"/>
          <w:szCs w:val="22"/>
        </w:rPr>
        <w:t xml:space="preserve">A. First-principles derivation of λ_B and branch coefficient A ≈ 3.34. B. Extension beyond 3-galaxy single-channel calibration. C. Physical mechanism connecting λ_exc to transport dynamics. D. Confirm independent second two-channel H+ galaxy (Priority D). E. Derivation of Stage-4 exponents from ETG disk profile structure; Freeman proxy is competitive but not yet derived. F. Lock Priority L applicability conditions; the six-class residual taxonomy is diagnostic but a formal correction criterion for the late-load and compact-disk classes remains open. G. Formal dynamical derivation of ETG crossing-window universality; explain the ETG endpoint PC1 = 99.68% vs LTG strict-19 endpoint PC1 = 89.76% gap of ≈10 pp. H. IllustrisTNG/EAGLE test.</w:t>
      </w:r>
    </w:p>
    <w:p>
      <w:pPr>
        <w:pStyle w:val="Heading1"/>
        <w:spacing w:after="180" w:before="360"/>
      </w:pPr>
      <w:r>
        <w:rPr>
          <w:rFonts w:ascii="Arial" w:cs="Arial" w:eastAsia="Arial" w:hAnsi="Arial"/>
          <w:b/>
          <w:bCs/>
          <w:sz w:val="32"/>
          <w:szCs w:val="32"/>
        </w:rPr>
        <w:t xml:space="preserve">16.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500"/>
        <w:gridCol w:w="2000"/>
        <w:gridCol w:w="1960"/>
      </w:tblGrid>
      <w:tr>
        <w:trPr>
          <w:tblHeader/>
        </w:trPr>
        <w:tc>
          <w:tcPr>
            <w:tcW w:type="dxa" w:w="2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Population</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2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Model/Test</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Metric</w:t>
            </w:r>
          </w:p>
        </w:tc>
        <w:tc>
          <w:tcPr>
            <w:tcW w:type="dxa" w:w="19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Value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Upward-crossing buffered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21.28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Single-crossing buffered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27.59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Upward vs single-crossing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Welch t-test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RMSE p-value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0.00985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outer routes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 crossing analysis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 / buffered</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81 / 77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outer infeasible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u(r_out) ≥ 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Count</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Regime classifier</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g_sep = −u(R₀)+0.35S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S-law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 A + B ln(S)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S-law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 A + B ln(S)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 &lt; 1.70 threshold (LTG)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vs U_max ≥ 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Accuracy</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135/141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gate (16 ETGs)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X_out &lt; R_max/(1−R_d)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Classification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16/16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Buffered-branch ID (AUC)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R_d alone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0.964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Kernel law (full ETG)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H_real ∝ z² η^−0.92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K_full / K_hl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Normalised kernel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 constants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0.03060 / 0.03372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δu identity (all ETGs)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δu = (X_crit−X_out)/X_crit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Max error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 5×10⁻¹⁶</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Single-crossing error model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 + L_gap (Priority L, prov.)</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LOO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10.1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CDC-low-load branch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u(R₀) &lt; 0, max u &lt; 1, low-load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Count / median outer MAE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 / 12.75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geometric identity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 −δu/(1−x_cross)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Pearson r / Spearman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0.998 / 1.000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identity RMSE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Parameter-free, no fitting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RMSE (log units)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 triple signal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 ETGs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 external population indicators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Combined rank / 120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 (p=0.008)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HL12 route-class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Excluding 4 non-main-route ETGs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LOO RMSE (log units)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0.361 vs 0.444 full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external null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 ATLAS3D variables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Max |Pearson 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0.420 (p=0.82 permutation)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Priority L late-load flag [v15]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u_out &gt; 0.64 AND h/r_out &gt; 0.095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Precision / Recall</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1.000 / 0.500; p=0.000172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CDC-low origin [v15]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SPARC overcorrection at R₀; 15 disk / 2 bulge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R₀/r_out inner-error R² / LOO</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0.599 / 6.81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HL12 minus NGC3998 [v15]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Cleanest HL12 calibration row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 / LOO / b</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0.949 / 0.197 / 1.689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vs LTG crossing-window [v15]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 / 19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Endpoint-normalised PC1, guard-aware comparison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 LTG strict-19 endpoint PC1</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99.68% / 89.76% (gap ≈10 pp)</w:t>
            </w:r>
          </w:p>
        </w:tc>
      </w:tr>
    </w:tbl>
    <w:p>
      <w:pPr>
        <w:spacing w:after="40" w:before="40"/>
      </w:pPr>
      <w:r>
        <w:t xml:space="preserve"/>
      </w:r>
    </w:p>
    <w:p>
      <w:pPr>
        <w:spacing w:after="60" w:before="60"/>
      </w:pPr>
      <w:r>
        <w:rPr>
          <w:rFonts w:ascii="Arial" w:cs="Arial" w:eastAsia="Arial" w:hAnsi="Arial"/>
          <w:i/>
          <w:iCs/>
          <w:sz w:val="22"/>
          <w:szCs w:val="22"/>
        </w:rPr>
        <w:t xml:space="preserve">*AUC for regime classifier conditions on 55 buffered galaxies with valid S_inner. Priority L strict set: single-crossing galaxies with h ≥ R₀ (N=19); clean set additionally requires x_cross &gt; 0.10 (N=18).</w:t>
      </w:r>
    </w:p>
    <w:p>
      <w:pPr>
        <w:pStyle w:val="Heading1"/>
        <w:spacing w:after="180" w:before="360"/>
      </w:pPr>
      <w:r>
        <w:rPr>
          <w:rFonts w:ascii="Arial" w:cs="Arial" w:eastAsia="Arial" w:hAnsi="Arial"/>
          <w:b/>
          <w:bCs/>
          <w:sz w:val="32"/>
          <w:szCs w:val="32"/>
        </w:rPr>
        <w:t xml:space="preserve">17.  Conclusion</w:t>
      </w:r>
    </w:p>
    <w:p>
      <w:pPr>
        <w:spacing w:after="80" w:before="80"/>
        <w:jc w:val="left"/>
      </w:pPr>
      <w:r>
        <w:rPr>
          <w:rFonts w:ascii="Arial" w:cs="Arial" w:eastAsia="Arial" w:hAnsi="Arial"/>
          <w:sz w:val="22"/>
          <w:szCs w:val="22"/>
        </w:rPr>
        <w:t xml:space="preserve">The MTS framework yields a transport-response law for disk galaxies with cosmological normalisation, photometric scale closure, zero-parameter memory correction, and emergent response branching.</w:t>
      </w:r>
    </w:p>
    <w:p>
      <w:pPr>
        <w:spacing w:after="80" w:before="80"/>
        <w:jc w:val="left"/>
      </w:pPr>
      <w:r>
        <w:rPr>
          <w:rFonts w:ascii="Arial" w:cs="Arial" w:eastAsia="Arial" w:hAnsi="Arial"/>
          <w:sz w:val="22"/>
          <w:szCs w:val="22"/>
        </w:rPr>
        <w:t xml:space="preserve">LTGs follow a closed first-order law with memory-driven corrections. The current-formula global median RMSE is 17.15 km/s (N=175). The LTG buffered branch splits into 52 upward-crossing and 25 single-crossing objects, predictable from initial load u(R₀) and inner concentration S_inner (AUC = 0.912). Single-crossing outer error is organised by the provisional two-scalar model outer_MAE ≈ −10.4 + 8.6g + 10.5(L_sat − L_exact), where g = memory_load × x_cross (LOO RMSE ≈ 10 km/s, strict N=19; Spearman severity ranking = 0.888). A late-load diagnostic (u_out &gt; 0.64 AND h/r_out &gt; 0.095) identifies the underprediction class with precision = 1.000, recall = 0.500. A compact-disk tendency in the overprediction class is confirmed (one-sided p = 0.045) but is not a high-precision classifier. Residual LOO values do not correlate with g or L_gap themselves. A further 17 galaxies form the CDC-low-load branch (u(R₀) &lt; 0, max u(r) &lt; 1), caused by SPARC baryonic component overcorrection at R₀ (15 disk-driven, 2 bulge-driven) rather than dark-matter deficit; the best calibrated inner-error predictor is R₀/r_out (R² = 0.60, LOO = 6.81 km/s); no outer MAE correction law exists.</w:t>
      </w:r>
    </w:p>
    <w:p>
      <w:pPr>
        <w:spacing w:after="80" w:before="80"/>
        <w:jc w:val="left"/>
      </w:pPr>
      <w:r>
        <w:rPr>
          <w:rFonts w:ascii="Arial" w:cs="Arial" w:eastAsia="Arial" w:hAnsi="Arial"/>
          <w:sz w:val="22"/>
          <w:szCs w:val="22"/>
        </w:rPr>
        <w:t xml:space="preserve">ETGs form a multi-family, multi-sign response sector governed by a four-condition intersection. The outer gate factorises exactly into X_out and R_d. The viability boundary X_out &lt; R_max/(1 − R_d) classifies all 16 ETGs correctly. Buffered ETGs share a common rescaled radial approach profile (u(x) ≈ 1 − 1.587(x−1) + 1.398(x−1)², ETG crossing-window PC1 = 99.82% independently confirmed; all-LTG u-profile PC1 ≈ 0.81 reflects route-class mixing, not a weaker attractor), with per-galaxy slopes determined by the parameter-free geometric identity c1 = −δu/(1 − x_cross) (Pearson r = 0.998, Spearman = 1.000, no free parameters). This result, closed in v13, confirms that the crossing-window variation is a geometric consequence of the available post-crossing radial interval rather than an independent empirical datum. The outer chain reduces to a density-plus-geometry disk-force kernel law (K_full = 0.03060, R² = 0.931).</w:t>
      </w:r>
    </w:p>
    <w:p>
      <w:pPr>
        <w:spacing w:after="80" w:before="80"/>
        <w:jc w:val="left"/>
      </w:pPr>
      <w:r>
        <w:rPr>
          <w:rFonts w:ascii="Arial" w:cs="Arial" w:eastAsia="Arial" w:hAnsi="Arial"/>
          <w:sz w:val="22"/>
          <w:szCs w:val="22"/>
        </w:rPr>
        <w:t xml:space="preserve">A universal completion-ratio law U_max ≈ A − B ln(S) holds across both galaxy types (LTG: R² = 0.919, ETG: R² = 0.851), with both regression lines implying a threshold crossing near S ≈ 1.70. The disk-buffered ETG branch is externally validated by three independent population indicators — outward age increase, metallicity gradient, and radial M/L decline — jointly ranking first among all 120 ETG pairs with p = 0.008. No confirmed LTG H+ objects exist.</w:t>
      </w:r>
    </w:p>
    <w:p>
      <w:pPr>
        <w:pStyle w:val="Heading1"/>
        <w:spacing w:after="180" w:before="360"/>
      </w:pPr>
      <w:r>
        <w:rPr>
          <w:rFonts w:ascii="Arial" w:cs="Arial" w:eastAsia="Arial" w:hAnsi="Arial"/>
          <w:b/>
          <w:bCs/>
          <w:sz w:val="32"/>
          <w:szCs w:val="32"/>
        </w:rPr>
        <w:t xml:space="preserve">18.  Methods and Data</w:t>
      </w:r>
    </w:p>
    <w:p>
      <w:pPr>
        <w:spacing w:after="80" w:before="80"/>
        <w:jc w:val="left"/>
      </w:pPr>
      <w:r>
        <w:rPr>
          <w:rFonts w:ascii="Arial" w:cs="Arial" w:eastAsia="Arial" w:hAnsi="Arial"/>
          <w:sz w:val="22"/>
          <w:szCs w:val="22"/>
        </w:rPr>
        <w:t xml:space="preserve">Data: SPARC ROTMOD files (Lelli et al. 2016, 175 disk galaxies). ETG rotation curves from ATLAS3D (16 galaxies, Rotmod_ETG.zip). High-resolution bulge/disk component profiles (_disk.dat, _bulge.dat) used for all inner-branch and outer-chain computations.</w:t>
      </w:r>
    </w:p>
    <w:p>
      <w:pPr>
        <w:spacing w:after="80" w:before="80"/>
        <w:jc w:val="left"/>
      </w:pPr>
      <w:r>
        <w:rPr>
          <w:rFonts w:ascii="Arial" w:cs="Arial" w:eastAsia="Arial" w:hAnsi="Arial"/>
          <w:sz w:val="22"/>
          <w:szCs w:val="22"/>
        </w:rPr>
        <w:t xml:space="preserve">External datasets cross-matched in v13: Krajnovic et al. (2020) ATLAS3D stellar population radial profiles (16/16 ETG coverage); Poci et al. (2017) 2D stellar M/L maps (MLSTARR, 16/16 coverage); ATLAS3D stellar kinematics (VPXF, 16/16); ATLAS3D ionised-gas maps (V_OIII_GAS, 16/16); Serra et al. (2012) HI moment maps (15/16, NGC2974 absent); BulgeDiskDec ETG photometric density files (16/16). CO single-dish archive and Serra2012 HI archive are ATLAS3D ETG-only and have 0/17 overlap with the CDC-low LTG branch.</w:t>
      </w:r>
    </w:p>
    <w:p>
      <w:pPr>
        <w:spacing w:after="80" w:before="80"/>
        <w:jc w:val="left"/>
      </w:pPr>
      <w:r>
        <w:rPr>
          <w:rFonts w:ascii="Arial" w:cs="Arial" w:eastAsia="Arial" w:hAnsi="Arial"/>
          <w:sz w:val="22"/>
          <w:szCs w:val="22"/>
        </w:rPr>
        <w:t xml:space="preserve">Baryonic convention: V̄²_bar = V²_gas + 0.5 V²_disk + 0.7 V²_bul; M/L_disk = 0.5, M/L_bul = 0.7. File comments: ROTMOD files use comments="#"; bulge/disk component files use comments="!". G_supp must use the IBP form. Canonical r_in values: NGC2685 = 0.310, NGC3626 = 0.370, NGC3941 = 0.270, NGC4203 = 0.460 kpc (locked). Framework constants: Γ₀ = 809.956 km²/s²/kpc; R_max = 1.758948; U* = 0.201803. Evaluation: RMSE = √(mean[(V_model − V_obs)²]). All tables verified from raw ETG and LTG files using the exact gas-dependent memory law.</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D9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2026-04-26T23:21:52.813Z</dcterms:created>
  <dcterms:modified xsi:type="dcterms:W3CDTF">2026-04-26T23:21:52.814Z</dcterms:modified>
</cp:coreProperties>
</file>

<file path=docProps/custom.xml><?xml version="1.0" encoding="utf-8"?>
<Properties xmlns="http://schemas.openxmlformats.org/officeDocument/2006/custom-properties" xmlns:vt="http://schemas.openxmlformats.org/officeDocument/2006/docPropsVTypes"/>
</file>