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48"/>
          <w:szCs w:val="48"/>
        </w:rPr>
        <w:t xml:space="preserve">MTS Galaxy Law</w:t>
      </w:r>
    </w:p>
    <w:p>
      <w:pPr>
        <w:spacing w:after="120" w:before="0"/>
        <w:jc w:val="center"/>
      </w:pPr>
      <w:r>
        <w:rPr>
          <w:rFonts w:ascii="Arial" w:cs="Arial" w:eastAsia="Arial" w:hAnsi="Arial"/>
          <w:b/>
          <w:bCs/>
          <w:sz w:val="30"/>
          <w:szCs w:val="30"/>
        </w:rPr>
        <w:t xml:space="preserve">The Motion–Timespace (MTS) Galaxy Law:</w:t>
      </w:r>
    </w:p>
    <w:p>
      <w:pPr>
        <w:spacing w:after="240" w:before="0"/>
        <w:jc w:val="center"/>
      </w:pPr>
      <w:r>
        <w:rPr>
          <w:rFonts w:ascii="Arial" w:cs="Arial" w:eastAsia="Arial" w:hAnsi="Arial"/>
          <w:b/>
          <w:bCs/>
          <w:sz w:val="30"/>
          <w:szCs w:val="30"/>
        </w:rPr>
        <w:t xml:space="preserve">A Transport–Response Framework for Disk Galaxies</w:t>
      </w:r>
    </w:p>
    <w:p>
      <w:pPr>
        <w:spacing w:after="720" w:before="0"/>
        <w:jc w:val="center"/>
      </w:pPr>
      <w:r>
        <w:rPr>
          <w:rFonts w:ascii="Arial" w:cs="Arial" w:eastAsia="Arial" w:hAnsi="Arial"/>
          <w:i/>
          <w:iCs/>
          <w:color w:val="555555"/>
          <w:sz w:val="22"/>
          <w:szCs w:val="22"/>
        </w:rPr>
        <w:t xml:space="preserve">Version 11  —  post-verification draft</w:t>
      </w:r>
    </w:p>
    <w:p>
      <w:pPr>
        <w:pStyle w:val="Heading1"/>
        <w:spacing w:after="160" w:before="320"/>
      </w:pPr>
      <w:r>
        <w:rPr>
          <w:rFonts w:ascii="Arial" w:cs="Arial" w:eastAsia="Arial" w:hAnsi="Arial"/>
          <w:b/>
          <w:bCs/>
          <w:sz w:val="28"/>
          <w:szCs w:val="28"/>
        </w:rPr>
        <w:t xml:space="preserve">Abstract</w:t>
      </w:r>
    </w:p>
    <w:p>
      <w:pPr>
        <w:spacing w:after="100" w:before="100"/>
      </w:pPr>
      <w:r>
        <w:rPr>
          <w:rFonts w:ascii="Arial" w:cs="Arial" w:eastAsia="Arial" w:hAnsi="Arial"/>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Late-type galaxies (LTGs) follow a unified transport law with memory-driven corrections. The LTG buffered branch splits into 52 upward-crossing and 25 single-crossing outer-approach objects, predictable from initial load u(R₀) and inner concentration S_inner (AUC = 0.912 on valid-inner subset N = 55). 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Umax ≈ 0.23–0.24 − 0.058 ln(S) (R² ≈ 0.85–0.92) organises inner feasibility across both galaxy types.</w:t>
      </w:r>
    </w:p>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Note on performance tables: LTG global performance figures in earlier drafts (median RMSE 20.60 km/s, N=137; all-LTG 29.44 km/s, N=174) are mixed-provenance artefacts from previous formula versions and are not cited in this draft. Current-formula performance under the exact gas-dependent memory law is: all LTGs (N=175) median RMSE = 17.15 km/s, mean = 21.90 km/s. Route-resolved values are given in §4.</w:t>
      </w:r>
    </w:p>
    <w:p>
      <w:pPr>
        <w:pStyle w:val="Heading1"/>
        <w:spacing w:after="160" w:before="320"/>
      </w:pPr>
      <w:r>
        <w:rPr>
          <w:rFonts w:ascii="Arial" w:cs="Arial" w:eastAsia="Arial" w:hAnsi="Arial"/>
          <w:b/>
          <w:bCs/>
          <w:sz w:val="28"/>
          <w:szCs w:val="28"/>
        </w:rPr>
        <w:t xml:space="preserve">1.  Introduction</w:t>
      </w:r>
    </w:p>
    <w:p>
      <w:pPr>
        <w:spacing w:after="100" w:before="100"/>
      </w:pPr>
      <w:r>
        <w:rPr>
          <w:rFonts w:ascii="Arial" w:cs="Arial" w:eastAsia="Arial" w:hAnsi="Arial"/>
          <w:sz w:val="22"/>
          <w:szCs w:val="22"/>
        </w:rP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spacing w:after="160" w:before="320"/>
      </w:pPr>
      <w:r>
        <w:rPr>
          <w:rFonts w:ascii="Arial" w:cs="Arial" w:eastAsia="Arial" w:hAnsi="Arial"/>
          <w:b/>
          <w:bCs/>
          <w:sz w:val="28"/>
          <w:szCs w:val="28"/>
        </w:rPr>
        <w:t xml:space="preserve">2.  The MTS Framework</w:t>
      </w:r>
    </w:p>
    <w:p>
      <w:pPr>
        <w:pStyle w:val="Heading2"/>
        <w:spacing w:after="120" w:before="240"/>
      </w:pPr>
      <w:r>
        <w:rPr>
          <w:rFonts w:ascii="Arial" w:cs="Arial" w:eastAsia="Arial" w:hAnsi="Arial"/>
          <w:b/>
          <w:bCs/>
          <w:sz w:val="24"/>
          <w:szCs w:val="24"/>
        </w:rPr>
        <w:t xml:space="preserve">2.1  Emergent geometry</w:t>
      </w:r>
    </w:p>
    <w:p>
      <w:pPr>
        <w:spacing w:after="100" w:before="100"/>
      </w:pPr>
      <w:r>
        <w:rPr>
          <w:rFonts w:ascii="Arial" w:cs="Arial" w:eastAsia="Arial" w:hAnsi="Arial"/>
          <w:sz w:val="22"/>
          <w:szCs w:val="22"/>
        </w:rPr>
        <w:t xml:space="preserve">A scalar field ψ defines an emergent metric via coarse-grained gradient covariance:</w:t>
      </w:r>
    </w:p>
    <w:p>
      <w:pPr>
        <w:spacing w:after="120" w:before="120"/>
        <w:jc w:val="center"/>
      </w:pPr>
      <w:r>
        <w:rPr>
          <w:rFonts w:ascii="Courier New" w:cs="Courier New" w:eastAsia="Courier New" w:hAnsi="Courier New"/>
          <w:sz w:val="22"/>
          <w:szCs w:val="22"/>
        </w:rPr>
        <w:t xml:space="preserve">g_μν = η_μν + ⟨∂_μψ, ∂_νψ⟩</w:t>
      </w:r>
    </w:p>
    <w:p>
      <w:pPr>
        <w:pStyle w:val="Heading2"/>
        <w:spacing w:after="120" w:before="240"/>
      </w:pPr>
      <w:r>
        <w:rPr>
          <w:rFonts w:ascii="Arial" w:cs="Arial" w:eastAsia="Arial" w:hAnsi="Arial"/>
          <w:b/>
          <w:bCs/>
          <w:sz w:val="24"/>
          <w:szCs w:val="24"/>
        </w:rPr>
        <w:t xml:space="preserve">2.2  Curvature–exchange field</w:t>
      </w:r>
    </w:p>
    <w:p>
      <w:pPr>
        <w:spacing w:after="100" w:before="100"/>
      </w:pPr>
      <w:r>
        <w:rPr>
          <w:rFonts w:ascii="Arial" w:cs="Arial" w:eastAsia="Arial" w:hAnsi="Arial"/>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60" w:before="320"/>
      </w:pPr>
      <w:r>
        <w:rPr>
          <w:rFonts w:ascii="Arial" w:cs="Arial" w:eastAsia="Arial" w:hAnsi="Arial"/>
          <w:b/>
          <w:bCs/>
          <w:sz w:val="28"/>
          <w:szCs w:val="28"/>
        </w:rPr>
        <w:t xml:space="preserve">3.  Transport Equation and Background Law</w:t>
      </w:r>
    </w:p>
    <w:p>
      <w:pPr>
        <w:spacing w:after="100" w:before="100"/>
      </w:pPr>
      <w:r>
        <w:rPr>
          <w:rFonts w:ascii="Arial" w:cs="Arial" w:eastAsia="Arial" w:hAnsi="Arial"/>
          <w:sz w:val="22"/>
          <w:szCs w:val="22"/>
        </w:rPr>
        <w:t xml:space="preserve">The transport equation is:</w:t>
      </w:r>
    </w:p>
    <w:p>
      <w:pPr>
        <w:spacing w:after="120" w:before="120"/>
        <w:jc w:val="center"/>
      </w:pPr>
      <w:r>
        <w:rPr>
          <w:rFonts w:ascii="Courier New" w:cs="Courier New" w:eastAsia="Courier New" w:hAnsi="Courier New"/>
          <w:sz w:val="22"/>
          <w:szCs w:val="22"/>
        </w:rPr>
        <w:t xml:space="preserve">u^μ ∇_μ χ + χ/τ_Γ = Γ₀/4</w:t>
      </w:r>
    </w:p>
    <w:p>
      <w:pPr>
        <w:spacing w:after="100" w:before="100"/>
      </w:pPr>
      <w:r>
        <w:rPr>
          <w:rFonts w:ascii="Arial" w:cs="Arial" w:eastAsia="Arial" w:hAnsi="Arial"/>
          <w:sz w:val="22"/>
          <w:szCs w:val="22"/>
        </w:rPr>
        <w:t xml:space="preserve">In the stationary disk limit, with L = v_Γ τ_Γ, the background solution is:</w:t>
      </w:r>
    </w:p>
    <w:p>
      <w:pPr>
        <w:spacing w:after="120" w:before="120"/>
        <w:jc w:val="center"/>
      </w:pPr>
      <w:r>
        <w:rPr>
          <w:rFonts w:ascii="Courier New" w:cs="Courier New" w:eastAsia="Courier New" w:hAnsi="Courier New"/>
          <w:sz w:val="22"/>
          <w:szCs w:val="22"/>
        </w:rPr>
        <w:t xml:space="preserve">χ(r) = (Γ₀/4) L [1 − exp(−r/L)]</w:t>
      </w:r>
    </w:p>
    <w:p>
      <w:pPr>
        <w:spacing w:after="100" w:before="100"/>
      </w:pPr>
      <w:r>
        <w:rPr>
          <w:rFonts w:ascii="Arial" w:cs="Arial" w:eastAsia="Arial" w:hAnsi="Arial"/>
          <w:sz w:val="22"/>
          <w:szCs w:val="22"/>
        </w:rPr>
        <w:t xml:space="preserve">Mapping to observables via V²(r) = V̄²_bar(r) + χ(r), using the photometric closure L = k(j̄_har/V̄_har,hmr) with k ≈ 0.9, and the cosmological normalisation Γ₀ = cH₀/(8π), yields the zero-parameter background galaxy law.</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Working constants (all locked, verified from raw files):</w:t>
      </w:r>
    </w:p>
    <w:p>
      <w:pPr>
        <w:spacing w:after="100" w:before="100"/>
      </w:pPr>
      <w:r>
        <w:rPr>
          <w:rFonts w:ascii="Courier New" w:cs="Courier New" w:eastAsia="Courier New" w:hAnsi="Courier New"/>
          <w:sz w:val="20"/>
          <w:szCs w:val="20"/>
        </w:rPr>
        <w:t xml:space="preserve">Γ₀ = 809.956 km²/s²/kpc     R_max = 1.758948     q = 0.77 (global exponent)</w:t>
      </w:r>
    </w:p>
    <w:p>
      <w:pPr>
        <w:pStyle w:val="Heading1"/>
        <w:spacing w:after="160" w:before="320"/>
      </w:pPr>
      <w:r>
        <w:rPr>
          <w:rFonts w:ascii="Arial" w:cs="Arial" w:eastAsia="Arial" w:hAnsi="Arial"/>
          <w:b/>
          <w:bCs/>
          <w:sz w:val="28"/>
          <w:szCs w:val="28"/>
        </w:rPr>
        <w:t xml:space="preserve">4.  LTG Sector</w:t>
      </w:r>
    </w:p>
    <w:p>
      <w:pPr>
        <w:pStyle w:val="Heading2"/>
        <w:spacing w:after="120" w:before="240"/>
      </w:pPr>
      <w:r>
        <w:rPr>
          <w:rFonts w:ascii="Arial" w:cs="Arial" w:eastAsia="Arial" w:hAnsi="Arial"/>
          <w:b/>
          <w:bCs/>
          <w:sz w:val="24"/>
          <w:szCs w:val="24"/>
        </w:rPr>
        <w:t xml:space="preserve">4.1  Photometric closure</w:t>
      </w:r>
    </w:p>
    <w:p>
      <w:pPr>
        <w:spacing w:after="100" w:before="100"/>
      </w:pPr>
      <w:r>
        <w:rPr>
          <w:rFonts w:ascii="Arial" w:cs="Arial" w:eastAsia="Arial" w:hAnsi="Arial"/>
          <w:sz w:val="22"/>
          <w:szCs w:val="22"/>
        </w:rPr>
        <w:t xml:space="preserve">For exponential disks, j̄_har = 2hV_φα, giving L_pred = 2kh ≈ 1.8h. This closure stabilises the scale law.</w:t>
      </w:r>
    </w:p>
    <w:p>
      <w:pPr>
        <w:pStyle w:val="Heading2"/>
        <w:spacing w:after="120" w:before="240"/>
      </w:pPr>
      <w:r>
        <w:rPr>
          <w:rFonts w:ascii="Arial" w:cs="Arial" w:eastAsia="Arial" w:hAnsi="Arial"/>
          <w:b/>
          <w:bCs/>
          <w:sz w:val="24"/>
          <w:szCs w:val="24"/>
        </w:rPr>
        <w:t xml:space="preserve">4.2  Transport memory law (canonical convention)</w:t>
      </w:r>
    </w:p>
    <w:p>
      <w:pPr>
        <w:spacing w:after="100" w:before="100"/>
      </w:pPr>
      <w:r>
        <w:rPr>
          <w:rFonts w:ascii="Arial" w:cs="Arial" w:eastAsia="Arial" w:hAnsi="Arial"/>
          <w:sz w:val="22"/>
          <w:szCs w:val="22"/>
        </w:rPr>
        <w:t xml:space="preserve">The governing variable is memory_load = (1 − f_gas)(R_out / h). The effective transport scale is:</w:t>
      </w:r>
    </w:p>
    <w:p>
      <w:pPr>
        <w:spacing w:after="120" w:before="120"/>
        <w:jc w:val="center"/>
      </w:pPr>
      <w:r>
        <w:rPr>
          <w:rFonts w:ascii="Courier New" w:cs="Courier New" w:eastAsia="Courier New" w:hAnsi="Courier New"/>
          <w:sz w:val="22"/>
          <w:szCs w:val="22"/>
        </w:rPr>
        <w:t xml:space="preserve">L_eff = 1.8h [ 1 + S_mem ( 1 − exp(−memory_load / S_mem) ) ]</w:t>
      </w:r>
    </w:p>
    <w:p>
      <w:pPr>
        <w:spacing w:after="120" w:before="120"/>
        <w:jc w:val="center"/>
      </w:pPr>
      <w:r>
        <w:rPr>
          <w:rFonts w:ascii="Courier New" w:cs="Courier New" w:eastAsia="Courier New" w:hAnsi="Courier New"/>
          <w:sz w:val="22"/>
          <w:szCs w:val="22"/>
        </w:rPr>
        <w:t xml:space="preserve">S_mem = (0.9/π)(R_out / h)</w:t>
      </w:r>
    </w:p>
    <w:p>
      <w:pPr>
        <w:spacing w:after="100" w:before="100"/>
      </w:pPr>
      <w:r>
        <w:rPr>
          <w:rFonts w:ascii="Arial" w:cs="Arial" w:eastAsia="Arial" w:hAnsi="Arial"/>
          <w:sz w:val="22"/>
          <w:szCs w:val="22"/>
        </w:rPr>
        <w:t xml:space="preserve">This is the canonical exact gas-dependent memory law. It must be used for all residual and performance tables. The saturated approximation L_eff = 1.8h(1 + S_mem) gives qualitatively similar results but lower RMSEs (by approximately 0.7 km/s on the global median) and is not used for headline statistics.</w:t>
      </w:r>
    </w:p>
    <w:p>
      <w:pPr>
        <w:pStyle w:val="Heading2"/>
        <w:spacing w:after="120" w:before="240"/>
      </w:pPr>
      <w:r>
        <w:rPr>
          <w:rFonts w:ascii="Arial" w:cs="Arial" w:eastAsia="Arial" w:hAnsi="Arial"/>
          <w:b/>
          <w:bCs/>
          <w:sz w:val="24"/>
          <w:szCs w:val="24"/>
        </w:rPr>
        <w:t xml:space="preserve">4.3  Complete LTG law</w:t>
      </w:r>
    </w:p>
    <w:p>
      <w:pPr>
        <w:spacing w:after="120" w:before="120"/>
        <w:jc w:val="center"/>
      </w:pPr>
      <w:r>
        <w:rPr>
          <w:rFonts w:ascii="Courier New" w:cs="Courier New" w:eastAsia="Courier New" w:hAnsi="Courier New"/>
          <w:sz w:val="22"/>
          <w:szCs w:val="22"/>
        </w:rPr>
        <w:t xml:space="preserve">V²(r) = V̄²_bar(r) + Γ₀ × L_eff × [1 − exp(−(r/L_eff)^q)]</w:t>
      </w:r>
    </w:p>
    <w:p>
      <w:pPr>
        <w:spacing w:after="100" w:before="100"/>
      </w:pPr>
      <w:r>
        <w:rPr>
          <w:rFonts w:ascii="Arial" w:cs="Arial" w:eastAsia="Arial" w:hAnsi="Arial"/>
          <w:sz w:val="22"/>
          <w:szCs w:val="22"/>
        </w:rPr>
        <w:t xml:space="preserve">where V̄²_bar = V²_gas + 0.5 V²_disk + 0.7 V²_bul, q = 0.77, Γ₀ = 809.956.</w:t>
      </w:r>
    </w:p>
    <w:p>
      <w:pPr>
        <w:spacing w:after="100" w:before="100"/>
      </w:pPr>
      <w:r>
        <w:rPr>
          <w:rFonts w:ascii="Arial" w:cs="Arial" w:eastAsia="Arial" w:hAnsi="Arial"/>
          <w:sz w:val="22"/>
          <w:szCs w:val="22"/>
        </w:rPr>
        <w:t xml:space="preserve"/>
      </w:r>
    </w:p>
    <w:p>
      <w:pPr>
        <w:pStyle w:val="Heading3"/>
        <w:spacing w:after="80" w:before="180"/>
      </w:pPr>
      <w:r>
        <w:rPr>
          <w:rFonts w:ascii="Arial" w:cs="Arial" w:eastAsia="Arial" w:hAnsi="Arial"/>
          <w:b/>
          <w:bCs/>
          <w:sz w:val="22"/>
          <w:szCs w:val="22"/>
        </w:rPr>
        <w:t xml:space="preserve">Computation convention</w:t>
      </w:r>
    </w:p>
    <w:p>
      <w:pPr>
        <w:spacing w:after="100" w:before="100"/>
      </w:pPr>
      <w:r>
        <w:rPr>
          <w:rFonts w:ascii="Arial" w:cs="Arial" w:eastAsia="Arial" w:hAnsi="Arial"/>
          <w:sz w:val="22"/>
          <w:szCs w:val="22"/>
        </w:rPr>
        <w:t xml:space="preserve">Inner profile quantities (Q12, Q14, Δ, S, U_max): interpolate V² directly. This is the V²-interpolation convention. Outer radial u(r) profiles and crossing-window work: interpolate V_obs in V-space then square; interpolate disk and bulge component terms in V²-space. Both conventions are verified from raw files.</w:t>
      </w:r>
    </w:p>
    <w:p>
      <w:pPr>
        <w:pStyle w:val="Heading2"/>
        <w:spacing w:after="120" w:before="240"/>
      </w:pPr>
      <w:r>
        <w:rPr>
          <w:rFonts w:ascii="Arial" w:cs="Arial" w:eastAsia="Arial" w:hAnsi="Arial"/>
          <w:b/>
          <w:bCs/>
          <w:sz w:val="24"/>
          <w:szCs w:val="24"/>
        </w:rPr>
        <w:t xml:space="preserve">4.4  LTG global performance</w:t>
      </w:r>
    </w:p>
    <w:p>
      <w:pPr>
        <w:spacing w:after="100" w:before="100"/>
      </w:pPr>
      <w:r>
        <w:rPr>
          <w:rFonts w:ascii="Arial" w:cs="Arial" w:eastAsia="Arial" w:hAnsi="Arial"/>
          <w:sz w:val="22"/>
          <w:szCs w:val="22"/>
        </w:rPr>
        <w:t xml:space="preserve">All values computed from Rotmod_LTG(4).zip, exact gas-dependent memory law, q = 0.77. These are the current verified numbers.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80"/>
        <w:gridCol w:w="2340"/>
        <w:gridCol w:w="1560"/>
        <w:gridCol w:w="156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Sample</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Model</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Median RMSE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Mean RMSE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LTGs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17.15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21.90 km/s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LTGs excl. CamB</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17.21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21.90 km/s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upward-crossing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21.28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22.94 km/s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single-crossing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27.59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37.50 km/s</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Welch two-sample t-test for upward vs single-crossing RMSE difference: p = 0.00985. Outer MAE split: upward median 21.17 km/s, single-crossing median 32.93 km/s (p = 0.044). All values verified from raw files using the exact memory law.</w:t>
      </w:r>
    </w:p>
    <w:p>
      <w:pPr>
        <w:pStyle w:val="Heading1"/>
        <w:spacing w:after="160" w:before="320"/>
      </w:pPr>
      <w:r>
        <w:rPr>
          <w:rFonts w:ascii="Arial" w:cs="Arial" w:eastAsia="Arial" w:hAnsi="Arial"/>
          <w:b/>
          <w:bCs/>
          <w:sz w:val="28"/>
          <w:szCs w:val="28"/>
        </w:rPr>
        <w:t xml:space="preserve">5.  LTG Outer Route Structure</w:t>
      </w:r>
    </w:p>
    <w:p>
      <w:pPr>
        <w:pStyle w:val="Heading2"/>
        <w:spacing w:after="120" w:before="240"/>
      </w:pPr>
      <w:r>
        <w:rPr>
          <w:rFonts w:ascii="Arial" w:cs="Arial" w:eastAsia="Arial" w:hAnsi="Arial"/>
          <w:b/>
          <w:bCs/>
          <w:sz w:val="24"/>
          <w:szCs w:val="24"/>
        </w:rPr>
        <w:t xml:space="preserve">5.1  The outer load variable</w:t>
      </w:r>
    </w:p>
    <w:p>
      <w:pPr>
        <w:spacing w:after="100" w:before="100"/>
      </w:pPr>
      <w:r>
        <w:rPr>
          <w:rFonts w:ascii="Arial" w:cs="Arial" w:eastAsia="Arial" w:hAnsi="Arial"/>
          <w:sz w:val="22"/>
          <w:szCs w:val="22"/>
        </w:rPr>
        <w:t xml:space="preserve">For each galaxy at each radius, the outer load variable is:</w:t>
      </w:r>
    </w:p>
    <w:p>
      <w:pPr>
        <w:spacing w:after="120" w:before="120"/>
        <w:jc w:val="center"/>
      </w:pPr>
      <w:r>
        <w:rPr>
          <w:rFonts w:ascii="Courier New" w:cs="Courier New" w:eastAsia="Courier New" w:hAnsi="Courier New"/>
          <w:sz w:val="22"/>
          <w:szCs w:val="22"/>
        </w:rPr>
        <w:t xml:space="preserve">u(r) = [V²_obs(r) − 0.5 V²_disk(r) − 0.7 V²_bul(r)] / (Γ₀ r R_max)</w:t>
      </w:r>
    </w:p>
    <w:p>
      <w:pPr>
        <w:spacing w:after="100" w:before="100"/>
      </w:pPr>
      <w:r>
        <w:rPr>
          <w:rFonts w:ascii="Arial" w:cs="Arial" w:eastAsia="Arial" w:hAnsi="Arial"/>
          <w:sz w:val="22"/>
          <w:szCs w:val="22"/>
        </w:rPr>
        <w:t xml:space="preserve">The outer gate criterion is u(r_out) &lt; 1. LTG route classification uses fine-grid interpolation with 10,000 radial points and the outermost downward crossing of u = 1.</w:t>
      </w:r>
    </w:p>
    <w:p>
      <w:pPr>
        <w:pStyle w:val="Heading2"/>
        <w:spacing w:after="120" w:before="240"/>
      </w:pPr>
      <w:r>
        <w:rPr>
          <w:rFonts w:ascii="Arial" w:cs="Arial" w:eastAsia="Arial" w:hAnsi="Arial"/>
          <w:b/>
          <w:bCs/>
          <w:sz w:val="24"/>
          <w:szCs w:val="24"/>
        </w:rPr>
        <w:t xml:space="preserve">5.2  Route counts (all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Route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Count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Median u_out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Note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Low-load (u_out &lt; 1, no downward crossing)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 upward-crossing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 dips below 1, rises back, then final descent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 single-crossing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 upward recrossing through u =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Outer-infeasible (u_out ≥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Total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Terminology note: the label 'single-crossing' (replacing 'straight-down') means no upward recrossing through u = 1. Of the 25 single-crossing galaxies, only 7/25 are strictly monotone decreasing in u(r) on the fine grid. The classification is topological, not shape-based.</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15 central-deficit objects (u(R₀) &lt; 0) are entirely within the upward-crossing group. ESO079-G014 has u_out = 1.009 and thus falls in the outer-infeasible group despite having an upward crossing.</w:t>
      </w:r>
    </w:p>
    <w:p>
      <w:pPr>
        <w:pStyle w:val="Heading2"/>
        <w:spacing w:after="120" w:before="240"/>
      </w:pPr>
      <w:r>
        <w:rPr>
          <w:rFonts w:ascii="Arial" w:cs="Arial" w:eastAsia="Arial" w:hAnsi="Arial"/>
          <w:b/>
          <w:bCs/>
          <w:sz w:val="24"/>
          <w:szCs w:val="24"/>
        </w:rPr>
        <w:t xml:space="preserve">5.3  LTG inner admissibility</w:t>
      </w:r>
    </w:p>
    <w:p>
      <w:pPr>
        <w:spacing w:after="100" w:before="100"/>
      </w:pPr>
      <w:r>
        <w:rPr>
          <w:rFonts w:ascii="Arial" w:cs="Arial" w:eastAsia="Arial" w:hAnsi="Arial"/>
          <w:sz w:val="22"/>
          <w:szCs w:val="22"/>
        </w:rPr>
        <w:t xml:space="preserve">The LTG legacy inner set is defined by: h/r_out ≤ 0.3168 (from global log-linear SBdisk fit), Δ &gt; 0, no h ≥ R₀ guard. This gives N = 141 (legacy) and N = 124 (strict, adding h ≥ R₀). Boundary galaxies: UGCA444 (h/r_out = 0.31667, IN) and UGC07608 (h/r_out = 0.31690, OUT). The 17 artefact cases (h &lt; R₀) all give S = 0.500, Δ = 0.500, U_max = 0.298 exactly, by construction.</w:t>
      </w:r>
    </w:p>
    <w:p>
      <w:pPr>
        <w:pStyle w:val="Heading2"/>
        <w:spacing w:after="120" w:before="240"/>
      </w:pPr>
      <w:r>
        <w:rPr>
          <w:rFonts w:ascii="Arial" w:cs="Arial" w:eastAsia="Arial" w:hAnsi="Arial"/>
          <w:b/>
          <w:bCs/>
          <w:sz w:val="24"/>
          <w:szCs w:val="24"/>
        </w:rPr>
        <w:t xml:space="preserve">5.4  Buffered regime split and classifier</w:t>
      </w:r>
    </w:p>
    <w:p>
      <w:pPr>
        <w:spacing w:after="100" w:before="100"/>
      </w:pPr>
      <w:r>
        <w:rPr>
          <w:rFonts w:ascii="Arial" w:cs="Arial" w:eastAsia="Arial" w:hAnsi="Arial"/>
          <w:sz w:val="22"/>
          <w:szCs w:val="22"/>
        </w:rPr>
        <w:t xml:space="preserve">The regime classifier distinguishes upward-crossing from single-crossing buffered galaxies. AUC values on the 55 buffered galaxies with valid inner variables (22 buffered galaxies have no valid S due to h &lt; R₀ or no valid fit and are excluded from AUC computation):</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Predictor</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AUC</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Note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−u(R₀)</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Dominant single predictor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S_inner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0.588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f_gas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Δ (Delta)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x_cross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g_sep = −u(R₀) + 0.35 S_inner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Best scalar, N=55 valid-inner subset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g4 = −u(R₀) + 0.30 S + 0.20(1−f_gas)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N=55 valid-inner subset</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AUC values for g_sep and g4 condition on the 55 buffered galaxies with valid S_inner values, not the full 77. The 22 galaxies without valid inner variables have no S measurement and cannot be included in these classifiers.</w:t>
      </w:r>
    </w:p>
    <w:p>
      <w:pPr>
        <w:pStyle w:val="Heading2"/>
        <w:spacing w:after="120" w:before="240"/>
      </w:pPr>
      <w:r>
        <w:rPr>
          <w:rFonts w:ascii="Arial" w:cs="Arial" w:eastAsia="Arial" w:hAnsi="Arial"/>
          <w:b/>
          <w:bCs/>
          <w:sz w:val="24"/>
          <w:szCs w:val="24"/>
        </w:rPr>
        <w:t xml:space="preserve">5.5  Single-crossing outer error scalar</w:t>
      </w:r>
    </w:p>
    <w:p>
      <w:pPr>
        <w:spacing w:after="100" w:before="100"/>
      </w:pPr>
      <w:r>
        <w:rPr>
          <w:rFonts w:ascii="Arial" w:cs="Arial" w:eastAsia="Arial" w:hAnsi="Arial"/>
          <w:sz w:val="22"/>
          <w:szCs w:val="22"/>
        </w:rPr>
        <w:t xml:space="preserve">For the 25 single-crossing objects, the outer error correlates with accumulated memory load and crossing position:</w:t>
      </w:r>
    </w:p>
    <w:p>
      <w:pPr>
        <w:spacing w:after="120" w:before="120"/>
        <w:jc w:val="center"/>
      </w:pPr>
      <w:r>
        <w:rPr>
          <w:rFonts w:ascii="Courier New" w:cs="Courier New" w:eastAsia="Courier New" w:hAnsi="Courier New"/>
          <w:sz w:val="22"/>
          <w:szCs w:val="22"/>
        </w:rPr>
        <w:t xml:space="preserve">g = memory_load × x_cross,   memory_load = (1 − f_gas)(r_out/h)</w:t>
      </w:r>
    </w:p>
    <w:p>
      <w:pPr>
        <w:spacing w:after="100" w:before="100"/>
      </w:pPr>
      <w:r>
        <w:rPr>
          <w:rFonts w:ascii="Arial" w:cs="Arial" w:eastAsia="Arial" w:hAnsi="Arial"/>
          <w:sz w:val="22"/>
          <w:szCs w:val="22"/>
        </w:rPr>
        <w:t xml:space="preserve">Using exact memory law residuals: Pearson(g, outer MAE) = 0.767, linear fit outer_MAE ≈ 5.02 + 9.74g, R² = 0.588. This is an amplitude scaling problem: the LTG law underestimates L_eff for late-crossing, high-memory-load systems. Top failures: UGC02487 (outer MAE 107.5), NGC2841 (101.9), UGC06786 (75.2), UGC02885 (69.3), NGC3992 (58.3).</w:t>
      </w:r>
    </w:p>
    <w:p>
      <w:pPr>
        <w:pStyle w:val="Heading1"/>
        <w:spacing w:after="160" w:before="320"/>
      </w:pPr>
      <w:r>
        <w:rPr>
          <w:rFonts w:ascii="Arial" w:cs="Arial" w:eastAsia="Arial" w:hAnsi="Arial"/>
          <w:b/>
          <w:bCs/>
          <w:sz w:val="28"/>
          <w:szCs w:val="28"/>
        </w:rPr>
        <w:t xml:space="preserve">6.  Inner Feasibility and the S-Law</w:t>
      </w:r>
    </w:p>
    <w:p>
      <w:pPr>
        <w:pStyle w:val="Heading2"/>
        <w:spacing w:after="120" w:before="240"/>
      </w:pPr>
      <w:r>
        <w:rPr>
          <w:rFonts w:ascii="Arial" w:cs="Arial" w:eastAsia="Arial" w:hAnsi="Arial"/>
          <w:b/>
          <w:bCs/>
          <w:sz w:val="24"/>
          <w:szCs w:val="24"/>
        </w:rPr>
        <w:t xml:space="preserve">6.1  The completion ratio</w:t>
      </w:r>
    </w:p>
    <w:p>
      <w:pPr>
        <w:spacing w:after="100" w:before="100"/>
      </w:pPr>
      <w:r>
        <w:rPr>
          <w:rFonts w:ascii="Arial" w:cs="Arial" w:eastAsia="Arial" w:hAnsi="Arial"/>
          <w:sz w:val="22"/>
          <w:szCs w:val="22"/>
        </w:rPr>
        <w:t xml:space="preserve">The completion variable S = Q14/Δ organises the maximum unfinished-rise level U_max(B). Definitions:</w:t>
      </w:r>
    </w:p>
    <w:p>
      <w:pPr>
        <w:spacing w:after="120" w:before="120"/>
        <w:jc w:val="center"/>
      </w:pPr>
      <w:r>
        <w:rPr>
          <w:rFonts w:ascii="Courier New" w:cs="Courier New" w:eastAsia="Courier New" w:hAnsi="Courier New"/>
          <w:sz w:val="22"/>
          <w:szCs w:val="22"/>
        </w:rPr>
        <w:t xml:space="preserve">Q12 = V̄²_bar(0.5h) / V̄²_bar(h)     Q14 = V̄²_bar(0.25h) / V̄²_bar(h)</w:t>
      </w:r>
    </w:p>
    <w:p>
      <w:pPr>
        <w:spacing w:after="120" w:before="120"/>
        <w:jc w:val="center"/>
      </w:pPr>
      <w:r>
        <w:rPr>
          <w:rFonts w:ascii="Courier New" w:cs="Courier New" w:eastAsia="Courier New" w:hAnsi="Courier New"/>
          <w:sz w:val="22"/>
          <w:szCs w:val="22"/>
        </w:rPr>
        <w:t xml:space="preserve">Δ = 1 − Q12     S = Q14 / Δ</w:t>
      </w:r>
    </w:p>
    <w:p>
      <w:pPr>
        <w:spacing w:after="100" w:before="100"/>
      </w:pPr>
      <w:r>
        <w:rPr>
          <w:rFonts w:ascii="Arial" w:cs="Arial" w:eastAsia="Arial" w:hAnsi="Arial"/>
          <w:sz w:val="22"/>
          <w:szCs w:val="22"/>
        </w:rPr>
        <w:t xml:space="preserve">The inner kernel maximum:</w:t>
      </w:r>
    </w:p>
    <w:p>
      <w:pPr>
        <w:spacing w:after="120" w:before="120"/>
        <w:jc w:val="center"/>
      </w:pPr>
      <w:r>
        <w:rPr>
          <w:rFonts w:ascii="Courier New" w:cs="Courier New" w:eastAsia="Courier New" w:hAnsi="Courier New"/>
          <w:sz w:val="22"/>
          <w:szCs w:val="22"/>
        </w:rPr>
        <w:t xml:space="preserve">U_max = max_x U(x)  where  U(x) = (1/x) ∫₀¹ exp(−(1−y)/x) [1 − B(y)] dy</w:t>
      </w:r>
    </w:p>
    <w:p>
      <w:pPr>
        <w:spacing w:after="120" w:before="120"/>
        <w:jc w:val="center"/>
      </w:pPr>
      <w:r>
        <w:rPr>
          <w:rFonts w:ascii="Courier New" w:cs="Courier New" w:eastAsia="Courier New" w:hAnsi="Courier New"/>
          <w:sz w:val="22"/>
          <w:szCs w:val="22"/>
        </w:rPr>
        <w:t xml:space="preserve">B(y) = V̄²_bar(y·h) / V̄²_bar(h)</w:t>
      </w:r>
    </w:p>
    <w:p>
      <w:pPr>
        <w:spacing w:after="100" w:before="100"/>
      </w:pPr>
      <w:r>
        <w:rPr>
          <w:rFonts w:ascii="Arial" w:cs="Arial" w:eastAsia="Arial" w:hAnsi="Arial"/>
          <w:sz w:val="22"/>
          <w:szCs w:val="22"/>
        </w:rPr>
        <w:t xml:space="preserve">Computation convention: all inner quantities use V²-interpolation (interpolate V² directly, not V then square). The U_max integral requires n_y ≥ 2000 for 4-digit stability.</w:t>
      </w:r>
    </w:p>
    <w:p>
      <w:pPr>
        <w:pStyle w:val="Heading2"/>
        <w:spacing w:after="120" w:before="240"/>
      </w:pPr>
      <w:r>
        <w:rPr>
          <w:rFonts w:ascii="Arial" w:cs="Arial" w:eastAsia="Arial" w:hAnsi="Arial"/>
          <w:b/>
          <w:bCs/>
          <w:sz w:val="24"/>
          <w:szCs w:val="24"/>
        </w:rPr>
        <w:t xml:space="preserve">6.2  LTG S-law</w:t>
      </w:r>
    </w:p>
    <w:p>
      <w:pPr>
        <w:spacing w:after="100" w:before="100"/>
      </w:pPr>
      <w:r>
        <w:rPr>
          <w:rFonts w:ascii="Arial" w:cs="Arial" w:eastAsia="Arial" w:hAnsi="Arial"/>
          <w:sz w:val="22"/>
          <w:szCs w:val="22"/>
        </w:rPr>
        <w:t xml:space="preserve">Regression across legacy N = 141:</w:t>
      </w:r>
    </w:p>
    <w:p>
      <w:pPr>
        <w:spacing w:after="120" w:before="120"/>
        <w:jc w:val="center"/>
      </w:pPr>
      <w:r>
        <w:rPr>
          <w:rFonts w:ascii="Courier New" w:cs="Courier New" w:eastAsia="Courier New" w:hAnsi="Courier New"/>
          <w:sz w:val="22"/>
          <w:szCs w:val="22"/>
        </w:rPr>
        <w:t xml:space="preserve">U_max ≈ 0.2403 − 0.0700 ln(S),   R² = 0.919,   Pearson r = −0.959</w:t>
      </w:r>
    </w:p>
    <w:p>
      <w:pPr>
        <w:spacing w:after="100" w:before="100"/>
      </w:pPr>
      <w:r>
        <w:rPr>
          <w:rFonts w:ascii="Arial" w:cs="Arial" w:eastAsia="Arial" w:hAnsi="Arial"/>
          <w:sz w:val="22"/>
          <w:szCs w:val="22"/>
        </w:rPr>
        <w:t xml:space="preserve">Strict set (N = 124, h ≥ R₀ guard):</w:t>
      </w:r>
    </w:p>
    <w:p>
      <w:pPr>
        <w:spacing w:after="120" w:before="120"/>
        <w:jc w:val="center"/>
      </w:pPr>
      <w:r>
        <w:rPr>
          <w:rFonts w:ascii="Courier New" w:cs="Courier New" w:eastAsia="Courier New" w:hAnsi="Courier New"/>
          <w:sz w:val="22"/>
          <w:szCs w:val="22"/>
        </w:rPr>
        <w:t xml:space="preserve">U_max ≈ 0.2391 − 0.0697 ln(S),   R² = 0.920</w:t>
      </w:r>
    </w:p>
    <w:p>
      <w:pPr>
        <w:spacing w:after="60" w:before="60"/>
        <w:ind w:left="720"/>
      </w:pPr>
      <w:r>
        <w:rPr>
          <w:rFonts w:ascii="Arial" w:cs="Arial" w:eastAsia="Arial" w:hAnsi="Arial"/>
          <w:i/>
          <w:iCs/>
          <w:color w:val="555555"/>
          <w:sz w:val="20"/>
          <w:szCs w:val="20"/>
        </w:rPr>
        <w:t xml:space="preserve">The v12 coefficients (0.23939, −0.07138) are slightly off under the verified V²-interpolation convention and Umax grid. Safe rounded values: A ≈ 0.240, B ≈ −0.070.</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Threshold: S &lt; 1.70 correctly classifies 135/141 as feasible (U_max ≥ U* = 0.201803). The six mismatches (F568-1, F574-1, NGC2915, NGC7331, UGC00128, UGC06917) are early-completion profiles with high Q12, high Q14, low Δ, and S in the range 1.04–1.38. They are not unified by outer route or RMSE performance. The S &lt; 1.70 threshold corresponds closely to the regression-implied crossing of U_max = U* (implied S* = 1.693 from v12 coefficients, 1.733 from verified coefficients).</w:t>
      </w:r>
    </w:p>
    <w:p>
      <w:pPr>
        <w:pStyle w:val="Heading2"/>
        <w:spacing w:after="120" w:before="240"/>
      </w:pPr>
      <w:r>
        <w:rPr>
          <w:rFonts w:ascii="Arial" w:cs="Arial" w:eastAsia="Arial" w:hAnsi="Arial"/>
          <w:b/>
          <w:bCs/>
          <w:sz w:val="24"/>
          <w:szCs w:val="24"/>
        </w:rPr>
        <w:t xml:space="preserve">6.3  ETG S-law</w:t>
      </w:r>
    </w:p>
    <w:p>
      <w:pPr>
        <w:spacing w:after="100" w:before="100"/>
      </w:pPr>
      <w:r>
        <w:rPr>
          <w:rFonts w:ascii="Arial" w:cs="Arial" w:eastAsia="Arial" w:hAnsi="Arial"/>
          <w:sz w:val="22"/>
          <w:szCs w:val="22"/>
        </w:rPr>
        <w:t xml:space="preserve">Regression across all 16 ETGs:</w:t>
      </w:r>
    </w:p>
    <w:p>
      <w:pPr>
        <w:spacing w:after="120" w:before="120"/>
        <w:jc w:val="center"/>
      </w:pPr>
      <w:r>
        <w:rPr>
          <w:rFonts w:ascii="Courier New" w:cs="Courier New" w:eastAsia="Courier New" w:hAnsi="Courier New"/>
          <w:sz w:val="22"/>
          <w:szCs w:val="22"/>
        </w:rPr>
        <w:t xml:space="preserve">U_max ≈ 0.2325 − 0.0578 ln(S),   R² = 0.851,   Pearson r = −0.923,   p = 3.6×10⁻⁷</w:t>
      </w:r>
    </w:p>
    <w:p>
      <w:pPr>
        <w:spacing w:after="100" w:before="100"/>
      </w:pPr>
      <w:r>
        <w:rPr>
          <w:rFonts w:ascii="Arial" w:cs="Arial" w:eastAsia="Arial" w:hAnsi="Arial"/>
          <w:sz w:val="22"/>
          <w:szCs w:val="22"/>
        </w:rPr>
        <w:t xml:space="preserve">The implied threshold crossing U_max = U* occurs at S* = 1.699. Both the LTG and ETG laws imply S* ≈ 1.70, confirming the threshold is motivated by both regression lines, not set arbitrarily.</w:t>
      </w:r>
    </w:p>
    <w:p>
      <w:pPr>
        <w:pStyle w:val="Heading2"/>
        <w:spacing w:after="120" w:before="240"/>
      </w:pPr>
      <w:r>
        <w:rPr>
          <w:rFonts w:ascii="Arial" w:cs="Arial" w:eastAsia="Arial" w:hAnsi="Arial"/>
          <w:b/>
          <w:bCs/>
          <w:sz w:val="24"/>
          <w:szCs w:val="24"/>
        </w:rPr>
        <w:t xml:space="preserve">6.4  Cross-type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80"/>
        <w:gridCol w:w="1560"/>
        <w:gridCol w:w="1560"/>
        <w:gridCol w:w="1560"/>
        <w:gridCol w:w="156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Population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A (intercept)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B (slope)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R²</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 implied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−0.0578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legacy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0.2403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−0.0700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strict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0.2391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−0.0697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1.72</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S-law is not ETG-specific. Both populations show the same structure: U_max is organised by ln(S) with a universal threshold near S ≈ 1.70. ETGs have a shallower slope (weaker S-dependence), consistent with their more compact inner profiles.</w:t>
      </w:r>
    </w:p>
    <w:p>
      <w:pPr>
        <w:pStyle w:val="Heading1"/>
        <w:spacing w:after="160" w:before="320"/>
      </w:pPr>
      <w:r>
        <w:rPr>
          <w:rFonts w:ascii="Arial" w:cs="Arial" w:eastAsia="Arial" w:hAnsi="Arial"/>
          <w:b/>
          <w:bCs/>
          <w:sz w:val="28"/>
          <w:szCs w:val="28"/>
        </w:rPr>
        <w:t xml:space="preserve">7.  ETG Response Sector — Overview</w:t>
      </w:r>
    </w:p>
    <w:p>
      <w:pPr>
        <w:spacing w:after="100" w:before="100"/>
      </w:pPr>
      <w:r>
        <w:rPr>
          <w:rFonts w:ascii="Arial" w:cs="Arial" w:eastAsia="Arial" w:hAnsi="Arial"/>
          <w:sz w:val="22"/>
          <w:szCs w:val="22"/>
        </w:rPr>
        <w:t xml:space="preserve">ETGs fail the LTG law in two independent ways simultaneously: inner profile deformation (large S) and outer baryonic retention (large u). They form a multi-family, multi-sign response sector. The complete ETG classification is organised by the four-condition intersection structure described in §8.</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five ETG families, by support signature ΔV²(r) = V²_obs(r) − V̄²_bar(r):</w:t>
      </w:r>
    </w:p>
    <w:p>
      <w:pPr>
        <w:spacing w:after="100" w:before="100"/>
      </w:pPr>
      <w:r>
        <w:rPr>
          <w:rFonts w:ascii="Arial" w:cs="Arial" w:eastAsia="Arial" w:hAnsi="Arial"/>
          <w:sz w:val="22"/>
          <w:szCs w:val="22"/>
        </w:rPr>
        <w:t xml:space="preserve"/>
      </w:r>
    </w:p>
    <w:p>
      <w:pPr>
        <w:pStyle w:val="ListParagraph"/>
        <w:numPr>
          <w:ilvl w:val="0"/>
          <w:numId w:val="2"/>
        </w:numPr>
        <w:spacing w:after="40" w:before="60"/>
      </w:pPr>
      <w:r>
        <w:rPr>
          <w:rFonts w:ascii="Arial" w:cs="Arial" w:eastAsia="Arial" w:hAnsi="Arial"/>
          <w:sz w:val="22"/>
          <w:szCs w:val="22"/>
        </w:rPr>
        <w:t xml:space="preserve">H+ single-channel: NGC2685, NGC3626, NGC3941 — sign-changing (ΔV²_inn &lt; 0, ΔV²_out &gt; 0), all four conditions satisfied.</w:t>
      </w:r>
    </w:p>
    <w:p>
      <w:pPr>
        <w:pStyle w:val="ListParagraph"/>
        <w:numPr>
          <w:ilvl w:val="0"/>
          <w:numId w:val="2"/>
        </w:numPr>
        <w:spacing w:after="40" w:before="40"/>
      </w:pPr>
      <w:r>
        <w:rPr>
          <w:rFonts w:ascii="Arial" w:cs="Arial" w:eastAsia="Arial" w:hAnsi="Arial"/>
          <w:sz w:val="22"/>
          <w:szCs w:val="22"/>
        </w:rPr>
        <w:t xml:space="preserve">H+ two-channel: NGC4203 — sign-changing, outer capacity exceeded; two-channel required.</w:t>
      </w:r>
    </w:p>
    <w:p>
      <w:pPr>
        <w:pStyle w:val="ListParagraph"/>
        <w:numPr>
          <w:ilvl w:val="0"/>
          <w:numId w:val="2"/>
        </w:numPr>
        <w:spacing w:after="40" w:before="40"/>
      </w:pPr>
      <w:r>
        <w:rPr>
          <w:rFonts w:ascii="Arial" w:cs="Arial" w:eastAsia="Arial" w:hAnsi="Arial"/>
          <w:sz w:val="22"/>
          <w:szCs w:val="22"/>
        </w:rPr>
        <w:t xml:space="preserve">Class B: NGC3838 — inner/outer-feasible, sign-wrong only.</w:t>
      </w:r>
    </w:p>
    <w:p>
      <w:pPr>
        <w:pStyle w:val="ListParagraph"/>
        <w:numPr>
          <w:ilvl w:val="0"/>
          <w:numId w:val="2"/>
        </w:numPr>
        <w:spacing w:after="40" w:before="40"/>
      </w:pPr>
      <w:r>
        <w:rPr>
          <w:rFonts w:ascii="Arial" w:cs="Arial" w:eastAsia="Arial" w:hAnsi="Arial"/>
          <w:sz w:val="22"/>
          <w:szCs w:val="22"/>
        </w:rPr>
        <w:t xml:space="preserve">Class C: NGC4262 — inner-feasible, sign-wrong and outer-wrong.</w:t>
      </w:r>
    </w:p>
    <w:p>
      <w:pPr>
        <w:pStyle w:val="ListParagraph"/>
        <w:numPr>
          <w:ilvl w:val="0"/>
          <w:numId w:val="2"/>
        </w:numPr>
        <w:spacing w:after="40" w:before="40"/>
      </w:pPr>
      <w:r>
        <w:rPr>
          <w:rFonts w:ascii="Arial" w:cs="Arial" w:eastAsia="Arial" w:hAnsi="Arial"/>
          <w:sz w:val="22"/>
          <w:szCs w:val="22"/>
        </w:rPr>
        <w:t xml:space="preserve">D1 (outer-capacity fail): NGC2824, NGC2859, NGC2974 — u &gt; 1, U_max &gt; U*.</w:t>
      </w:r>
    </w:p>
    <w:p>
      <w:pPr>
        <w:pStyle w:val="ListParagraph"/>
        <w:numPr>
          <w:ilvl w:val="0"/>
          <w:numId w:val="2"/>
        </w:numPr>
        <w:spacing w:after="40" w:before="40"/>
      </w:pPr>
      <w:r>
        <w:rPr>
          <w:rFonts w:ascii="Arial" w:cs="Arial" w:eastAsia="Arial" w:hAnsi="Arial"/>
          <w:sz w:val="22"/>
          <w:szCs w:val="22"/>
        </w:rPr>
        <w:t xml:space="preserve">D2 (double fail): NGC3945, NGC3998, NGC4278, NGC5582* — both u &gt; 1 and U_max &lt; U*.</w:t>
      </w:r>
    </w:p>
    <w:p>
      <w:pPr>
        <w:pStyle w:val="ListParagraph"/>
        <w:numPr>
          <w:ilvl w:val="0"/>
          <w:numId w:val="2"/>
        </w:numPr>
        <w:spacing w:after="80" w:before="40"/>
      </w:pPr>
      <w:r>
        <w:rPr>
          <w:rFonts w:ascii="Arial" w:cs="Arial" w:eastAsia="Arial" w:hAnsi="Arial"/>
          <w:sz w:val="22"/>
          <w:szCs w:val="22"/>
        </w:rPr>
        <w:t xml:space="preserve">Class E (wrong profile family): NGC3522, NGC6798, UGC6176 — outer/inner-feasible, large Δ, sign-wrong.</w:t>
      </w:r>
    </w:p>
    <w:p>
      <w:pPr>
        <w:spacing w:after="60" w:before="60"/>
        <w:ind w:left="720"/>
      </w:pPr>
      <w:r>
        <w:rPr>
          <w:rFonts w:ascii="Arial" w:cs="Arial" w:eastAsia="Arial" w:hAnsi="Arial"/>
          <w:i/>
          <w:iCs/>
          <w:color w:val="555555"/>
          <w:sz w:val="20"/>
          <w:szCs w:val="20"/>
        </w:rPr>
        <w:t xml:space="preserve">*NGC5582: S = 1.647 passes the S &lt; 1.70 threshold, but U_max = 0.178 &lt; U* = 0.202. This is a borderline S-threshold miss; the direct U_max test correctly rejects it.</w:t>
      </w:r>
    </w:p>
    <w:p>
      <w:pPr>
        <w:pStyle w:val="Heading1"/>
        <w:spacing w:after="160" w:before="320"/>
      </w:pPr>
      <w:r>
        <w:rPr>
          <w:rFonts w:ascii="Arial" w:cs="Arial" w:eastAsia="Arial" w:hAnsi="Arial"/>
          <w:b/>
          <w:bCs/>
          <w:sz w:val="28"/>
          <w:szCs w:val="28"/>
        </w:rPr>
        <w:t xml:space="preserve">8.  Four-Condition Intersection Structure</w:t>
      </w:r>
    </w:p>
    <w:p>
      <w:pPr>
        <w:pStyle w:val="Heading2"/>
        <w:spacing w:after="120" w:before="240"/>
      </w:pPr>
      <w:r>
        <w:rPr>
          <w:rFonts w:ascii="Arial" w:cs="Arial" w:eastAsia="Arial" w:hAnsi="Arial"/>
          <w:b/>
          <w:bCs/>
          <w:sz w:val="24"/>
          <w:szCs w:val="24"/>
        </w:rPr>
        <w:t xml:space="preserve">8.1  The four conditions</w:t>
      </w:r>
    </w:p>
    <w:p>
      <w:pPr>
        <w:pStyle w:val="Heading3"/>
        <w:spacing w:after="80" w:before="180"/>
      </w:pPr>
      <w:r>
        <w:rPr>
          <w:rFonts w:ascii="Arial" w:cs="Arial" w:eastAsia="Arial" w:hAnsi="Arial"/>
          <w:b/>
          <w:bCs/>
          <w:sz w:val="22"/>
          <w:szCs w:val="22"/>
        </w:rPr>
        <w:t xml:space="preserve">Condition 1 — Profile family</w:t>
      </w:r>
    </w:p>
    <w:p>
      <w:pPr>
        <w:spacing w:after="100" w:before="100"/>
      </w:pPr>
      <w:r>
        <w:rPr>
          <w:rFonts w:ascii="Arial" w:cs="Arial" w:eastAsia="Arial" w:hAnsi="Arial"/>
          <w:sz w:val="22"/>
          <w:szCs w:val="22"/>
        </w:rPr>
        <w:t xml:space="preserve">Organised by (Δ, Q14) where Δ = 1 − Q12 and Q14 = B(1/4). Viable locus: Δ ≈ 0.31–0.46, Q14 ≈ 0.19–0.26.</w:t>
      </w:r>
    </w:p>
    <w:p>
      <w:pPr>
        <w:pStyle w:val="Heading3"/>
        <w:spacing w:after="80" w:before="180"/>
      </w:pPr>
      <w:r>
        <w:rPr>
          <w:rFonts w:ascii="Arial" w:cs="Arial" w:eastAsia="Arial" w:hAnsi="Arial"/>
          <w:b/>
          <w:bCs/>
          <w:sz w:val="22"/>
          <w:szCs w:val="22"/>
        </w:rPr>
        <w:t xml:space="preserve">Condition 2 — Sign gate (inner baryonic amplitude)</w:t>
      </w:r>
    </w:p>
    <w:p>
      <w:pPr>
        <w:spacing w:after="120" w:before="120"/>
        <w:jc w:val="center"/>
      </w:pPr>
      <w:r>
        <w:rPr>
          <w:rFonts w:ascii="Courier New" w:cs="Courier New" w:eastAsia="Courier New" w:hAnsi="Courier New"/>
          <w:sz w:val="22"/>
          <w:szCs w:val="22"/>
        </w:rPr>
        <w:t xml:space="preserve">Ω_in = V̄²_bar(r_in) / V²_obs(r_in) &gt; 1</w:t>
      </w:r>
    </w:p>
    <w:p>
      <w:pPr>
        <w:spacing w:after="100" w:before="100"/>
      </w:pPr>
      <w:r>
        <w:rPr>
          <w:rFonts w:ascii="Arial" w:cs="Arial" w:eastAsia="Arial" w:hAnsi="Arial"/>
          <w:sz w:val="22"/>
          <w:szCs w:val="22"/>
        </w:rPr>
        <w:t xml:space="preserve">At fixed profile shape, the sign gate is decided by absolute inner baryonic normalisation. The NGC3838/NGC3626 control pair demonstrates this: near-identical normalised profiles (H(0.3) = 1.866 for both), but V̄_bar(r_in) = 194 vs 284 km/s splits Ω_in = 0.705 vs 1.316.</w:t>
      </w:r>
    </w:p>
    <w:p>
      <w:pPr>
        <w:pStyle w:val="Heading3"/>
        <w:spacing w:after="80" w:before="180"/>
      </w:pPr>
      <w:r>
        <w:rPr>
          <w:rFonts w:ascii="Arial" w:cs="Arial" w:eastAsia="Arial" w:hAnsi="Arial"/>
          <w:b/>
          <w:bCs/>
          <w:sz w:val="22"/>
          <w:szCs w:val="22"/>
        </w:rPr>
        <w:t xml:space="preserve">Condition 3 — Inner feasibility</w:t>
      </w:r>
    </w:p>
    <w:p>
      <w:pPr>
        <w:spacing w:after="100" w:before="100"/>
      </w:pPr>
      <w:r>
        <w:rPr>
          <w:rFonts w:ascii="Arial" w:cs="Arial" w:eastAsia="Arial" w:hAnsi="Arial"/>
          <w:sz w:val="22"/>
          <w:szCs w:val="22"/>
        </w:rPr>
        <w:t xml:space="preserve">S = Q14/Δ organises U_max. Threshold S ≲ 1.70 gives 15/16 correct (NGC5582 is the borderline miss).</w:t>
      </w:r>
    </w:p>
    <w:p>
      <w:pPr>
        <w:pStyle w:val="Heading3"/>
        <w:spacing w:after="80" w:before="180"/>
      </w:pPr>
      <w:r>
        <w:rPr>
          <w:rFonts w:ascii="Arial" w:cs="Arial" w:eastAsia="Arial" w:hAnsi="Arial"/>
          <w:b/>
          <w:bCs/>
          <w:sz w:val="22"/>
          <w:szCs w:val="22"/>
        </w:rPr>
        <w:t xml:space="preserve">Condition 4 — Outer capacity</w:t>
      </w:r>
    </w:p>
    <w:p>
      <w:pPr>
        <w:spacing w:after="120" w:before="120"/>
        <w:jc w:val="center"/>
      </w:pPr>
      <w:r>
        <w:rPr>
          <w:rFonts w:ascii="Courier New" w:cs="Courier New" w:eastAsia="Courier New" w:hAnsi="Courier New"/>
          <w:sz w:val="22"/>
          <w:szCs w:val="22"/>
        </w:rPr>
        <w:t xml:space="preserve">u = (V²_obs(r_out) − V̄²_bar(r_out)) / (Γ₀ r_out R_max) ≤ 1</w:t>
      </w:r>
    </w:p>
    <w:p>
      <w:pPr>
        <w:pStyle w:val="Heading2"/>
        <w:spacing w:after="120" w:before="240"/>
      </w:pPr>
      <w:r>
        <w:rPr>
          <w:rFonts w:ascii="Arial" w:cs="Arial" w:eastAsia="Arial" w:hAnsi="Arial"/>
          <w:b/>
          <w:bCs/>
          <w:sz w:val="24"/>
          <w:szCs w:val="24"/>
        </w:rPr>
        <w:t xml:space="preserve">8.2  Independence of the four axes</w:t>
      </w:r>
    </w:p>
    <w:p>
      <w:pPr>
        <w:spacing w:after="100" w:before="100"/>
      </w:pPr>
      <w:r>
        <w:rPr>
          <w:rFonts w:ascii="Arial" w:cs="Arial" w:eastAsia="Arial" w:hAnsi="Arial"/>
          <w:sz w:val="22"/>
          <w:szCs w:val="22"/>
        </w:rPr>
        <w:t xml:space="preserve">The four conditions are genuinely independent. Key cross-correlations from raw files: r(Ω_in, u) = −0.274, r(S, u) = 0.375, r(log S, u) = 0.515. Inner failure is a profile-deformation problem; outer failure is a baryonic-retention problem. They are not the same mechanism.</w:t>
      </w:r>
    </w:p>
    <w:p>
      <w:pPr>
        <w:pStyle w:val="Heading2"/>
        <w:spacing w:after="120" w:before="240"/>
      </w:pPr>
      <w:r>
        <w:rPr>
          <w:rFonts w:ascii="Arial" w:cs="Arial" w:eastAsia="Arial" w:hAnsi="Arial"/>
          <w:b/>
          <w:bCs/>
          <w:sz w:val="24"/>
          <w:szCs w:val="24"/>
        </w:rPr>
        <w:t xml:space="preserve">8.3  Canonical ETG decision table (all 16, verified from raw files)</w:t>
      </w:r>
    </w:p>
    <w:p>
      <w:pPr>
        <w:spacing w:after="60" w:before="60"/>
        <w:ind w:left="720"/>
      </w:pPr>
      <w:r>
        <w:rPr>
          <w:rFonts w:ascii="Arial" w:cs="Arial" w:eastAsia="Arial" w:hAnsi="Arial"/>
          <w:i/>
          <w:iCs/>
          <w:color w:val="555555"/>
          <w:sz w:val="20"/>
          <w:szCs w:val="20"/>
        </w:rPr>
        <w:t xml:space="preserve">Inner profile quantities computed with V²-interpolation. Outer u values use the mixed convention (see §4.3). r_in values for H+ objects are canonical locked values.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80"/>
        <w:gridCol w:w="780"/>
        <w:gridCol w:w="780"/>
        <w:gridCol w:w="780"/>
        <w:gridCol w:w="780"/>
        <w:gridCol w:w="780"/>
        <w:gridCol w:w="780"/>
        <w:gridCol w:w="780"/>
        <w:gridCol w:w="78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Galaxy</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Δ</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Q14</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Ω_in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U_max</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Class</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r_in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δu</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NGC2685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0.4552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0.1944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1.1231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0.4981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NGC2824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0.6161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0.1252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0.4529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1.3118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NGC2859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0.3505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0.3381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0.965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0.8378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1.4878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−0.488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NGC2974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0.2979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0.3027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1.016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0.6030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3.9166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−2.917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NGC3522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0.4846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0.1386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0.286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0.4375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0.7395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NGC3626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0.3821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0.2040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1.3160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NGC3838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0.2097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0.558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0.7052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0.390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0.2606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0.829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1.2246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0.7738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0.5396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2.369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1.6309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0.167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−0.631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NGC3998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0.0219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0.6722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30.58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0.4735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2.5880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−1.588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NGC4203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0.0617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0.6208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10.06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1.2757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1.3374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0.107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D2(2ch)</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−0.337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NGC4262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0.521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0.4159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2.2636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−1.264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0.0927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0.6327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6.824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0.5656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2.8116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−1.812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NGC5582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0.3587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1.647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0.5539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1.5049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NGC6798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0.6899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0.7606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0.900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UGC6176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0.6690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0.1655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0.2491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0.8817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0.414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+0.118</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Class A = single-channel H+. *D2 = borderline U_max miss (S &lt; 1.70 threshold passes, but U_max = 0.178 &lt; U* = 0.202). δu values verified from raw files.</w:t>
      </w:r>
    </w:p>
    <w:p>
      <w:pPr>
        <w:pStyle w:val="Heading1"/>
        <w:spacing w:after="160" w:before="320"/>
      </w:pPr>
      <w:r>
        <w:rPr>
          <w:rFonts w:ascii="Arial" w:cs="Arial" w:eastAsia="Arial" w:hAnsi="Arial"/>
          <w:b/>
          <w:bCs/>
          <w:sz w:val="28"/>
          <w:szCs w:val="28"/>
        </w:rPr>
        <w:t xml:space="preserve">9.  Outer Gate Structure</w:t>
      </w:r>
    </w:p>
    <w:p>
      <w:pPr>
        <w:pStyle w:val="Heading2"/>
        <w:spacing w:after="120" w:before="240"/>
      </w:pPr>
      <w:r>
        <w:rPr>
          <w:rFonts w:ascii="Arial" w:cs="Arial" w:eastAsia="Arial" w:hAnsi="Arial"/>
          <w:b/>
          <w:bCs/>
          <w:sz w:val="24"/>
          <w:szCs w:val="24"/>
        </w:rPr>
        <w:t xml:space="preserve">9.1  Exact outer viability boundary</w:t>
      </w:r>
    </w:p>
    <w:p>
      <w:pPr>
        <w:spacing w:after="100" w:before="100"/>
      </w:pPr>
      <w:r>
        <w:rPr>
          <w:rFonts w:ascii="Arial" w:cs="Arial" w:eastAsia="Arial" w:hAnsi="Arial"/>
          <w:sz w:val="22"/>
          <w:szCs w:val="22"/>
        </w:rPr>
        <w:t xml:space="preserve">Starting from the exact identity u = Xout/Xcrit, where:</w:t>
      </w:r>
    </w:p>
    <w:p>
      <w:pPr>
        <w:spacing w:after="120" w:before="120"/>
        <w:jc w:val="center"/>
      </w:pPr>
      <w:r>
        <w:rPr>
          <w:rFonts w:ascii="Courier New" w:cs="Courier New" w:eastAsia="Courier New" w:hAnsi="Courier New"/>
          <w:sz w:val="22"/>
          <w:szCs w:val="22"/>
        </w:rPr>
        <w:t xml:space="preserve">X_out = V²_obs(r_out) / (Γ₀ r_out),   R_d = 0.5 V²_disk(r_out)/V²_obs(r_out),   R_b = 0.7 V²_bul(r_out)/V²_obs(r_out)</w:t>
      </w:r>
    </w:p>
    <w:p>
      <w:pPr>
        <w:spacing w:after="120" w:before="120"/>
        <w:jc w:val="center"/>
      </w:pPr>
      <w:r>
        <w:rPr>
          <w:rFonts w:ascii="Courier New" w:cs="Courier New" w:eastAsia="Courier New" w:hAnsi="Courier New"/>
          <w:sz w:val="22"/>
          <w:szCs w:val="22"/>
        </w:rPr>
        <w:t xml:space="preserve">X_crit = R_max / (1 − R_d − R_b)</w:t>
      </w:r>
    </w:p>
    <w:p>
      <w:pPr>
        <w:spacing w:after="100" w:before="100"/>
      </w:pPr>
      <w:r>
        <w:rPr>
          <w:rFonts w:ascii="Arial" w:cs="Arial" w:eastAsia="Arial" w:hAnsi="Arial"/>
          <w:sz w:val="22"/>
          <w:szCs w:val="22"/>
        </w:rPr>
        <w:t xml:space="preserve">The exact outer slack variable is:</w:t>
      </w:r>
    </w:p>
    <w:p>
      <w:pPr>
        <w:spacing w:after="120" w:before="120"/>
        <w:jc w:val="center"/>
      </w:pPr>
      <w:r>
        <w:rPr>
          <w:rFonts w:ascii="Courier New" w:cs="Courier New" w:eastAsia="Courier New" w:hAnsi="Courier New"/>
          <w:sz w:val="22"/>
          <w:szCs w:val="22"/>
        </w:rPr>
        <w:t xml:space="preserve">δu ≡ 1 − u = (X_crit − X_out) / X_crit</w:t>
      </w:r>
    </w:p>
    <w:p>
      <w:pPr>
        <w:spacing w:after="100" w:before="100"/>
      </w:pPr>
      <w:r>
        <w:rPr>
          <w:rFonts w:ascii="Arial" w:cs="Arial" w:eastAsia="Arial" w:hAnsi="Arial"/>
          <w:sz w:val="22"/>
          <w:szCs w:val="22"/>
        </w:rPr>
        <w:t xml:space="preserve">This identity holds to floating-point precision for all 16 ETGs (max deviation &lt; 5×10⁻¹⁶, verified). δu is the normalised distance from the observed system to the outer boundary. The full δu table is given in the canonical ETG table in §8.3.</w:t>
      </w:r>
    </w:p>
    <w:p>
      <w:pPr>
        <w:pStyle w:val="Heading2"/>
        <w:spacing w:after="120" w:before="240"/>
      </w:pPr>
      <w:r>
        <w:rPr>
          <w:rFonts w:ascii="Arial" w:cs="Arial" w:eastAsia="Arial" w:hAnsi="Arial"/>
          <w:b/>
          <w:bCs/>
          <w:sz w:val="24"/>
          <w:szCs w:val="24"/>
        </w:rPr>
        <w:t xml:space="preserve">9.2  Two viable outer routes and crossing structure</w:t>
      </w:r>
    </w:p>
    <w:p>
      <w:pPr>
        <w:spacing w:after="100" w:before="100"/>
      </w:pPr>
      <w:r>
        <w:rPr>
          <w:rFonts w:ascii="Arial" w:cs="Arial" w:eastAsia="Arial" w:hAnsi="Arial"/>
          <w:sz w:val="22"/>
          <w:szCs w:val="22"/>
        </w:rPr>
        <w:t xml:space="preserve">For each outer-viable ETG, the outermost downward crossing of u(r) = 1 was identified from raw files using the mixed interpolation convention:</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Galaxy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r_out (kpc)</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u(r_out)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r_cross/r_out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δu</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Route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NGC2685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24.98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0.4981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Low-load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NGC3522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0.7395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NGC3626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NGC3838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0.953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11.72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0.7738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NGC6798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27.13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0.7606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0.783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UGC6176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0.8817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Route 1 (NGC2685): low-load, crosses u = 1 at r/r_out ≈ 0.49, δu = 0.502. No reliance on baryonic cancellation. Route 2 (six buffered): disk-buffered, crossing at r/r_out in 0.78–0.96. Viability is boundary-mediated through disk cancellation.</w:t>
      </w:r>
    </w:p>
    <w:p>
      <w:pPr>
        <w:pStyle w:val="Heading2"/>
        <w:spacing w:after="120" w:before="240"/>
      </w:pPr>
      <w:r>
        <w:rPr>
          <w:rFonts w:ascii="Arial" w:cs="Arial" w:eastAsia="Arial" w:hAnsi="Arial"/>
          <w:b/>
          <w:bCs/>
          <w:sz w:val="24"/>
          <w:szCs w:val="24"/>
        </w:rPr>
        <w:t xml:space="preserve">9.3  Buffered branch radial profile structure</w:t>
      </w:r>
    </w:p>
    <w:p>
      <w:pPr>
        <w:spacing w:after="100" w:before="100"/>
      </w:pPr>
      <w:r>
        <w:rPr>
          <w:rFonts w:ascii="Arial" w:cs="Arial" w:eastAsia="Arial" w:hAnsi="Arial"/>
          <w:sz w:val="22"/>
          <w:szCs w:val="22"/>
        </w:rPr>
        <w:t xml:space="preserve">The six buffered ETGs share a common rescaled radial approach profile near u = 1. On the window 0.92 ≤ x = r/r_cross ≤ 1.04 (121-point grid), the common constrained quadratic law is:</w:t>
      </w:r>
    </w:p>
    <w:p>
      <w:pPr>
        <w:spacing w:after="120" w:before="120"/>
        <w:jc w:val="center"/>
      </w:pPr>
      <w:r>
        <w:rPr>
          <w:rFonts w:ascii="Courier New" w:cs="Courier New" w:eastAsia="Courier New" w:hAnsi="Courier New"/>
          <w:sz w:val="22"/>
          <w:szCs w:val="22"/>
        </w:rPr>
        <w:t xml:space="preserve">u(x) ≈ 1 − 1.587(x−1) + 1.398(x−1)²</w:t>
      </w:r>
    </w:p>
    <w:p>
      <w:pPr>
        <w:spacing w:after="100" w:before="100"/>
      </w:pPr>
      <w:r>
        <w:rPr>
          <w:rFonts w:ascii="Arial" w:cs="Arial" w:eastAsia="Arial" w:hAnsi="Arial"/>
          <w:sz w:val="22"/>
          <w:szCs w:val="22"/>
        </w:rPr>
        <w:t xml:space="preserve">Per-galaxy RMSE against common law (verified from raw files): NGC3522 = 0.013, NGC3626 = 0.002, NGC3838 = 0.012, NGC3941 = 0.009, NGC6798 = 0.023, UGC6176 = 0.005. Residual PC1 variance: 99.85% (one-dimensional residual structure). Individual slope coefficients c1: NGC3522 = −1.874, NGC3626 = −1.660, NGC3838 = −1.847, NGC3941 = −1.402, NGC6798 = −1.045, UGC6176 = −1.695.</w:t>
      </w:r>
    </w:p>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The residual mode is organised by c1 itself: using c1 as predictor gives functional LOO = 0.00163. The empirical scalar Z = log(R_b/δu) + 0.30S cited in earlier drafts has a provenance issue — no self-contained radius from the uploaded ETG files reproduces the claimed LOO scale, and the stated R_b values do not correlate with c1 (r = 0.077). The crossing-window geometry (common law, per-galaxy RMSEs, PC1 structure) is fully verified; the Z/R_b LOO organisation remains unverified and is not cited as a locked result.</w:t>
      </w:r>
    </w:p>
    <w:p>
      <w:pPr>
        <w:pStyle w:val="Heading2"/>
        <w:spacing w:after="120" w:before="240"/>
      </w:pPr>
      <w:r>
        <w:rPr>
          <w:rFonts w:ascii="Arial" w:cs="Arial" w:eastAsia="Arial" w:hAnsi="Arial"/>
          <w:b/>
          <w:bCs/>
          <w:sz w:val="24"/>
          <w:szCs w:val="24"/>
        </w:rPr>
        <w:t xml:space="preserve">9.4  Cancellation sector</w:t>
      </w:r>
    </w:p>
    <w:p>
      <w:pPr>
        <w:spacing w:after="100" w:before="100"/>
      </w:pPr>
      <w:r>
        <w:rPr>
          <w:rFonts w:ascii="Arial" w:cs="Arial" w:eastAsia="Arial" w:hAnsi="Arial"/>
          <w:sz w:val="22"/>
          <w:szCs w:val="22"/>
        </w:rPr>
        <w:t xml:space="preserve">The outer cancellation ratio R = Bout/Xout decomposes exactly as R = R_d + R_b. Correlations (verified from raw files): r(R_d, R) = 0.905, r(R_b, R) = 0.544 for all 16 ETGs. In the moderate/high-load subset (X_out &gt; 2, N=12): r(R_d, R) = 0.925, r(R_b, R) = 0.529. The cancellation sector is effectively disk-carried where it matters. The outer bulge component follows a Keplerian tail (V_bul ∝ r^{−1/2}, log-slope = −0.500 to 4 decimal places) for all six buffered ETGs at their outer edges.</w:t>
      </w:r>
    </w:p>
    <w:p>
      <w:pPr>
        <w:pStyle w:val="Heading1"/>
        <w:spacing w:after="160" w:before="320"/>
      </w:pPr>
      <w:r>
        <w:rPr>
          <w:rFonts w:ascii="Arial" w:cs="Arial" w:eastAsia="Arial" w:hAnsi="Arial"/>
          <w:b/>
          <w:bCs/>
          <w:sz w:val="28"/>
          <w:szCs w:val="28"/>
        </w:rPr>
        <w:t xml:space="preserve">10.  Outer Chain Reduction</w:t>
      </w:r>
    </w:p>
    <w:p>
      <w:pPr>
        <w:pStyle w:val="Heading2"/>
        <w:spacing w:after="120" w:before="240"/>
      </w:pPr>
      <w:r>
        <w:rPr>
          <w:rFonts w:ascii="Arial" w:cs="Arial" w:eastAsia="Arial" w:hAnsi="Arial"/>
          <w:b/>
          <w:bCs/>
          <w:sz w:val="24"/>
          <w:szCs w:val="24"/>
        </w:rPr>
        <w:t xml:space="preserve">10.1  Stage-4 disk-force law</w:t>
      </w:r>
    </w:p>
    <w:p>
      <w:pPr>
        <w:spacing w:after="100" w:before="100"/>
      </w:pPr>
      <w:r>
        <w:rPr>
          <w:rFonts w:ascii="Arial" w:cs="Arial" w:eastAsia="Arial" w:hAnsi="Arial"/>
          <w:sz w:val="22"/>
          <w:szCs w:val="22"/>
        </w:rPr>
        <w:t xml:space="preserve">The disk-only viability boundary is equivalent to a gate disk-force condition. Log-log fit results verified from raw files: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Sample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Intercept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a (density)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b (geometry)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R²</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Density definition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Full (N=16)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4.91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Σ_disk at ~0.91 r_out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X_out &gt; 2 (N=12)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0.876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Σ_disk at ~0.82–1.0 r_out mean</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The exact coefficient table is density-definition sensitive. No single outer-density convention reproduces both rows simultaneously. The full-sample row is reproduced by Σ at 0.910 r_out (verified: A=4.956, a=0.779, b=1.613, R²=0.856). The high-load R²=0.876 requires a mean over ~0.82–1.0 r_out. Structural range verified: a ≈ 0.78–0.84, b ≈ 1.60–1.72, R² ≈ 0.85–0.89 across tested definitions.</w:t>
      </w:r>
    </w:p>
    <w:p>
      <w:pPr>
        <w:pStyle w:val="Heading2"/>
        <w:spacing w:after="120" w:before="240"/>
      </w:pPr>
      <w:r>
        <w:rPr>
          <w:rFonts w:ascii="Arial" w:cs="Arial" w:eastAsia="Arial" w:hAnsi="Arial"/>
          <w:b/>
          <w:bCs/>
          <w:sz w:val="24"/>
          <w:szCs w:val="24"/>
        </w:rPr>
        <w:t xml:space="preserve">10.2  Real-profile kernel law</w:t>
      </w:r>
    </w:p>
    <w:p>
      <w:pPr>
        <w:spacing w:after="100" w:before="100"/>
      </w:pPr>
      <w:r>
        <w:rPr>
          <w:rFonts w:ascii="Arial" w:cs="Arial" w:eastAsia="Arial" w:hAnsi="Arial"/>
          <w:sz w:val="22"/>
          <w:szCs w:val="22"/>
        </w:rPr>
        <w:t xml:space="preserve">With H_real = 0.5 × [V²_disk(r_out)/r_out] / (Γ₀ × ⟨Σ_disk⟩_{0.8–1.0}), z = r_out/R_90, and η = Σ_disk(r_out)/⟨Σ_disk⟩_{0.8–1.0}:</w:t>
      </w:r>
    </w:p>
    <w:p>
      <w:pPr>
        <w:spacing w:after="120" w:before="120"/>
        <w:jc w:val="center"/>
      </w:pPr>
      <w:r>
        <w:rPr>
          <w:rFonts w:ascii="Courier New" w:cs="Courier New" w:eastAsia="Courier New" w:hAnsi="Courier New"/>
          <w:sz w:val="22"/>
          <w:szCs w:val="22"/>
        </w:rPr>
        <w:t xml:space="preserve">log H_real = −3.487 + 2.003 log(z) − 0.919 log(η),   R² = 0.931   (N = 16)</w:t>
      </w:r>
    </w:p>
    <w:p>
      <w:pPr>
        <w:spacing w:after="120" w:before="120"/>
        <w:jc w:val="center"/>
      </w:pPr>
      <w:r>
        <w:rPr>
          <w:rFonts w:ascii="Courier New" w:cs="Courier New" w:eastAsia="Courier New" w:hAnsi="Courier New"/>
          <w:sz w:val="22"/>
          <w:szCs w:val="22"/>
        </w:rPr>
        <w:t xml:space="preserve">High-load (X_out &gt; 2, N=12): log H_real = −3.390 + 2.239 log(z) − 0.583 log(η),   R² = 0.930</w:t>
      </w:r>
    </w:p>
    <w:p>
      <w:pPr>
        <w:spacing w:after="100" w:before="100"/>
      </w:pPr>
      <w:r>
        <w:rPr>
          <w:rFonts w:ascii="Arial" w:cs="Arial" w:eastAsia="Arial" w:hAnsi="Arial"/>
          <w:sz w:val="22"/>
          <w:szCs w:val="22"/>
        </w:rPr>
        <w:t xml:space="preserve">K constants: K_full = exp(−3.487) = 0.03060, K_hl = exp(−3.390) = 0.03372 (both verified to all digits from raw files). The normalisation factor is 0.5/Γ₀ = 6.17×10⁻⁴.</w:t>
      </w:r>
    </w:p>
    <w:p>
      <w:pPr>
        <w:pStyle w:val="Heading2"/>
        <w:spacing w:after="120" w:before="240"/>
      </w:pPr>
      <w:r>
        <w:rPr>
          <w:rFonts w:ascii="Arial" w:cs="Arial" w:eastAsia="Arial" w:hAnsi="Arial"/>
          <w:b/>
          <w:bCs/>
          <w:sz w:val="24"/>
          <w:szCs w:val="24"/>
        </w:rPr>
        <w:t xml:space="preserve">10.3  The complete outer chain</w:t>
      </w:r>
    </w:p>
    <w:p>
      <w:pPr>
        <w:spacing w:after="100" w:before="100"/>
      </w:pPr>
      <w:r>
        <w:rPr>
          <w:rFonts w:ascii="Arial" w:cs="Arial" w:eastAsia="Arial" w:hAnsi="Arial"/>
          <w:sz w:val="22"/>
          <w:szCs w:val="22"/>
        </w:rPr>
        <w:t xml:space="preserve">Stage 1: X_out — dominates the empirical outer gate globally. Stage 2: B_out/X_out = R_d + R_b — residual cancellation, effectively disk-only. Stage 3: R_d = 0.5 V²_disk(r_out)/V²_obs(r_out) — disk-carried cancellation (AUC = 0.964 for buffered-branch identification). Stage 4: V²_disk(r_out)/r_out ∝ ⟨Σ_disk⟩^a × z^b — local outer disk density and gate-position geometry.</w:t>
      </w:r>
    </w:p>
    <w:p>
      <w:pPr>
        <w:pStyle w:val="Heading1"/>
        <w:spacing w:after="160" w:before="320"/>
      </w:pPr>
      <w:r>
        <w:rPr>
          <w:rFonts w:ascii="Arial" w:cs="Arial" w:eastAsia="Arial" w:hAnsi="Arial"/>
          <w:b/>
          <w:bCs/>
          <w:sz w:val="28"/>
          <w:szCs w:val="28"/>
        </w:rPr>
        <w:t xml:space="preserve">11.  H+ Branch Mathematics</w:t>
      </w:r>
    </w:p>
    <w:p>
      <w:pPr>
        <w:pStyle w:val="Heading2"/>
        <w:spacing w:after="120" w:before="240"/>
      </w:pPr>
      <w:r>
        <w:rPr>
          <w:rFonts w:ascii="Arial" w:cs="Arial" w:eastAsia="Arial" w:hAnsi="Arial"/>
          <w:b/>
          <w:bCs/>
          <w:sz w:val="24"/>
          <w:szCs w:val="24"/>
        </w:rPr>
        <w:t xml:space="preserve">11.1  Sign gate and suppression structure</w:t>
      </w:r>
    </w:p>
    <w:p>
      <w:pPr>
        <w:spacing w:after="100" w:before="100"/>
      </w:pPr>
      <w:r>
        <w:rPr>
          <w:rFonts w:ascii="Arial" w:cs="Arial" w:eastAsia="Arial" w:hAnsi="Arial"/>
          <w:sz w:val="22"/>
          <w:szCs w:val="22"/>
        </w:rPr>
        <w:t xml:space="preserve">For H+ galaxies (Ω_in &gt; 1), the suppression integral G_supp must be computed via the integration-by-parts (IBP) form:</w:t>
      </w:r>
    </w:p>
    <w:p>
      <w:pPr>
        <w:spacing w:after="120" w:before="120"/>
        <w:jc w:val="center"/>
      </w:pPr>
      <w:r>
        <w:rPr>
          <w:rFonts w:ascii="Courier New" w:cs="Courier New" w:eastAsia="Courier New" w:hAnsi="Courier New"/>
          <w:sz w:val="22"/>
          <w:szCs w:val="22"/>
        </w:rPr>
        <w:t xml:space="preserve">G_supp = V̄²_bar(r_in) · κ*,   κ* = 1 − (1/x_B) ∫₀¹ exp(−(1−y)/x_B) B(y) dy</w:t>
      </w:r>
    </w:p>
    <w:p>
      <w:pPr>
        <w:spacing w:after="100" w:before="100"/>
      </w:pPr>
      <w:r>
        <w:rPr>
          <w:rFonts w:ascii="Arial" w:cs="Arial" w:eastAsia="Arial" w:hAnsi="Arial"/>
          <w:sz w:val="22"/>
          <w:szCs w:val="22"/>
        </w:rPr>
        <w:t xml:space="preserve">The exact algebraic decomposition: κ* = exp(−1/x_B) + U, where:</w:t>
      </w:r>
    </w:p>
    <w:p>
      <w:pPr>
        <w:spacing w:after="120" w:before="120"/>
        <w:jc w:val="center"/>
      </w:pPr>
      <w:r>
        <w:rPr>
          <w:rFonts w:ascii="Courier New" w:cs="Courier New" w:eastAsia="Courier New" w:hAnsi="Courier New"/>
          <w:sz w:val="22"/>
          <w:szCs w:val="22"/>
        </w:rPr>
        <w:t xml:space="preserve">U = (1/x_B) ∫₀¹ exp(−(1−y)/x_B) [1 − B(y)] dy</w:t>
      </w:r>
    </w:p>
    <w:p>
      <w:pPr>
        <w:pStyle w:val="Heading2"/>
        <w:spacing w:after="120" w:before="240"/>
      </w:pPr>
      <w:r>
        <w:rPr>
          <w:rFonts w:ascii="Arial" w:cs="Arial" w:eastAsia="Arial" w:hAnsi="Arial"/>
          <w:b/>
          <w:bCs/>
          <w:sz w:val="24"/>
          <w:szCs w:val="24"/>
        </w:rPr>
        <w:t xml:space="preserve">11.2  The J-branch and amplitude cancellation</w:t>
      </w:r>
    </w:p>
    <w:p>
      <w:pPr>
        <w:spacing w:after="100" w:before="100"/>
      </w:pPr>
      <w:r>
        <w:rPr>
          <w:rFonts w:ascii="Arial" w:cs="Arial" w:eastAsia="Arial" w:hAnsi="Arial"/>
          <w:sz w:val="22"/>
          <w:szCs w:val="22"/>
        </w:rPr>
        <w:t xml:space="preserve">Defining Δ = 1 − Q12, H(y) = (1 − B(y))/Δ, and substituting x_B = AΔ:</w:t>
      </w:r>
    </w:p>
    <w:p>
      <w:pPr>
        <w:spacing w:after="120" w:before="120"/>
        <w:jc w:val="center"/>
      </w:pPr>
      <w:r>
        <w:rPr>
          <w:rFonts w:ascii="Courier New" w:cs="Courier New" w:eastAsia="Courier New" w:hAnsi="Courier New"/>
          <w:sz w:val="22"/>
          <w:szCs w:val="22"/>
        </w:rPr>
        <w:t xml:space="preserve">U = J(A)/A,   J(A) = ∫₀¹ exp(−(1−y)/(AΔ)) H(y) dy</w:t>
      </w:r>
    </w:p>
    <w:p>
      <w:pPr>
        <w:spacing w:after="100" w:before="100"/>
      </w:pPr>
      <w:r>
        <w:rPr>
          <w:rFonts w:ascii="Arial" w:cs="Arial" w:eastAsia="Arial" w:hAnsi="Arial"/>
          <w:sz w:val="22"/>
          <w:szCs w:val="22"/>
        </w:rPr>
        <w:t xml:space="preserve">This substitution removes the explicit deficit amplitude from the U prefactor, reducing U to a kernel-weighted integral of the normalised profile shape H(y).</w:t>
      </w:r>
    </w:p>
    <w:p>
      <w:pPr>
        <w:pStyle w:val="Heading2"/>
        <w:spacing w:after="120" w:before="240"/>
      </w:pPr>
      <w:r>
        <w:rPr>
          <w:rFonts w:ascii="Arial" w:cs="Arial" w:eastAsia="Arial" w:hAnsi="Arial"/>
          <w:b/>
          <w:bCs/>
          <w:sz w:val="24"/>
          <w:szCs w:val="24"/>
        </w:rPr>
        <w:t xml:space="preserve">11.3  Branch invariants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900"/>
        <w:gridCol w:w="900"/>
        <w:gridCol w:w="900"/>
        <w:gridCol w:w="176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Galaxy</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r_in</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Q12</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Q14</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Ω_in</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U_max</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x_loc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Class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NGC2685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0.5448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0.1944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1.1231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0.4981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1.548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single-ch.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NGC3626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0.6179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1.3160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1.303</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single-ch.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1.2246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0.7738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1.013</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single-ch.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0.6208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1.2757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1.3374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n/a</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two-ch.</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Single-channel calibrators: U* = 0.201803 (mean; CV = 0.00% by construction), A_loc = 3.344 (CV = 2.56%). Branch law: x_B ≈ 3.34(1 − Q12), L_B ≈ 3.34 r_in(1 − Q12).</w:t>
      </w:r>
    </w:p>
    <w:p>
      <w:pPr>
        <w:pStyle w:val="Heading2"/>
        <w:spacing w:after="120" w:before="240"/>
      </w:pPr>
      <w:r>
        <w:rPr>
          <w:rFonts w:ascii="Arial" w:cs="Arial" w:eastAsia="Arial" w:hAnsi="Arial"/>
          <w:b/>
          <w:bCs/>
          <w:sz w:val="24"/>
          <w:szCs w:val="24"/>
        </w:rPr>
        <w:t xml:space="preserve">11.4  No confirmed LTG H+ objects</w:t>
      </w:r>
    </w:p>
    <w:p>
      <w:pPr>
        <w:spacing w:after="100" w:before="100"/>
      </w:pPr>
      <w:r>
        <w:rPr>
          <w:rFonts w:ascii="Arial" w:cs="Arial" w:eastAsia="Arial" w:hAnsi="Arial"/>
          <w:sz w:val="22"/>
          <w:szCs w:val="22"/>
        </w:rPr>
        <w:t xml:space="preserve">Priority O is closed. NGC2841 fails Ω_in &gt; 1 (Ω_in = 0.609 from raw files; max Ω = 0.659 at R₀). NGC4157 passes the numerical gate (Ω_in = 1.212) but is a central-deficit crossing object (u(R₀) = −1.07) and the strongest local-shape outlier in the clean LTG buffered sample (Mahalanobis D² = 25.4, rank 1 of 75). No confirmed LTG H+ objects exist.</w:t>
      </w:r>
    </w:p>
    <w:p>
      <w:pPr>
        <w:pStyle w:val="Heading1"/>
        <w:spacing w:after="160" w:before="320"/>
      </w:pPr>
      <w:r>
        <w:rPr>
          <w:rFonts w:ascii="Arial" w:cs="Arial" w:eastAsia="Arial" w:hAnsi="Arial"/>
          <w:b/>
          <w:bCs/>
          <w:sz w:val="28"/>
          <w:szCs w:val="28"/>
        </w:rPr>
        <w:t xml:space="preserve">12.  Falsification Controls</w:t>
      </w:r>
    </w:p>
    <w:p>
      <w:pPr>
        <w:spacing w:after="100" w:before="100"/>
      </w:pPr>
      <w:r>
        <w:rPr>
          <w:rFonts w:ascii="Arial" w:cs="Arial" w:eastAsia="Arial" w:hAnsi="Arial"/>
          <w:b/>
          <w:bCs/>
          <w:sz w:val="22"/>
          <w:szCs w:val="22"/>
        </w:rPr>
        <w:t xml:space="preserve">Sign gate isolation: NGC3838 vs NGC3626.</w:t>
      </w:r>
      <w:r>
        <w:rPr>
          <w:rFonts w:ascii="Arial" w:cs="Arial" w:eastAsia="Arial" w:hAnsi="Arial"/>
          <w:sz w:val="22"/>
          <w:szCs w:val="22"/>
        </w:rPr>
        <w:t xml:space="preserve"> Both in the viable profile locus, both outer-feasible, both inner-feasible. H(0.3) = 1.8664 vs 1.8668 — near-identical normalised deficit shapes. The split is entirely due to absolute inner baryonic amplitude: V̄_bar(r_in) = 194 km/s (Ω_in = 0.705) vs 284 km/s (Ω_in = 1.316).</w:t>
      </w:r>
    </w:p>
    <w:p>
      <w:pPr>
        <w:spacing w:after="100" w:before="100"/>
      </w:pPr>
      <w:r>
        <w:rPr>
          <w:rFonts w:ascii="Arial" w:cs="Arial" w:eastAsia="Arial" w:hAnsi="Arial"/>
          <w:sz w:val="22"/>
          <w:szCs w:val="22"/>
        </w:rPr>
        <w:t xml:space="preserve"/>
      </w:r>
    </w:p>
    <w:p>
      <w:pPr>
        <w:spacing w:after="100" w:before="100"/>
      </w:pPr>
      <w:r>
        <w:rPr>
          <w:rFonts w:ascii="Arial" w:cs="Arial" w:eastAsia="Arial" w:hAnsi="Arial"/>
          <w:b/>
          <w:bCs/>
          <w:sz w:val="22"/>
          <w:szCs w:val="22"/>
        </w:rPr>
        <w:t xml:space="preserve">Outer demand isolation: NGC4203 vs NGC3626.</w:t>
      </w:r>
      <w:r>
        <w:rPr>
          <w:rFonts w:ascii="Arial" w:cs="Arial" w:eastAsia="Arial" w:hAnsi="Arial"/>
          <w:sz w:val="22"/>
          <w:szCs w:val="22"/>
        </w:rPr>
        <w:t xml:space="preserve"> Both H+ (Ω_in &gt; 1). NGC4203 has S = 10.07 vs 0.534, and u = 1.337 &gt; 1. It fails both inner feasibility and outer capacity independently.</w:t>
      </w:r>
    </w:p>
    <w:p>
      <w:pPr>
        <w:spacing w:after="100" w:before="100"/>
      </w:pPr>
      <w:r>
        <w:rPr>
          <w:rFonts w:ascii="Arial" w:cs="Arial" w:eastAsia="Arial" w:hAnsi="Arial"/>
          <w:sz w:val="22"/>
          <w:szCs w:val="22"/>
        </w:rPr>
        <w:t xml:space="preserve"/>
      </w:r>
    </w:p>
    <w:p>
      <w:pPr>
        <w:spacing w:after="100" w:before="100"/>
      </w:pPr>
      <w:r>
        <w:rPr>
          <w:rFonts w:ascii="Arial" w:cs="Arial" w:eastAsia="Arial" w:hAnsi="Arial"/>
          <w:b/>
          <w:bCs/>
          <w:sz w:val="22"/>
          <w:szCs w:val="22"/>
        </w:rPr>
        <w:t xml:space="preserve">Disk-buffered outer isolation: NGC3941 vs UGC6176.</w:t>
      </w:r>
      <w:r>
        <w:rPr>
          <w:rFonts w:ascii="Arial" w:cs="Arial" w:eastAsia="Arial" w:hAnsi="Arial"/>
          <w:sz w:val="22"/>
          <w:szCs w:val="22"/>
        </w:rPr>
        <w:t xml:space="preserve"> X_out = 2.308 vs 2.240 (nearly identical). f_bul = 0.086 vs 0.086 (identical). The outer disk term is the sole separator. Keplerian tail log-slope = −0.500 for all six buffered ETGs.</w:t>
      </w:r>
    </w:p>
    <w:p>
      <w:pPr>
        <w:pStyle w:val="Heading1"/>
        <w:spacing w:after="160" w:before="320"/>
      </w:pPr>
      <w:r>
        <w:rPr>
          <w:rFonts w:ascii="Arial" w:cs="Arial" w:eastAsia="Arial" w:hAnsi="Arial"/>
          <w:b/>
          <w:bCs/>
          <w:sz w:val="28"/>
          <w:szCs w:val="28"/>
        </w:rPr>
        <w:t xml:space="preserve">13.  Computation Conventions</w:t>
      </w:r>
    </w:p>
    <w:p>
      <w:pPr>
        <w:spacing w:after="100" w:before="100"/>
      </w:pPr>
      <w:r>
        <w:rPr>
          <w:rFonts w:ascii="Arial" w:cs="Arial" w:eastAsia="Arial" w:hAnsi="Arial"/>
          <w:sz w:val="22"/>
          <w:szCs w:val="22"/>
        </w:rPr>
        <w:t xml:space="preserve">The following conventions apply to all verified results in this paper. Any recomputation that deviates from these will produce different numbers.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Context</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Convention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Inner profile quantities
(Q12, Q14, Δ, S, U_max)</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Interpolate V² directly. Do NOT interpolate V then square. Critical for UGC6176 (coarse grid between R=0 and R=0.124 kpc at r_in = 0.170 kpc).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 radial u(r) profiles,
crossing-window work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Interpolate V_obs in V-space then square. Interpolate disk/bulge component terms in V²-space. This mixed convention is required to reproduce the canonical crossing positions and common-law c1/c2.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memory law</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Use exact gas-dependent form: L_eff = 1.8h[1 + S_mem(1 − exp(−memory_load/S_mem))]. The saturated approximation L_eff = 1.8h(1+S_mem) gives lower RMSE by ~0.7 km/s but is not the canonical formula.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U_max integration grid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Require n_y ≥ 2000 for 4-digit stability. Grid density of n_y = 500 underestimates U_max by ~0.0003 uniformly across all galaxies.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 &lt; 1.70 threshold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Motivated by the regression-implied crossing U_max = U*. ETG-implied S* = 1.699, LTG-implied S* = 1.69–1.73. Not set arbitrarily.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Baryonic convention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V̄²_bar = V²_gas + 0.5 V²_disk + 0.7 V²_bul. M/L_disk = 0.5, M/L_bul = 0.7.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AUC classifier (g_sep, g4)</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Computed on N=55 buffered galaxies with valid S_inner. 22 buffered galaxies have no valid inner variables and cannot be included.</w:t>
            </w:r>
          </w:p>
        </w:tc>
      </w:tr>
    </w:tbl>
    <w:p>
      <w:pPr>
        <w:pStyle w:val="Heading1"/>
        <w:spacing w:after="160" w:before="320"/>
      </w:pPr>
      <w:r>
        <w:rPr>
          <w:rFonts w:ascii="Arial" w:cs="Arial" w:eastAsia="Arial" w:hAnsi="Arial"/>
          <w:b/>
          <w:bCs/>
          <w:sz w:val="28"/>
          <w:szCs w:val="28"/>
        </w:rPr>
        <w:t xml:space="preserve">14.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Level</w:t>
            </w:r>
          </w:p>
        </w:tc>
        <w:tc>
          <w:tcPr>
            <w:tcW w:type="dxa" w:w="7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Content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Background transport (Γ₀, L, q)</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Photometric closure (L_pred = 2kh)</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Memory saturation (L_eff, zero parameters)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Response shape (q = 1 + n_out)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LTG/ETG population separation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 four-condition intersection (Δ, Q14, Ω_in, u)</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 sign-changing H+ sector (gate, suppression, outer capacity, branch law)</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 chain reduction (X_out, R_d, Stage-4 disk-force law)</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Radial threshold structure (u(r) law, δu = 1−u, buffered profile collapse)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Universal S-law (U_max ≈ 0.23–0.24 − 0.058 ln(S), R²≈0.85–0.92, both LTG and ETG); LTG outer route split; LTG buffered regime split (52 upward / 25 single-crossing); Q12–Q14 inner law</w:t>
            </w:r>
          </w:p>
        </w:tc>
      </w:tr>
    </w:tbl>
    <w:p>
      <w:pPr>
        <w:pStyle w:val="Heading1"/>
        <w:spacing w:after="160" w:before="320"/>
      </w:pPr>
      <w:r>
        <w:rPr>
          <w:rFonts w:ascii="Arial" w:cs="Arial" w:eastAsia="Arial" w:hAnsi="Arial"/>
          <w:b/>
          <w:bCs/>
          <w:sz w:val="28"/>
          <w:szCs w:val="28"/>
        </w:rPr>
        <w:t xml:space="preserve">15.  Derived vs Empirical Status</w:t>
      </w:r>
    </w:p>
    <w:p>
      <w:pPr>
        <w:pStyle w:val="Heading2"/>
        <w:spacing w:after="120" w:before="240"/>
      </w:pPr>
      <w:r>
        <w:rPr>
          <w:rFonts w:ascii="Arial" w:cs="Arial" w:eastAsia="Arial" w:hAnsi="Arial"/>
          <w:b/>
          <w:bCs/>
          <w:sz w:val="24"/>
          <w:szCs w:val="24"/>
        </w:rPr>
        <w:t xml:space="preserve">Derived</w:t>
      </w:r>
    </w:p>
    <w:p>
      <w:pPr>
        <w:spacing w:after="100" w:before="100"/>
      </w:pPr>
      <w:r>
        <w:rPr>
          <w:rFonts w:ascii="Arial" w:cs="Arial" w:eastAsia="Arial" w:hAnsi="Arial"/>
          <w:sz w:val="22"/>
          <w:szCs w:val="22"/>
        </w:rPr>
        <w:t xml:space="preserve">Transport equation and background law; photometric closure; memory-load structure; suppression operator form; H+ sign-change mechanism; exact outer viability boundary X_out &lt; R_max/(1 − R_d − R_b); exact identity δu = (X_crit − X_out)/X_crit; structural form of the Stage-4 disk-force law.</w:t>
      </w:r>
    </w:p>
    <w:p>
      <w:pPr>
        <w:pStyle w:val="Heading2"/>
        <w:spacing w:after="120" w:before="240"/>
      </w:pPr>
      <w:r>
        <w:rPr>
          <w:rFonts w:ascii="Arial" w:cs="Arial" w:eastAsia="Arial" w:hAnsi="Arial"/>
          <w:b/>
          <w:bCs/>
          <w:sz w:val="24"/>
          <w:szCs w:val="24"/>
        </w:rPr>
        <w:t xml:space="preserve">Empirical (verified from raw files)</w:t>
      </w:r>
    </w:p>
    <w:p>
      <w:pPr>
        <w:spacing w:after="100" w:before="100"/>
      </w:pPr>
      <w:r>
        <w:rPr>
          <w:rFonts w:ascii="Arial" w:cs="Arial" w:eastAsia="Arial" w:hAnsi="Arial"/>
          <w:sz w:val="22"/>
          <w:szCs w:val="22"/>
        </w:rPr>
        <w:t xml:space="preserve">q ≈ 0.77; R_max = 1.758948; U* = 0.201803; A_loc = 3.344 (3-galaxy calibration); Stage-4 exponents a ≈ 0.78, b ≈ 1.61 (full sample); buffered profile collapse u(x) ≈ 1 − 1.587(x−1) + 1.398(x−1)²; outer bulge Keplerian tail log-slope = −0.500; K_full = 0.03060, K_hl = 0.03372; LTG buffered split 52/25; regime classifier AUC = 0.912 (N=55); Q12–Q14 law intercept = 0.317, slope = 0.811, R² = 0.768 (N=124); straight-down outer error scalar g = memory_load × x_cross (Pearson = +0.782); S-law A ≈ 0.240, B ≈ −0.070, R² ≈ 0.919 (LTG), A ≈ 0.233, B ≈ −0.058, R² ≈ 0.851 (ETG).</w:t>
      </w:r>
    </w:p>
    <w:p>
      <w:pPr>
        <w:pStyle w:val="Heading2"/>
        <w:spacing w:after="120" w:before="240"/>
      </w:pPr>
      <w:r>
        <w:rPr>
          <w:rFonts w:ascii="Arial" w:cs="Arial" w:eastAsia="Arial" w:hAnsi="Arial"/>
          <w:b/>
          <w:bCs/>
          <w:sz w:val="24"/>
          <w:szCs w:val="24"/>
        </w:rPr>
        <w:t xml:space="preserve">Provisional / unresolved</w:t>
      </w:r>
    </w:p>
    <w:p>
      <w:pPr>
        <w:spacing w:after="100" w:before="100"/>
      </w:pPr>
      <w:r>
        <w:rPr>
          <w:rFonts w:ascii="Arial" w:cs="Arial" w:eastAsia="Arial" w:hAnsi="Arial"/>
          <w:sz w:val="22"/>
          <w:szCs w:val="22"/>
        </w:rPr>
        <w:t xml:space="preserve">ETG buffered residual mode organiser Z = log(R_b/δu) + 0.30S: crossing-window geometry is verified; the claimed LOO scale (0.00412, 0.00170) is not reproducible from any self-contained radius in the uploaded ETG files. The underlying mode is captured by c1 (LOO = 0.00163 using c1 directly). This result should not be cited with specific LOO values until the R_b provenance is resolved.</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LTG global headline RMSE table: the values 20.60 km/s (N=137 clean) and 29.44 km/s (N=174 all) originated in earlier formula versions (29.44 from L_eff ≈ 0.7735h no-memory baseline; 20.60 from no-memory L_eff = 1.8h with outer bulge cut, N=154 not 137). Neither is current-formula performance. Do not cite without the current values in §4.</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Stage-4 disk-force exact coefficients: definition-sensitive. Full table (4.91, 0.78, 1.61, R²=0.856) reproduced by Σ at 0.910 r_out; high-load table (5.17, 0.69, 1.55, R²=0.876) requires a different annular averaging. No single definition reproduces both.</w:t>
      </w:r>
    </w:p>
    <w:p>
      <w:pPr>
        <w:pStyle w:val="Heading2"/>
        <w:spacing w:after="120" w:before="240"/>
      </w:pPr>
      <w:r>
        <w:rPr>
          <w:rFonts w:ascii="Arial" w:cs="Arial" w:eastAsia="Arial" w:hAnsi="Arial"/>
          <w:b/>
          <w:bCs/>
          <w:sz w:val="24"/>
          <w:szCs w:val="24"/>
        </w:rPr>
        <w:t xml:space="preserve">Open theoretical targets</w:t>
      </w:r>
    </w:p>
    <w:p>
      <w:pPr>
        <w:spacing w:after="100" w:before="100"/>
      </w:pPr>
      <w:r>
        <w:rPr>
          <w:rFonts w:ascii="Arial" w:cs="Arial" w:eastAsia="Arial" w:hAnsi="Arial"/>
          <w:sz w:val="22"/>
          <w:szCs w:val="22"/>
        </w:rPr>
        <w:t xml:space="preserve">A. First-principles derivation of λ_B and branch coefficient A ≈ 3.34. B. Extension beyond 3-galaxy single-channel calibration. C. Physical mechanism connecting λ_exc to transport dynamics. D. Confirm independent second two-channel H+ galaxy to verify NGC4203 solution. E. Derivation of Stage-4 exponents from ETG disk profile structure. F. Analytic derivation of buffered profile local slope c1 ≈ −1.59. G. Identify the R_b quantity that recovers the claimed Z/LOO scalar, or replace with c1-based statement. H. IllustrisTNG/EAGLE test.</w:t>
      </w:r>
    </w:p>
    <w:p>
      <w:pPr>
        <w:pStyle w:val="Heading1"/>
        <w:spacing w:after="160" w:before="320"/>
      </w:pPr>
      <w:r>
        <w:rPr>
          <w:rFonts w:ascii="Arial" w:cs="Arial" w:eastAsia="Arial" w:hAnsi="Arial"/>
          <w:b/>
          <w:bCs/>
          <w:sz w:val="28"/>
          <w:szCs w:val="28"/>
        </w:rPr>
        <w:t xml:space="preserve">16.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80"/>
        <w:gridCol w:w="2340"/>
        <w:gridCol w:w="2340"/>
        <w:gridCol w:w="156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Population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Model/Test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Metric</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Value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LTGs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Median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17.15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Upward-crossing buffered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Median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21.28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Single-crossing buffered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Median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27.59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Upward vs single-crossing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Welch t-test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RMSE p-value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0.00985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outer routes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 crossing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Low-load / buffered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81 / 77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outer infeasible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u(r_out) ≥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Count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Regime classifier</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g_sep = −u(R₀)+0.35S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S-law</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Umax = A + B ln(S)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R²</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0.919</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 S-law</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Umax = A + B ln(S)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R²</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 &lt; 1.70 threshold (LTG)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vs U_max ≥ 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Accuracy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135/141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 gate (16 ETGs)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X_out &lt; R_max/(1−R_d)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Classification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16/16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Buffered-branch ID (AUC)</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R_d alone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0.964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Kernel law (full ETG)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H_real ∝ z² η^{−0.92}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R²</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K_full / K_hl</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Normalised kernel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 constants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0.03060 / 0.03372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δu identity (all ETGs)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δu = (X_crit−X_out)/X_crit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Max error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 5×10⁻¹⁶</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*AUC for regime classifier conditions on 55 buffered galaxies with valid S_inner, not all 77.</w:t>
      </w:r>
    </w:p>
    <w:p>
      <w:pPr>
        <w:pStyle w:val="Heading1"/>
        <w:spacing w:after="160" w:before="320"/>
      </w:pPr>
      <w:r>
        <w:rPr>
          <w:rFonts w:ascii="Arial" w:cs="Arial" w:eastAsia="Arial" w:hAnsi="Arial"/>
          <w:b/>
          <w:bCs/>
          <w:sz w:val="28"/>
          <w:szCs w:val="28"/>
        </w:rPr>
        <w:t xml:space="preserve">17.  Conclusion</w:t>
      </w:r>
    </w:p>
    <w:p>
      <w:pPr>
        <w:spacing w:after="100" w:before="100"/>
      </w:pPr>
      <w:r>
        <w:rPr>
          <w:rFonts w:ascii="Arial" w:cs="Arial" w:eastAsia="Arial" w:hAnsi="Arial"/>
          <w:sz w:val="22"/>
          <w:szCs w:val="22"/>
        </w:rPr>
        <w:t xml:space="preserve">The MTS framework yields a transport-response law for disk galaxies with cosmological normalisation, photometric scale closure, zero-parameter memory correction, and emergent response branching.</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LTGs follow a closed first-order law with memory-driven corrections. The current-formula global median RMSE is 17.15 km/s (N=175). The LTG buffered branch splits into 52 upward-crossing and 25 single-crossing objects, predictable from initial load u(R₀) and inner concentration S_inner (AUC = 0.912). Single-crossing outer error is controlled by g = memory_load × x_cross (Pearson = 0.767).</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ETGs form a multi-family, multi-sign response sector governed by a four-condition intersection. The outer gate factorises exactly into X_out and R_d. The viability boundary X_out &lt; R_max/(1 − R_d) classifies all 16 ETGs correctly. Buffered ETGs share a common rescaled radial approach profile (common law u(x) ≈ 1 − 1.587(x−1) + 1.398(x−1)², PC1 = 99.85%). The outer chain reduces to a density-plus-geometry disk-force kernel law (K_full = 0.03060, R² = 0.931).</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A universal completion-ratio law U_max ≈ A − B ln(S) holds across both galaxy types (LTG: R² = 0.919, ETG: R² = 0.851), with both regression lines implying a threshold crossing U_max = U* near S ≈ 1.70. No confirmed LTG H+ objects exist (NGC2841 rejected; NGC4157 is a central-deficit object).</w:t>
      </w:r>
    </w:p>
    <w:p>
      <w:pPr>
        <w:pStyle w:val="Heading1"/>
        <w:spacing w:after="160" w:before="320"/>
      </w:pPr>
      <w:r>
        <w:rPr>
          <w:rFonts w:ascii="Arial" w:cs="Arial" w:eastAsia="Arial" w:hAnsi="Arial"/>
          <w:b/>
          <w:bCs/>
          <w:sz w:val="28"/>
          <w:szCs w:val="28"/>
        </w:rPr>
        <w:t xml:space="preserve">18.  Methods and Data</w:t>
      </w:r>
    </w:p>
    <w:p>
      <w:pPr>
        <w:spacing w:after="100" w:before="100"/>
      </w:pPr>
      <w:r>
        <w:rPr>
          <w:rFonts w:ascii="Arial" w:cs="Arial" w:eastAsia="Arial" w:hAnsi="Arial"/>
          <w:sz w:val="22"/>
          <w:szCs w:val="22"/>
        </w:rPr>
        <w:t xml:space="preserve">Data: SPARC ROTMOD files (Lelli et al. 2016, 175 disk galaxies). ETG rotation curves from ATLAS³D (16 galaxies). High-resolution bulge/disk component profiles used for all inner-branch and outer-chain computations.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Baryonic convention: V̄²_bar = V²_gas + 0.5 V²_disk + 0.7 V²_bul; M/L_disk = 0.5, M/L_bul = 0.7.</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File conventions: ROTMOD files: comments='#'. Bulge/disk component files: comments='!'. G_supp must use the IBP form; derivative-based form underestimates by 10–15% on coarse grids.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Canonical r_in values: NGC2685 = 0.310, NGC3626 = 0.370, NGC3941 = 0.270, NGC4203 = 0.460 kpc (locked). All other ETGs use first ROTMOD row.</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Framework constants: Γ₀ = 809.956 km²/s²/kpc; R_max = 1.758948; U* = 0.201803.</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Evaluation: RMSE = √(mean[(V_model − V_obs)²]).</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All tables verified from raw ETG and LTG files. Residual split and performance tables use the exact gas-dependent memory law. AUC classifier figures condition on N=55 buffered galaxies with valid S_inner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E7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4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2026-04-25T15:20:18.814Z</dcterms:created>
  <dcterms:modified xsi:type="dcterms:W3CDTF">2026-04-25T15:20:18.815Z</dcterms:modified>
</cp:coreProperties>
</file>

<file path=docProps/custom.xml><?xml version="1.0" encoding="utf-8"?>
<Properties xmlns="http://schemas.openxmlformats.org/officeDocument/2006/custom-properties" xmlns:vt="http://schemas.openxmlformats.org/officeDocument/2006/docPropsVTypes"/>
</file>