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sz w:val="48"/>
          <w:szCs w:val="48"/>
        </w:rPr>
        <w:t xml:space="preserve">MTS Galaxy Law</w:t>
      </w:r>
    </w:p>
    <w:p>
      <w:pPr>
        <w:spacing w:after="60" w:before="60"/>
        <w:jc w:val="center"/>
      </w:pPr>
      <w:r>
        <w:rPr>
          <w:rFonts w:ascii="Arial" w:cs="Arial" w:eastAsia="Arial" w:hAnsi="Arial"/>
          <w:b/>
          <w:bCs/>
          <w:sz w:val="32"/>
          <w:szCs w:val="32"/>
        </w:rPr>
        <w:t xml:space="preserve">The Motion–Timespace (MTS) Galaxy Law:</w:t>
      </w:r>
    </w:p>
    <w:p>
      <w:pPr>
        <w:spacing w:after="60" w:before="60"/>
        <w:jc w:val="center"/>
      </w:pPr>
      <w:r>
        <w:rPr>
          <w:rFonts w:ascii="Arial" w:cs="Arial" w:eastAsia="Arial" w:hAnsi="Arial"/>
          <w:b/>
          <w:bCs/>
          <w:sz w:val="32"/>
          <w:szCs w:val="32"/>
        </w:rPr>
        <w:t xml:space="preserve">A Transport–Response Framework for Disk Galaxies</w:t>
      </w:r>
    </w:p>
    <w:p>
      <w:pPr>
        <w:spacing w:after="240" w:before="60"/>
        <w:jc w:val="center"/>
      </w:pPr>
      <w:r>
        <w:rPr>
          <w:rFonts w:ascii="Arial" w:cs="Arial" w:eastAsia="Arial" w:hAnsi="Arial"/>
          <w:i/>
          <w:iCs/>
          <w:sz w:val="22"/>
          <w:szCs w:val="22"/>
        </w:rPr>
        <w:t xml:space="preserve">Version 13  —  post-verification draft incorporating Experiments 1–15</w:t>
      </w:r>
    </w:p>
    <w:p>
      <w:pPr>
        <w:pStyle w:val="Heading1"/>
        <w:spacing w:after="180" w:before="360"/>
      </w:pPr>
      <w:r>
        <w:rPr>
          <w:rFonts w:ascii="Arial" w:cs="Arial" w:eastAsia="Arial" w:hAnsi="Arial"/>
          <w:b/>
          <w:bCs/>
          <w:sz w:val="32"/>
          <w:szCs w:val="32"/>
        </w:rPr>
        <w:t xml:space="preserve">Abstract</w:t>
      </w:r>
    </w:p>
    <w:p>
      <w:pPr>
        <w:spacing w:after="80" w:before="80"/>
        <w:jc w:val="left"/>
      </w:pPr>
      <w:r>
        <w:rPr>
          <w:rFonts w:ascii="Arial" w:cs="Arial" w:eastAsia="Arial" w:hAnsi="Arial"/>
          <w:sz w:val="22"/>
          <w:szCs w:val="22"/>
        </w:rPr>
        <w:t xml:space="preserve">We present a transport-based derivation of galaxy rotation curves within the Motion–Timespace (MTS) framework. A curvature–exchange field, emerging from a coarse-grained microscopic motion field ψ, drives a support field whose radial transport produces a closed-form rotation law. The resulting background law is cosmologically normalised and contains no free parameters.</w:t>
      </w:r>
    </w:p>
    <w:p>
      <w:pPr>
        <w:spacing w:after="80" w:before="80"/>
        <w:jc w:val="left"/>
      </w:pPr>
      <w:r>
        <w:rPr>
          <w:rFonts w:ascii="Arial" w:cs="Arial" w:eastAsia="Arial" w:hAnsi="Arial"/>
          <w:sz w:val="22"/>
          <w:szCs w:val="22"/>
        </w:rPr>
        <w:t xml:space="preserve">First-order corrections arise from structural deviations — specifically gas depletion and bulge concentration. The governing variable is an integrated transport memory, producing a zero-parameter saturating modification of the effective transport scale. Residuals reorganise into distinct response families characterised by different radial kernels.</w:t>
      </w:r>
    </w:p>
    <w:p>
      <w:pPr>
        <w:spacing w:after="80" w:before="80"/>
        <w:jc w:val="left"/>
      </w:pPr>
      <w:r>
        <w:rPr>
          <w:rFonts w:ascii="Arial" w:cs="Arial" w:eastAsia="Arial" w:hAnsi="Arial"/>
          <w:sz w:val="22"/>
          <w:szCs w:val="22"/>
        </w:rPr>
        <w:t xml:space="preserve">Late-type galaxies (LTGs) follow a unified transport law with memory-driven corrections. The LTG buffered branch splits into 52 upward-crossing and 25 single-crossing outer-approach objects, predictable from initial load u(R₀) and inner concentration S_inner (AUC = 0.912 on valid-inner subset N = 55). Single-crossing outer error is organised by a two-scalar model using g = memory_load × x_cross and the memory-law gap L_gap = L_sat − L_exact (LOO RMSE ≈ 10 km/s, severity Spearman = 0.888, top-5 exact identification). An additional CDC-low-load route (N = 17) of suppressed-amplitude central-deficit galaxies is identified and characterised.</w:t>
      </w:r>
    </w:p>
    <w:p>
      <w:pPr>
        <w:spacing w:after="80" w:before="80"/>
        <w:jc w:val="left"/>
      </w:pPr>
      <w:r>
        <w:rPr>
          <w:rFonts w:ascii="Arial" w:cs="Arial" w:eastAsia="Arial" w:hAnsi="Arial"/>
          <w:sz w:val="22"/>
          <w:szCs w:val="22"/>
        </w:rPr>
        <w:t xml:space="preserve">Early-type galaxies (ETGs) form a multi-family, multi-sign response sector governed by a layered four-condition intersection structure. The outer gate factorises exactly into a load coordinate X_out and a disk-carried cancellation coordinate R_d, with the viable single-channel H+ branch admitting a full structural reduction to a density-plus-geometry disk-force kernel law (K_full = 0.03060, K_hl = 0.03372, verified). A universal completion-ratio law U_max ≈ 0.23–0.24 − 0.058 ln(S) (R² ≈ 0.85–0.92) organises inner feasibility across both galaxy types.</w:t>
      </w:r>
    </w:p>
    <w:p>
      <w:pPr>
        <w:spacing w:after="80" w:before="80"/>
        <w:jc w:val="left"/>
      </w:pPr>
      <w:r>
        <w:rPr>
          <w:rFonts w:ascii="Arial" w:cs="Arial" w:eastAsia="Arial" w:hAnsi="Arial"/>
          <w:sz w:val="22"/>
          <w:szCs w:val="22"/>
        </w:rPr>
        <w:t xml:space="preserve">New in this version (v13): the crossing-window slope is shown to satisfy the parameter-free geometric identity c1 = −δu/(1 − x_cross), reproducing measured values across all 7 crossing objects with Pearson r = 0.998 and Spearman = 1.000, with no free parameters (RMSE = 0.07). This closes Priority K as a derived result rather than an empirical hint. The Stage-4 high-load subset improvement (LOO 0.444 → 0.361 log units) is confirmed as route-class conditioned, not Xout-threshold driven. The disk-buffered ETG branch is independently validated by three external population indicators: outward stellar age increase (+10.15 Gyr pair median), negative metallicity gradient (−0.79 dex), and radial M/L decline (outer/inner ratio 0.636), jointly ranking first among all 120 ETG pairs (p = 0.008). A direction correction is applied to §9.3: later crossing positions correspond to steeper, more negative (not shallower) crossing-window slopes.</w:t>
      </w:r>
    </w:p>
    <w:p>
      <w:pPr>
        <w:spacing w:after="60" w:before="60"/>
      </w:pPr>
      <w:r>
        <w:rPr>
          <w:rFonts w:ascii="Arial" w:cs="Arial" w:eastAsia="Arial" w:hAnsi="Arial"/>
          <w:i/>
          <w:iCs/>
          <w:sz w:val="22"/>
          <w:szCs w:val="22"/>
        </w:rPr>
        <w:t xml:space="preserve">Performance note: LTG global performance figures in earlier drafts (median RMSE 20.60 km/s; all-LTG 29.44 km/s) are mixed-provenance artefacts from previous formula versions and are not cited in this draft. Current-formula performance under the exact gas-dependent memory law: all LTGs (N=175) median RMSE = 17.15 km/s, mean = 21.90 km/s.</w:t>
      </w:r>
    </w:p>
    <w:p>
      <w:pPr>
        <w:pStyle w:val="Heading1"/>
        <w:spacing w:after="180" w:before="360"/>
      </w:pPr>
      <w:r>
        <w:rPr>
          <w:rFonts w:ascii="Arial" w:cs="Arial" w:eastAsia="Arial" w:hAnsi="Arial"/>
          <w:b/>
          <w:bCs/>
          <w:sz w:val="32"/>
          <w:szCs w:val="32"/>
        </w:rPr>
        <w:t xml:space="preserve">1.  Introduction</w:t>
      </w:r>
    </w:p>
    <w:p>
      <w:pPr>
        <w:spacing w:after="80" w:before="80"/>
        <w:jc w:val="left"/>
      </w:pPr>
      <w:r>
        <w:rPr>
          <w:rFonts w:ascii="Arial" w:cs="Arial" w:eastAsia="Arial" w:hAnsi="Arial"/>
          <w:sz w:val="22"/>
          <w:szCs w:val="22"/>
        </w:rPr>
        <w:t xml:space="preserve">Galaxy rotation curves exhibit systematic deviations from baryonic expectations. Existing approaches either introduce additional matter components (dark matter haloes) or modify gravitational dynamics (MOND and variants). The Motion–Timespace (MTS) framework treats galaxy dynamics as a macroscopic transport response to a cosmological curvature–motion background, requiring neither dark matter nor modified gravity.</w:t>
      </w:r>
    </w:p>
    <w:p>
      <w:pPr>
        <w:spacing w:after="80" w:before="80"/>
        <w:jc w:val="left"/>
      </w:pPr>
      <w:r>
        <w:rPr>
          <w:rFonts w:ascii="Arial" w:cs="Arial" w:eastAsia="Arial" w:hAnsi="Arial"/>
          <w:sz w:val="22"/>
          <w:szCs w:val="22"/>
        </w:rPr>
        <w:t xml:space="preserve">This work derives the galaxy law within the MTS framework, tests it directly against raw rotation curve data from the SPARC catalogue, and identifies the minimal correction structure required by observations. The LTG sector admits a closed first-order description. The ETG sector requires a structurally distinct layered treatment whose outer gate can be written as an exact geometric condition in the (X_out, R_d) plane.</w:t>
      </w:r>
    </w:p>
    <w:p>
      <w:pPr>
        <w:pStyle w:val="Heading1"/>
        <w:spacing w:after="180" w:before="360"/>
      </w:pPr>
      <w:r>
        <w:rPr>
          <w:rFonts w:ascii="Arial" w:cs="Arial" w:eastAsia="Arial" w:hAnsi="Arial"/>
          <w:b/>
          <w:bCs/>
          <w:sz w:val="32"/>
          <w:szCs w:val="32"/>
        </w:rPr>
        <w:t xml:space="preserve">2.  The MTS Framework</w:t>
      </w:r>
    </w:p>
    <w:p>
      <w:pPr>
        <w:pStyle w:val="Heading2"/>
        <w:spacing w:after="120" w:before="240"/>
      </w:pPr>
      <w:r>
        <w:rPr>
          <w:rFonts w:ascii="Arial" w:cs="Arial" w:eastAsia="Arial" w:hAnsi="Arial"/>
          <w:b/>
          <w:bCs/>
          <w:sz w:val="26"/>
          <w:szCs w:val="26"/>
        </w:rPr>
        <w:t xml:space="preserve">2.1  Emergent geometry</w:t>
      </w:r>
    </w:p>
    <w:p>
      <w:pPr>
        <w:spacing w:after="80" w:before="80"/>
        <w:jc w:val="left"/>
      </w:pPr>
      <w:r>
        <w:rPr>
          <w:rFonts w:ascii="Arial" w:cs="Arial" w:eastAsia="Arial" w:hAnsi="Arial"/>
          <w:sz w:val="22"/>
          <w:szCs w:val="22"/>
        </w:rPr>
        <w:t xml:space="preserve">A scalar field ψ defines an emergent metric via coarse-grained gradient covariance:</w:t>
      </w:r>
    </w:p>
    <w:p>
      <w:pPr>
        <w:spacing w:after="80" w:before="80"/>
        <w:jc w:val="center"/>
      </w:pPr>
      <w:r>
        <w:rPr>
          <w:rFonts w:ascii="Arial" w:cs="Arial" w:eastAsia="Arial" w:hAnsi="Arial"/>
          <w:b/>
          <w:bCs/>
          <w:sz w:val="22"/>
          <w:szCs w:val="22"/>
        </w:rPr>
        <w:t xml:space="preserve">g</w:t>
      </w:r>
      <w:r>
        <w:rPr>
          <w:rFonts w:ascii="Arial" w:cs="Arial" w:eastAsia="Arial" w:hAnsi="Arial"/>
          <w:sz w:val="22"/>
          <w:szCs w:val="22"/>
        </w:rPr>
        <w:t xml:space="preserve">_μν = η_μν + ⟨∂_μψ, ∂_νψ⟩</w:t>
      </w:r>
    </w:p>
    <w:p>
      <w:pPr>
        <w:pStyle w:val="Heading2"/>
        <w:spacing w:after="120" w:before="240"/>
      </w:pPr>
      <w:r>
        <w:rPr>
          <w:rFonts w:ascii="Arial" w:cs="Arial" w:eastAsia="Arial" w:hAnsi="Arial"/>
          <w:b/>
          <w:bCs/>
          <w:sz w:val="26"/>
          <w:szCs w:val="26"/>
        </w:rPr>
        <w:t xml:space="preserve">2.2  Curvature–exchange field</w:t>
      </w:r>
    </w:p>
    <w:p>
      <w:pPr>
        <w:spacing w:after="80" w:before="80"/>
        <w:jc w:val="left"/>
      </w:pPr>
      <w:r>
        <w:rPr>
          <w:rFonts w:ascii="Arial" w:cs="Arial" w:eastAsia="Arial" w:hAnsi="Arial"/>
          <w:sz w:val="22"/>
          <w:szCs w:val="22"/>
        </w:rPr>
        <w:t xml:space="preserve">A scalar Γ = F[ψ, g] encodes curvature–motion exchange. ψ is a fundamental motion field whose linear modes correspond to radiation-like behaviour and whose nonlinear localised configurations form stable matter-like structures. A secondary scalar Γ emerges dynamically as a curvature–memory field. The present work requires only: (i) the emergent metric from gradient covariance of ψ, and (ii) a curvature–exchange field Γ coupling to macroscopic transport.</w:t>
      </w:r>
    </w:p>
    <w:p>
      <w:pPr>
        <w:pStyle w:val="Heading1"/>
        <w:spacing w:after="180" w:before="360"/>
      </w:pPr>
      <w:r>
        <w:rPr>
          <w:rFonts w:ascii="Arial" w:cs="Arial" w:eastAsia="Arial" w:hAnsi="Arial"/>
          <w:b/>
          <w:bCs/>
          <w:sz w:val="32"/>
          <w:szCs w:val="32"/>
        </w:rPr>
        <w:t xml:space="preserve">3.  Transport Equation and Background Law</w:t>
      </w:r>
    </w:p>
    <w:p>
      <w:pPr>
        <w:spacing w:after="80" w:before="80"/>
        <w:jc w:val="left"/>
      </w:pPr>
      <w:r>
        <w:rPr>
          <w:rFonts w:ascii="Arial" w:cs="Arial" w:eastAsia="Arial" w:hAnsi="Arial"/>
          <w:sz w:val="22"/>
          <w:szCs w:val="22"/>
        </w:rPr>
        <w:t xml:space="preserve">The transport equation is:</w:t>
      </w:r>
    </w:p>
    <w:p>
      <w:pPr>
        <w:spacing w:after="80" w:before="80"/>
        <w:jc w:val="center"/>
      </w:pPr>
      <w:r>
        <w:rPr>
          <w:rFonts w:ascii="Arial" w:cs="Arial" w:eastAsia="Arial" w:hAnsi="Arial"/>
          <w:sz w:val="22"/>
          <w:szCs w:val="22"/>
        </w:rPr>
        <w:t xml:space="preserve">u</w:t>
      </w:r>
      <w:r>
        <w:rPr>
          <w:rFonts w:ascii="Arial" w:cs="Arial" w:eastAsia="Arial" w:hAnsi="Arial"/>
          <w:sz w:val="18"/>
          <w:szCs w:val="18"/>
          <w:vertAlign w:val="superscript"/>
        </w:rPr>
        <w:t xml:space="preserve">μ</w:t>
      </w:r>
      <w:r>
        <w:rPr>
          <w:rFonts w:ascii="Arial" w:cs="Arial" w:eastAsia="Arial" w:hAnsi="Arial"/>
          <w:sz w:val="22"/>
          <w:szCs w:val="22"/>
        </w:rPr>
        <w:t xml:space="preserve"> ∇_μ χ + χ/τ_Γ = Γ₀/4</w:t>
      </w:r>
    </w:p>
    <w:p>
      <w:pPr>
        <w:spacing w:after="80" w:before="80"/>
        <w:jc w:val="left"/>
      </w:pPr>
      <w:r>
        <w:rPr>
          <w:rFonts w:ascii="Arial" w:cs="Arial" w:eastAsia="Arial" w:hAnsi="Arial"/>
          <w:sz w:val="22"/>
          <w:szCs w:val="22"/>
        </w:rPr>
        <w:t xml:space="preserve">In the stationary disk limit, with L = v_Γ τ_Γ, the background solution is:</w:t>
      </w:r>
    </w:p>
    <w:p>
      <w:pPr>
        <w:spacing w:after="80" w:before="80"/>
        <w:jc w:val="center"/>
      </w:pPr>
      <w:r>
        <w:rPr>
          <w:rFonts w:ascii="Arial" w:cs="Arial" w:eastAsia="Arial" w:hAnsi="Arial"/>
          <w:sz w:val="22"/>
          <w:szCs w:val="22"/>
        </w:rPr>
        <w:t xml:space="preserve">χ(r) = (Γ₀/4) L [1 − exp(−r/L)]</w:t>
      </w:r>
    </w:p>
    <w:p>
      <w:pPr>
        <w:spacing w:after="80" w:before="80"/>
        <w:jc w:val="left"/>
      </w:pPr>
      <w:r>
        <w:rPr>
          <w:rFonts w:ascii="Arial" w:cs="Arial" w:eastAsia="Arial" w:hAnsi="Arial"/>
          <w:sz w:val="22"/>
          <w:szCs w:val="22"/>
        </w:rPr>
        <w:t xml:space="preserve">Mapping to observables via V²(r) = V̄²_bar(r) + χ(r), using the photometric closure L = k(j̄_har/V̄_har,hmr) with k ≈ 0.9, and the cosmological normalisation Γ₀ = cH₀/(8π), yields the zero-parameter background galaxy law.</w:t>
      </w:r>
    </w:p>
    <w:p>
      <w:pPr>
        <w:spacing w:after="80" w:before="80"/>
        <w:jc w:val="left"/>
      </w:pPr>
      <w:r>
        <w:rPr>
          <w:rFonts w:ascii="Arial" w:cs="Arial" w:eastAsia="Arial" w:hAnsi="Arial"/>
          <w:sz w:val="22"/>
          <w:szCs w:val="22"/>
        </w:rPr>
        <w:t xml:space="preserve">Working constants (all locked, verified from raw files):</w:t>
      </w:r>
    </w:p>
    <w:p>
      <w:pPr>
        <w:spacing w:after="80" w:before="80"/>
        <w:jc w:val="center"/>
      </w:pPr>
      <w:r>
        <w:rPr>
          <w:rFonts w:ascii="Arial" w:cs="Arial" w:eastAsia="Arial" w:hAnsi="Arial"/>
          <w:b/>
          <w:bCs/>
          <w:sz w:val="22"/>
          <w:szCs w:val="22"/>
        </w:rPr>
        <w:t xml:space="preserve">Γ₀ = 809.956 km²/s²/kpc     R_max = 1.758948     q = 0.77 (global exponent)</w:t>
      </w:r>
    </w:p>
    <w:p>
      <w:pPr>
        <w:pStyle w:val="Heading1"/>
        <w:spacing w:after="180" w:before="360"/>
      </w:pPr>
      <w:r>
        <w:rPr>
          <w:rFonts w:ascii="Arial" w:cs="Arial" w:eastAsia="Arial" w:hAnsi="Arial"/>
          <w:b/>
          <w:bCs/>
          <w:sz w:val="32"/>
          <w:szCs w:val="32"/>
        </w:rPr>
        <w:t xml:space="preserve">4.  LTG Sector</w:t>
      </w:r>
    </w:p>
    <w:p>
      <w:pPr>
        <w:pStyle w:val="Heading2"/>
        <w:spacing w:after="120" w:before="240"/>
      </w:pPr>
      <w:r>
        <w:rPr>
          <w:rFonts w:ascii="Arial" w:cs="Arial" w:eastAsia="Arial" w:hAnsi="Arial"/>
          <w:b/>
          <w:bCs/>
          <w:sz w:val="26"/>
          <w:szCs w:val="26"/>
        </w:rPr>
        <w:t xml:space="preserve">4.1  Photometric closure</w:t>
      </w:r>
    </w:p>
    <w:p>
      <w:pPr>
        <w:spacing w:after="80" w:before="80"/>
        <w:jc w:val="left"/>
      </w:pPr>
      <w:r>
        <w:rPr>
          <w:rFonts w:ascii="Arial" w:cs="Arial" w:eastAsia="Arial" w:hAnsi="Arial"/>
          <w:sz w:val="22"/>
          <w:szCs w:val="22"/>
        </w:rPr>
        <w:t xml:space="preserve">For exponential disks, j̄_har = 2hV_φα, giving L_pred = 2kh ≈ 1.8h. This closure stabilises the scale law.</w:t>
      </w:r>
    </w:p>
    <w:p>
      <w:pPr>
        <w:pStyle w:val="Heading2"/>
        <w:spacing w:after="120" w:before="240"/>
      </w:pPr>
      <w:r>
        <w:rPr>
          <w:rFonts w:ascii="Arial" w:cs="Arial" w:eastAsia="Arial" w:hAnsi="Arial"/>
          <w:b/>
          <w:bCs/>
          <w:sz w:val="26"/>
          <w:szCs w:val="26"/>
        </w:rPr>
        <w:t xml:space="preserve">4.2  Transport memory law (canonical convention)</w:t>
      </w:r>
    </w:p>
    <w:p>
      <w:pPr>
        <w:spacing w:after="80" w:before="80"/>
        <w:jc w:val="left"/>
      </w:pPr>
      <w:r>
        <w:rPr>
          <w:rFonts w:ascii="Arial" w:cs="Arial" w:eastAsia="Arial" w:hAnsi="Arial"/>
          <w:sz w:val="22"/>
          <w:szCs w:val="22"/>
        </w:rPr>
        <w:t xml:space="preserve">The governing variable is memory_load = (1 − f_gas)(R_out / h). The effective transport scale is:</w:t>
      </w:r>
    </w:p>
    <w:p>
      <w:pPr>
        <w:spacing w:after="80" w:before="80"/>
        <w:jc w:val="center"/>
      </w:pPr>
      <w:r>
        <w:rPr>
          <w:rFonts w:ascii="Arial" w:cs="Arial" w:eastAsia="Arial" w:hAnsi="Arial"/>
          <w:sz w:val="22"/>
          <w:szCs w:val="22"/>
        </w:rPr>
        <w:t xml:space="preserve">L_eff = 1.8h [ 1 + S_mem ( 1 − exp(−memory_load / S_mem) ) ]</w:t>
      </w:r>
    </w:p>
    <w:p>
      <w:pPr>
        <w:spacing w:after="80" w:before="80"/>
        <w:jc w:val="center"/>
      </w:pPr>
      <w:r>
        <w:rPr>
          <w:rFonts w:ascii="Arial" w:cs="Arial" w:eastAsia="Arial" w:hAnsi="Arial"/>
          <w:sz w:val="22"/>
          <w:szCs w:val="22"/>
        </w:rPr>
        <w:t xml:space="preserve">S_mem = (0.9/π)(R_out / h)</w:t>
      </w:r>
    </w:p>
    <w:p>
      <w:pPr>
        <w:spacing w:after="80" w:before="80"/>
        <w:jc w:val="left"/>
      </w:pPr>
      <w:r>
        <w:rPr>
          <w:rFonts w:ascii="Arial" w:cs="Arial" w:eastAsia="Arial" w:hAnsi="Arial"/>
          <w:sz w:val="22"/>
          <w:szCs w:val="22"/>
        </w:rPr>
        <w:t xml:space="preserve">This is the canonical exact gas-dependent memory law. It must be used for all residual and performance tables. The saturated approximation L_eff = 1.8h(1 + S_mem) gives qualitatively similar results but lower RMSEs (by approximately 0.7 km/s on the global median) and is not used for headline statistics.</w:t>
      </w:r>
    </w:p>
    <w:p>
      <w:pPr>
        <w:pStyle w:val="Heading2"/>
        <w:spacing w:after="120" w:before="240"/>
      </w:pPr>
      <w:r>
        <w:rPr>
          <w:rFonts w:ascii="Arial" w:cs="Arial" w:eastAsia="Arial" w:hAnsi="Arial"/>
          <w:b/>
          <w:bCs/>
          <w:sz w:val="26"/>
          <w:szCs w:val="26"/>
        </w:rPr>
        <w:t xml:space="preserve">4.3  Complete LTG law</w:t>
      </w:r>
    </w:p>
    <w:p>
      <w:pPr>
        <w:spacing w:after="80" w:before="80"/>
        <w:jc w:val="center"/>
      </w:pPr>
      <w:r>
        <w:rPr>
          <w:rFonts w:ascii="Arial" w:cs="Arial" w:eastAsia="Arial" w:hAnsi="Arial"/>
          <w:sz w:val="22"/>
          <w:szCs w:val="22"/>
        </w:rPr>
        <w:t xml:space="preserve">V²(r) = V̄²_bar(r) + Γ₀ × L_eff × [1 − exp(−(r/L_eff)</w:t>
      </w:r>
      <w:r>
        <w:rPr>
          <w:rFonts w:ascii="Arial" w:cs="Arial" w:eastAsia="Arial" w:hAnsi="Arial"/>
          <w:sz w:val="18"/>
          <w:szCs w:val="18"/>
          <w:vertAlign w:val="superscript"/>
        </w:rPr>
        <w:t xml:space="preserve">q</w:t>
      </w:r>
      <w:r>
        <w:rPr>
          <w:rFonts w:ascii="Arial" w:cs="Arial" w:eastAsia="Arial" w:hAnsi="Arial"/>
          <w:sz w:val="22"/>
          <w:szCs w:val="22"/>
        </w:rPr>
        <w:t xml:space="preserve">]</w:t>
      </w:r>
    </w:p>
    <w:p>
      <w:pPr>
        <w:spacing w:after="80" w:before="80"/>
        <w:jc w:val="left"/>
      </w:pPr>
      <w:r>
        <w:rPr>
          <w:rFonts w:ascii="Arial" w:cs="Arial" w:eastAsia="Arial" w:hAnsi="Arial"/>
          <w:sz w:val="22"/>
          <w:szCs w:val="22"/>
        </w:rPr>
        <w:t xml:space="preserve">where V̄²_bar = V²_gas + 0.5 V²_disk + 0.7 V²_bul, q = 0.77, Γ₀ = 809.956.</w:t>
      </w:r>
    </w:p>
    <w:p>
      <w:pPr>
        <w:spacing w:after="90" w:before="180"/>
      </w:pPr>
      <w:r>
        <w:rPr>
          <w:rFonts w:ascii="Arial" w:cs="Arial" w:eastAsia="Arial" w:hAnsi="Arial"/>
          <w:b/>
          <w:bCs/>
          <w:sz w:val="24"/>
          <w:szCs w:val="24"/>
        </w:rPr>
        <w:t xml:space="preserve">Computation convention</w:t>
      </w:r>
    </w:p>
    <w:p>
      <w:pPr>
        <w:spacing w:after="80" w:before="80"/>
        <w:jc w:val="left"/>
      </w:pPr>
      <w:r>
        <w:rPr>
          <w:rFonts w:ascii="Arial" w:cs="Arial" w:eastAsia="Arial" w:hAnsi="Arial"/>
          <w:sz w:val="22"/>
          <w:szCs w:val="22"/>
        </w:rPr>
        <w:t xml:space="preserve">Inner profile quantities (Q12, Q14, Δ, S, U_max): interpolate V² directly. This is the V²-interpolation convention. Outer radial u(r) profiles and crossing-window work: interpolate V_obs in V-space then square; interpolate disk and bulge component terms in V²-space. Both conventions are verified from raw files.</w:t>
      </w:r>
    </w:p>
    <w:p>
      <w:pPr>
        <w:pStyle w:val="Heading2"/>
        <w:spacing w:after="120" w:before="240"/>
      </w:pPr>
      <w:r>
        <w:rPr>
          <w:rFonts w:ascii="Arial" w:cs="Arial" w:eastAsia="Arial" w:hAnsi="Arial"/>
          <w:b/>
          <w:bCs/>
          <w:sz w:val="26"/>
          <w:szCs w:val="26"/>
        </w:rPr>
        <w:t xml:space="preserve">4.4  LTG global performance</w:t>
      </w:r>
    </w:p>
    <w:p>
      <w:pPr>
        <w:spacing w:after="80" w:before="80"/>
        <w:jc w:val="left"/>
      </w:pPr>
      <w:r>
        <w:rPr>
          <w:rFonts w:ascii="Arial" w:cs="Arial" w:eastAsia="Arial" w:hAnsi="Arial"/>
          <w:sz w:val="22"/>
          <w:szCs w:val="22"/>
        </w:rPr>
        <w:t xml:space="preserve">All values computed from Rotmod_LTG(4).zip, exact gas-dependent memory law, q = 0.77.</w:t>
      </w:r>
    </w:p>
    <w:p>
      <w:pPr>
        <w:spacing w:after="40" w:before="4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500"/>
        <w:gridCol w:w="2200"/>
        <w:gridCol w:w="2000"/>
        <w:gridCol w:w="2000"/>
      </w:tblGrid>
      <w:tr>
        <w:trPr>
          <w:tblHeader/>
        </w:trPr>
        <w:tc>
          <w:tcPr>
            <w:tcW w:type="dxa" w:w="24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Sample</w:t>
            </w:r>
          </w:p>
        </w:tc>
        <w:tc>
          <w:tcPr>
            <w:tcW w:type="dxa" w:w="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w:t>
            </w:r>
          </w:p>
        </w:tc>
        <w:tc>
          <w:tcPr>
            <w:tcW w:type="dxa" w:w="2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Model</w:t>
            </w:r>
          </w:p>
        </w:tc>
        <w:tc>
          <w:tcPr>
            <w:tcW w:type="dxa" w:w="2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Median RMSE</w:t>
            </w:r>
          </w:p>
        </w:tc>
        <w:tc>
          <w:tcPr>
            <w:tcW w:type="dxa" w:w="2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Mean RMSE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All LTGs</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17.15 km/s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21.90 km/s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All LTGs excl. CamB</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174</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17.21 km/s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21.90 km/s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 upward-crossing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21.28 km/s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22.94 km/s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 single-crossing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27.59 km/s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37.50 km/s</w:t>
            </w:r>
          </w:p>
        </w:tc>
      </w:tr>
    </w:tbl>
    <w:p>
      <w:pPr>
        <w:spacing w:after="40" w:before="40"/>
      </w:pPr>
      <w:r>
        <w:t xml:space="preserve"/>
      </w:r>
    </w:p>
    <w:p>
      <w:pPr>
        <w:spacing w:after="80" w:before="80"/>
        <w:jc w:val="left"/>
      </w:pPr>
      <w:r>
        <w:rPr>
          <w:rFonts w:ascii="Arial" w:cs="Arial" w:eastAsia="Arial" w:hAnsi="Arial"/>
          <w:sz w:val="22"/>
          <w:szCs w:val="22"/>
        </w:rPr>
        <w:t xml:space="preserve">Welch two-sample t-test for upward vs single-crossing RMSE difference: p = 0.00985. Outer MAE split: upward median 21.17 km/s, single-crossing median 32.93 km/s (p = 0.044). All values verified from raw files using the exact memory law.</w:t>
      </w:r>
    </w:p>
    <w:p>
      <w:pPr>
        <w:pStyle w:val="Heading1"/>
        <w:spacing w:after="180" w:before="360"/>
      </w:pPr>
      <w:r>
        <w:rPr>
          <w:rFonts w:ascii="Arial" w:cs="Arial" w:eastAsia="Arial" w:hAnsi="Arial"/>
          <w:b/>
          <w:bCs/>
          <w:sz w:val="32"/>
          <w:szCs w:val="32"/>
        </w:rPr>
        <w:t xml:space="preserve">5.  LTG Outer Route Structure</w:t>
      </w:r>
    </w:p>
    <w:p>
      <w:pPr>
        <w:pStyle w:val="Heading2"/>
        <w:spacing w:after="120" w:before="240"/>
      </w:pPr>
      <w:r>
        <w:rPr>
          <w:rFonts w:ascii="Arial" w:cs="Arial" w:eastAsia="Arial" w:hAnsi="Arial"/>
          <w:b/>
          <w:bCs/>
          <w:sz w:val="26"/>
          <w:szCs w:val="26"/>
        </w:rPr>
        <w:t xml:space="preserve">5.1  The outer load variable</w:t>
      </w:r>
    </w:p>
    <w:p>
      <w:pPr>
        <w:spacing w:after="80" w:before="80"/>
        <w:jc w:val="left"/>
      </w:pPr>
      <w:r>
        <w:rPr>
          <w:rFonts w:ascii="Arial" w:cs="Arial" w:eastAsia="Arial" w:hAnsi="Arial"/>
          <w:sz w:val="22"/>
          <w:szCs w:val="22"/>
        </w:rPr>
        <w:t xml:space="preserve">For each galaxy at each radius, the outer load variable is:</w:t>
      </w:r>
    </w:p>
    <w:p>
      <w:pPr>
        <w:spacing w:after="80" w:before="80"/>
        <w:jc w:val="center"/>
      </w:pPr>
      <w:r>
        <w:rPr>
          <w:rFonts w:ascii="Arial" w:cs="Arial" w:eastAsia="Arial" w:hAnsi="Arial"/>
          <w:sz w:val="22"/>
          <w:szCs w:val="22"/>
        </w:rPr>
        <w:t xml:space="preserve">u(r) = [V²_obs(r) − 0.5 V²_disk(r) − 0.7 V²_bul(r)] / (Γ₀ r R_max)</w:t>
      </w:r>
    </w:p>
    <w:p>
      <w:pPr>
        <w:spacing w:after="80" w:before="80"/>
        <w:jc w:val="left"/>
      </w:pPr>
      <w:r>
        <w:rPr>
          <w:rFonts w:ascii="Arial" w:cs="Arial" w:eastAsia="Arial" w:hAnsi="Arial"/>
          <w:sz w:val="22"/>
          <w:szCs w:val="22"/>
        </w:rPr>
        <w:t xml:space="preserve">The outer gate criterion is u(r_out) &lt; 1. LTG route classification uses fine-grid interpolation with 10,000 radial points and the outermost downward crossing of u = 1.</w:t>
      </w:r>
    </w:p>
    <w:p>
      <w:pPr>
        <w:pStyle w:val="Heading2"/>
        <w:spacing w:after="120" w:before="240"/>
      </w:pPr>
      <w:r>
        <w:rPr>
          <w:rFonts w:ascii="Arial" w:cs="Arial" w:eastAsia="Arial" w:hAnsi="Arial"/>
          <w:b/>
          <w:bCs/>
          <w:sz w:val="26"/>
          <w:szCs w:val="26"/>
        </w:rPr>
        <w:t xml:space="preserve">5.2  Route counts (all verified from raw files)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1000"/>
        <w:gridCol w:w="2760"/>
      </w:tblGrid>
      <w:tr>
        <w:trPr>
          <w:tblHeader/>
        </w:trPr>
        <w:tc>
          <w:tcPr>
            <w:tcW w:type="dxa" w:w="3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Route</w:t>
            </w:r>
          </w:p>
        </w:tc>
        <w:tc>
          <w:tcPr>
            <w:tcW w:type="dxa" w:w="6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Count</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Median u_out</w:t>
            </w:r>
          </w:p>
        </w:tc>
        <w:tc>
          <w:tcPr>
            <w:tcW w:type="dxa" w:w="27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Note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Low-load (u_out &lt; 1, no downward crossing)</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81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0.346</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 — upward-crossing</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 dips below 1, rises back, then final descent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 — single-crossing</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No upward recrossing through u = 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Outer-infeasible (u_out ≥ 1)</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Total</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bl>
    <w:p>
      <w:pPr>
        <w:spacing w:after="40" w:before="40"/>
      </w:pPr>
      <w:r>
        <w:t xml:space="preserve"/>
      </w:r>
    </w:p>
    <w:p>
      <w:pPr>
        <w:spacing w:after="60" w:before="60"/>
      </w:pPr>
      <w:r>
        <w:rPr>
          <w:rFonts w:ascii="Arial" w:cs="Arial" w:eastAsia="Arial" w:hAnsi="Arial"/>
          <w:i/>
          <w:iCs/>
          <w:sz w:val="22"/>
          <w:szCs w:val="22"/>
        </w:rPr>
        <w:t xml:space="preserve">Terminology note: "single-crossing" (replacing "straight-down") means no upward recrossing through u = 1. Of the 25 single-crossing galaxies, only 7/25 are strictly monotone decreasing in u(r). The classification is topological, not shape-based.</w:t>
      </w:r>
    </w:p>
    <w:p>
      <w:pPr>
        <w:spacing w:after="80" w:before="80"/>
        <w:jc w:val="left"/>
      </w:pPr>
      <w:r>
        <w:rPr>
          <w:rFonts w:ascii="Arial" w:cs="Arial" w:eastAsia="Arial" w:hAnsi="Arial"/>
          <w:sz w:val="22"/>
          <w:szCs w:val="22"/>
        </w:rPr>
        <w:t xml:space="preserve">The total number of galaxies with u(R₀) &lt; 0 is 39: 15 within the buffered upward-crossing group (CDC-upward), 17 within the low-load group (CDC-low-load), and 7 within the outer-infeasible group. The 17 CDC-low-load galaxies form a distinct route branch discussed in §5.6.</w:t>
      </w:r>
    </w:p>
    <w:p>
      <w:pPr>
        <w:pStyle w:val="Heading2"/>
        <w:spacing w:after="120" w:before="240"/>
      </w:pPr>
      <w:r>
        <w:rPr>
          <w:rFonts w:ascii="Arial" w:cs="Arial" w:eastAsia="Arial" w:hAnsi="Arial"/>
          <w:b/>
          <w:bCs/>
          <w:sz w:val="26"/>
          <w:szCs w:val="26"/>
        </w:rPr>
        <w:t xml:space="preserve">5.3  LTG inner admissibility</w:t>
      </w:r>
    </w:p>
    <w:p>
      <w:pPr>
        <w:spacing w:after="80" w:before="80"/>
        <w:jc w:val="left"/>
      </w:pPr>
      <w:r>
        <w:rPr>
          <w:rFonts w:ascii="Arial" w:cs="Arial" w:eastAsia="Arial" w:hAnsi="Arial"/>
          <w:sz w:val="22"/>
          <w:szCs w:val="22"/>
        </w:rPr>
        <w:t xml:space="preserve">The LTG legacy inner set is defined by: h/r_out ≤ 0.3168 (from global log-linear SBdisk fit), Δ &gt; 0, no h ≥ R₀ guard. This gives N = 141 (legacy) and N = 124 (strict, adding h ≥ R₀). The 17 artefact cases (h &lt; R₀) all give S = 0.500, Δ = 0.500, U_max = 0.298 exactly, by construction.</w:t>
      </w:r>
    </w:p>
    <w:p>
      <w:pPr>
        <w:pStyle w:val="Heading2"/>
        <w:spacing w:after="120" w:before="240"/>
      </w:pPr>
      <w:r>
        <w:rPr>
          <w:rFonts w:ascii="Arial" w:cs="Arial" w:eastAsia="Arial" w:hAnsi="Arial"/>
          <w:b/>
          <w:bCs/>
          <w:sz w:val="26"/>
          <w:szCs w:val="26"/>
        </w:rPr>
        <w:t xml:space="preserve">5.4  Buffered regime split and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000"/>
        <w:gridCol w:w="3860"/>
      </w:tblGrid>
      <w:tr>
        <w:trPr>
          <w:tblHeader/>
        </w:trPr>
        <w:tc>
          <w:tcPr>
            <w:tcW w:type="dxa" w:w="4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Predictor</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AUC</w:t>
            </w:r>
          </w:p>
        </w:tc>
        <w:tc>
          <w:tcPr>
            <w:tcW w:type="dxa" w:w="38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Note</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−u(R₀)</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0.842</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Dominant single predictor</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S_inner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0.588</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f_gas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0.505</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Δ (Delta)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0.410</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x_cross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0.450</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g_sep = −u(R₀) + 0.35 S_inner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0.912</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Best scalar, N=55 valid-inner subset</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g4 = −u(R₀) + 0.30 S + 0.20(1−f_gas)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0.931</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N=55 valid-inner subset</w:t>
            </w:r>
          </w:p>
        </w:tc>
      </w:tr>
    </w:tbl>
    <w:p>
      <w:pPr>
        <w:spacing w:after="40" w:before="40"/>
      </w:pPr>
      <w:r>
        <w:t xml:space="preserve"/>
      </w:r>
    </w:p>
    <w:p>
      <w:pPr>
        <w:spacing w:after="60" w:before="60"/>
      </w:pPr>
      <w:r>
        <w:rPr>
          <w:rFonts w:ascii="Arial" w:cs="Arial" w:eastAsia="Arial" w:hAnsi="Arial"/>
          <w:i/>
          <w:iCs/>
          <w:sz w:val="22"/>
          <w:szCs w:val="22"/>
        </w:rPr>
        <w:t xml:space="preserve">AUC values for g_sep and g4 condition on the 55 buffered galaxies with valid S_inner values, not the full 77.</w:t>
      </w:r>
    </w:p>
    <w:p>
      <w:pPr>
        <w:pStyle w:val="Heading2"/>
        <w:spacing w:after="120" w:before="240"/>
      </w:pPr>
      <w:r>
        <w:rPr>
          <w:rFonts w:ascii="Arial" w:cs="Arial" w:eastAsia="Arial" w:hAnsi="Arial"/>
          <w:b/>
          <w:bCs/>
          <w:sz w:val="26"/>
          <w:szCs w:val="26"/>
        </w:rPr>
        <w:t xml:space="preserve">5.5  Single-crossing outer error scalar</w:t>
      </w:r>
    </w:p>
    <w:p>
      <w:pPr>
        <w:spacing w:after="80" w:before="80"/>
        <w:jc w:val="left"/>
      </w:pPr>
      <w:r>
        <w:rPr>
          <w:rFonts w:ascii="Arial" w:cs="Arial" w:eastAsia="Arial" w:hAnsi="Arial"/>
          <w:sz w:val="22"/>
          <w:szCs w:val="22"/>
        </w:rPr>
        <w:t xml:space="preserve">For the 25 single-crossing objects, the outer error correlates with accumulated memory load and crossing position:</w:t>
      </w:r>
    </w:p>
    <w:p>
      <w:pPr>
        <w:spacing w:after="80" w:before="80"/>
        <w:jc w:val="center"/>
      </w:pPr>
      <w:r>
        <w:rPr>
          <w:rFonts w:ascii="Arial" w:cs="Arial" w:eastAsia="Arial" w:hAnsi="Arial"/>
          <w:sz w:val="22"/>
          <w:szCs w:val="22"/>
        </w:rPr>
        <w:t xml:space="preserve">g = memory_load × x_cross,   memory_load = (1 − f_gas)(r_out/h)</w:t>
      </w:r>
    </w:p>
    <w:p>
      <w:pPr>
        <w:spacing w:after="80" w:before="80"/>
        <w:jc w:val="left"/>
      </w:pPr>
      <w:r>
        <w:rPr>
          <w:rFonts w:ascii="Arial" w:cs="Arial" w:eastAsia="Arial" w:hAnsi="Arial"/>
          <w:sz w:val="22"/>
          <w:szCs w:val="22"/>
        </w:rPr>
        <w:t xml:space="preserve">Using exact memory law residuals: Pearson(g, outer MAE) = 0.767, linear fit outer_MAE ≈ 5.02 + 9.74g, R² = 0.588. A second independent scalar, the memory-law gap L_gap = L_sat − L_exact, adds substantial predictive power. Verified: corr(g, L_gap) ≈ 0 (VIF ≈ 1.000), partial r(outer_MAE, L_gap | g) = +0.852 (p = 3.6×10⁻⁶). The two-scalar working model (Priority L, provisional):</w:t>
      </w:r>
    </w:p>
    <w:p>
      <w:pPr>
        <w:spacing w:after="80" w:before="80"/>
        <w:jc w:val="center"/>
      </w:pPr>
      <w:r>
        <w:rPr>
          <w:rFonts w:ascii="Arial" w:cs="Arial" w:eastAsia="Arial" w:hAnsi="Arial"/>
          <w:sz w:val="22"/>
          <w:szCs w:val="22"/>
        </w:rPr>
        <w:t xml:space="preserve">outer_MAE ≈ −10.4 + 8.6g + 10.5 L_gap</w:t>
      </w:r>
    </w:p>
    <w:p>
      <w:pPr>
        <w:spacing w:after="80" w:before="80"/>
        <w:jc w:val="left"/>
      </w:pPr>
      <w:r>
        <w:rPr>
          <w:rFonts w:ascii="Arial" w:cs="Arial" w:eastAsia="Arial" w:hAnsi="Arial"/>
          <w:sz w:val="22"/>
          <w:szCs w:val="22"/>
        </w:rPr>
        <w:t xml:space="preserve">Applicability conditions: h ≥ R[0] (strict h-guard; excludes 6 artefact galaxies); x_cross &gt; 0.10 (excludes UGC03580 inner-cusp artefact); exact gas-dependent L_eff; outer MAE measured over R ≥ x_cross. Canonical sets: strict N = 19, strict-clean N = 18. Performance: g + L_gap LOO RMSE ≈ 10.1–10.5 km/s; improvement over g-only ≈ 8.3 km/s. Severity ranking: Pearson = 0.935, Spearman = 0.888, Kendall = 0.731. The model correctly identifies the top-5 highest-error objects (NGC2841, UGC06786, UGC02885, UGC12506, NGC6674) and is within 10 km/s for 68% of objects in-sample.</w:t>
      </w:r>
    </w:p>
    <w:p>
      <w:pPr>
        <w:spacing w:after="80" w:before="80"/>
        <w:jc w:val="left"/>
      </w:pPr>
      <w:r>
        <w:rPr>
          <w:rFonts w:ascii="Arial" w:cs="Arial" w:eastAsia="Arial" w:hAnsi="Arial"/>
          <w:sz w:val="22"/>
          <w:szCs w:val="22"/>
        </w:rPr>
        <w:t xml:space="preserve">Residual structure: positive residuals (underpredicted) are late-retained-load or broad systems (UGC06786, UGC04325, UGC02885). Negative residuals are compact or rapidly falling systems (NGC4214, NGC5371, NGC4183). The two-condition late-load diagnostic uout &gt; 0.64 AND h/r_out &gt; 0.095 flags 4/5 true-positive objects with zero negative-group false positives. It correctly excludes NGC4214 (h/r_out = 0.089). Three-variable extensions (adding n_scales or memory_load) both fail jackknife coefficient sign-stability across strict N=19 and clean N=18 sets. Priority L status: provisional severity diagnostic and outer MAE estimator; not a universal point correction law.</w:t>
      </w:r>
    </w:p>
    <w:p>
      <w:pPr>
        <w:pStyle w:val="Heading2"/>
        <w:spacing w:after="120" w:before="240"/>
      </w:pPr>
      <w:r>
        <w:rPr>
          <w:rFonts w:ascii="Arial" w:cs="Arial" w:eastAsia="Arial" w:hAnsi="Arial"/>
          <w:b/>
          <w:bCs/>
          <w:sz w:val="26"/>
          <w:szCs w:val="26"/>
        </w:rPr>
        <w:t xml:space="preserve">5.6  CDC-low-load branch</w:t>
      </w:r>
    </w:p>
    <w:p>
      <w:pPr>
        <w:spacing w:after="80" w:before="80"/>
        <w:jc w:val="left"/>
      </w:pPr>
      <w:r>
        <w:rPr>
          <w:rFonts w:ascii="Arial" w:cs="Arial" w:eastAsia="Arial" w:hAnsi="Arial"/>
          <w:sz w:val="22"/>
          <w:szCs w:val="22"/>
        </w:rPr>
        <w:t xml:space="preserve">17 LTG galaxies form a suppressed-amplitude central-deficit route: u(R₀) &lt; 0, u_out &lt; 1, and max u(r) &lt; 1 across the full radial profile. All 17 pass the strict h ≥ R₀ guard. Members: NGC4217, NGC5055, NGC7331, NGC4389, NGC4085, UGC09037, UGC06614, NGC4088, UGC02455, UGC11557, NGC3769, UGC04305, F574-2, CamB, UGC08837, NGC4068, NGC0100.</w:t>
      </w:r>
    </w:p>
    <w:p>
      <w:pPr>
        <w:spacing w:after="80" w:before="80"/>
        <w:jc w:val="left"/>
      </w:pPr>
      <w:r>
        <w:rPr>
          <w:rFonts w:ascii="Arial" w:cs="Arial" w:eastAsia="Arial" w:hAnsi="Arial"/>
          <w:sz w:val="22"/>
          <w:szCs w:val="22"/>
        </w:rPr>
        <w:t xml:space="preserve">Three sub-groups: deep-deficit subthreshold (NGC4217, NGC5055, NGC4389; u₀ ≈ −4.6, umax ≈ 0.84); near-threshold CDC-low (NGC7331, NGC4085, NGC3769; umax ≈ 0.96–0.998); weak-sign CDC-low (F574-2, CamB, UGC08837, NGC4068, NGC0100; |u₀| &lt; 0.03). The CDC-low group is statistically distinct from both ordinary low-load and CDC-upward (MW p = 0.005 vs ordinary low-load; p = 0.019 vs CDC-upward). Full-curve RMSE shows modest structure: rise_amp + h/r_out gives R² = 0.576, LOO RMSE ≈ 8.9 km/s. The h/r_out coefficient is large (≈ 71), making the model sensitive to h measurement errors; use only as a directional diagnostic. No outer MAE correction law exists. Note: the uploaded Serra2012 and CO single-dish archives contain only ETG/ATLAS3D objects (0/17 overlap with CDC-low), so external HI/CO morphology data for this branch is not available from the current dataset. Internal SPARC gas-curve variables (f_gas_out, gas_peak_x, gas_outer_slope, Vgas_peak) do not improve the RMSE model by more than 0.42 km/s LOO. CDC-low is treated as a route taxonomy branch.</w:t>
      </w:r>
    </w:p>
    <w:p>
      <w:pPr>
        <w:pStyle w:val="Heading1"/>
        <w:spacing w:after="180" w:before="360"/>
      </w:pPr>
      <w:r>
        <w:rPr>
          <w:rFonts w:ascii="Arial" w:cs="Arial" w:eastAsia="Arial" w:hAnsi="Arial"/>
          <w:b/>
          <w:bCs/>
          <w:sz w:val="32"/>
          <w:szCs w:val="32"/>
        </w:rPr>
        <w:t xml:space="preserve">6.  Inner Feasibility and the S-Law</w:t>
      </w:r>
    </w:p>
    <w:p>
      <w:pPr>
        <w:pStyle w:val="Heading2"/>
        <w:spacing w:after="120" w:before="240"/>
      </w:pPr>
      <w:r>
        <w:rPr>
          <w:rFonts w:ascii="Arial" w:cs="Arial" w:eastAsia="Arial" w:hAnsi="Arial"/>
          <w:b/>
          <w:bCs/>
          <w:sz w:val="26"/>
          <w:szCs w:val="26"/>
        </w:rPr>
        <w:t xml:space="preserve">6.1  The completion ratio</w:t>
      </w:r>
    </w:p>
    <w:p>
      <w:pPr>
        <w:spacing w:after="80" w:before="80"/>
        <w:jc w:val="left"/>
      </w:pPr>
      <w:r>
        <w:rPr>
          <w:rFonts w:ascii="Arial" w:cs="Arial" w:eastAsia="Arial" w:hAnsi="Arial"/>
          <w:sz w:val="22"/>
          <w:szCs w:val="22"/>
        </w:rPr>
        <w:t xml:space="preserve">Q12 = V̄²_bar(0.5h) / V̄²_bar(h),   Q14 = V̄²_bar(0.25h) / V̄²_bar(h),   Δ = 1 − Q12,   S = Q14 / Δ</w:t>
      </w:r>
    </w:p>
    <w:p>
      <w:pPr>
        <w:spacing w:after="80" w:before="80"/>
        <w:jc w:val="left"/>
      </w:pPr>
      <w:r>
        <w:rPr>
          <w:rFonts w:ascii="Arial" w:cs="Arial" w:eastAsia="Arial" w:hAnsi="Arial"/>
          <w:sz w:val="22"/>
          <w:szCs w:val="22"/>
        </w:rPr>
        <w:t xml:space="preserve">The inner kernel maximum U_max = max_x U(x) where U(x) = (1/x) ∫₀¹ exp(−(1−y)/x) [1 − B(y)] dy, with B(y) = V̄²_bar(yh) / V̄²_bar(h). All inner quantities use V²-interpolation. The U_max integral requires n_y ≥ 2000 for 4-digit stability.</w:t>
      </w:r>
    </w:p>
    <w:p>
      <w:pPr>
        <w:pStyle w:val="Heading2"/>
        <w:spacing w:after="120" w:before="240"/>
      </w:pPr>
      <w:r>
        <w:rPr>
          <w:rFonts w:ascii="Arial" w:cs="Arial" w:eastAsia="Arial" w:hAnsi="Arial"/>
          <w:b/>
          <w:bCs/>
          <w:sz w:val="26"/>
          <w:szCs w:val="26"/>
        </w:rPr>
        <w:t xml:space="preserve">6.2  LTG S-law</w:t>
      </w:r>
    </w:p>
    <w:p>
      <w:pPr>
        <w:spacing w:after="80" w:before="80"/>
        <w:jc w:val="center"/>
      </w:pPr>
      <w:r>
        <w:rPr>
          <w:rFonts w:ascii="Arial" w:cs="Arial" w:eastAsia="Arial" w:hAnsi="Arial"/>
          <w:sz w:val="22"/>
          <w:szCs w:val="22"/>
        </w:rPr>
        <w:t xml:space="preserve">U_max ≈ 0.2403 − 0.0700 ln(S),   R² = 0.919,   Pearson r = −0.959   (legacy N = 141)</w:t>
      </w:r>
    </w:p>
    <w:p>
      <w:pPr>
        <w:spacing w:after="80" w:before="80"/>
        <w:jc w:val="center"/>
      </w:pPr>
      <w:r>
        <w:rPr>
          <w:rFonts w:ascii="Arial" w:cs="Arial" w:eastAsia="Arial" w:hAnsi="Arial"/>
          <w:sz w:val="22"/>
          <w:szCs w:val="22"/>
        </w:rPr>
        <w:t xml:space="preserve">U_max ≈ 0.2391 − 0.0697 ln(S),   R² = 0.920   (strict N = 124)</w:t>
      </w:r>
    </w:p>
    <w:p>
      <w:pPr>
        <w:spacing w:after="80" w:before="80"/>
        <w:jc w:val="left"/>
      </w:pPr>
      <w:r>
        <w:rPr>
          <w:rFonts w:ascii="Arial" w:cs="Arial" w:eastAsia="Arial" w:hAnsi="Arial"/>
          <w:sz w:val="22"/>
          <w:szCs w:val="22"/>
        </w:rPr>
        <w:t xml:space="preserve">Threshold: S &lt; 1.70 correctly classifies 135/141 as feasible (U_max ≥ U* = 0.201803). The six mismatches are early-completion profiles.</w:t>
      </w:r>
    </w:p>
    <w:p>
      <w:pPr>
        <w:pStyle w:val="Heading2"/>
        <w:spacing w:after="120" w:before="240"/>
      </w:pPr>
      <w:r>
        <w:rPr>
          <w:rFonts w:ascii="Arial" w:cs="Arial" w:eastAsia="Arial" w:hAnsi="Arial"/>
          <w:b/>
          <w:bCs/>
          <w:sz w:val="26"/>
          <w:szCs w:val="26"/>
        </w:rPr>
        <w:t xml:space="preserve">6.3  ETG S-law</w:t>
      </w:r>
    </w:p>
    <w:p>
      <w:pPr>
        <w:spacing w:after="80" w:before="80"/>
        <w:jc w:val="center"/>
      </w:pPr>
      <w:r>
        <w:rPr>
          <w:rFonts w:ascii="Arial" w:cs="Arial" w:eastAsia="Arial" w:hAnsi="Arial"/>
          <w:sz w:val="22"/>
          <w:szCs w:val="22"/>
        </w:rPr>
        <w:t xml:space="preserve">U_max ≈ 0.2325 − 0.0578 ln(S),   R² = 0.851,   Pearson r = −0.923,   p = 3.6×10⁻⁷   (N = 16)</w:t>
      </w:r>
    </w:p>
    <w:p>
      <w:pPr>
        <w:spacing w:after="80" w:before="80"/>
        <w:jc w:val="left"/>
      </w:pPr>
      <w:r>
        <w:rPr>
          <w:rFonts w:ascii="Arial" w:cs="Arial" w:eastAsia="Arial" w:hAnsi="Arial"/>
          <w:sz w:val="22"/>
          <w:szCs w:val="22"/>
        </w:rPr>
        <w:t xml:space="preserve">The implied threshold crossing U_max = U* occurs at S* = 1.699.</w:t>
      </w:r>
    </w:p>
    <w:p>
      <w:pPr>
        <w:pStyle w:val="Heading2"/>
        <w:spacing w:after="120" w:before="240"/>
      </w:pPr>
      <w:r>
        <w:rPr>
          <w:rFonts w:ascii="Arial" w:cs="Arial" w:eastAsia="Arial" w:hAnsi="Arial"/>
          <w:b/>
          <w:bCs/>
          <w:sz w:val="26"/>
          <w:szCs w:val="26"/>
        </w:rPr>
        <w:t xml:space="preserve">6.4  Cross-type comparison</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1500"/>
        <w:gridCol w:w="1500"/>
        <w:gridCol w:w="1000"/>
        <w:gridCol w:w="1360"/>
      </w:tblGrid>
      <w:tr>
        <w:trPr>
          <w:tblHeader/>
        </w:trPr>
        <w:tc>
          <w:tcPr>
            <w:tcW w:type="dxa" w:w="2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Population</w:t>
            </w:r>
          </w:p>
        </w:tc>
        <w:tc>
          <w:tcPr>
            <w:tcW w:type="dxa" w:w="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w:t>
            </w:r>
          </w:p>
        </w:tc>
        <w:tc>
          <w:tcPr>
            <w:tcW w:type="dxa" w:w="1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A (intercept)</w:t>
            </w:r>
          </w:p>
        </w:tc>
        <w:tc>
          <w:tcPr>
            <w:tcW w:type="dxa" w:w="1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B (slope)</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R²</w:t>
            </w:r>
          </w:p>
        </w:tc>
        <w:tc>
          <w:tcPr>
            <w:tcW w:type="dxa" w:w="13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S* implied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ETG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−0.0578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0.851</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legacy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141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0.2403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−0.0700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0.919</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1.73</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strict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0.2391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−0.0697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0.920</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1.72</w:t>
            </w:r>
          </w:p>
        </w:tc>
      </w:tr>
    </w:tbl>
    <w:p>
      <w:pPr>
        <w:spacing w:after="40" w:before="40"/>
      </w:pPr>
      <w:r>
        <w:t xml:space="preserve"/>
      </w:r>
    </w:p>
    <w:p>
      <w:pPr>
        <w:spacing w:after="80" w:before="80"/>
        <w:jc w:val="left"/>
      </w:pPr>
      <w:r>
        <w:rPr>
          <w:rFonts w:ascii="Arial" w:cs="Arial" w:eastAsia="Arial" w:hAnsi="Arial"/>
          <w:sz w:val="22"/>
          <w:szCs w:val="22"/>
        </w:rPr>
        <w:t xml:space="preserve">Both populations show the same structure: U_max is organised by ln(S) with a universal threshold near S ≈ 1.70. ETGs have a shallower slope, consistent with more compact inner profiles.</w:t>
      </w:r>
    </w:p>
    <w:p>
      <w:pPr>
        <w:pStyle w:val="Heading1"/>
        <w:spacing w:after="180" w:before="360"/>
      </w:pPr>
      <w:r>
        <w:rPr>
          <w:rFonts w:ascii="Arial" w:cs="Arial" w:eastAsia="Arial" w:hAnsi="Arial"/>
          <w:b/>
          <w:bCs/>
          <w:sz w:val="32"/>
          <w:szCs w:val="32"/>
        </w:rPr>
        <w:t xml:space="preserve">7.  ETG Response Sector — Overview</w:t>
      </w:r>
    </w:p>
    <w:p>
      <w:pPr>
        <w:spacing w:after="80" w:before="80"/>
        <w:jc w:val="left"/>
      </w:pPr>
      <w:r>
        <w:rPr>
          <w:rFonts w:ascii="Arial" w:cs="Arial" w:eastAsia="Arial" w:hAnsi="Arial"/>
          <w:sz w:val="22"/>
          <w:szCs w:val="22"/>
        </w:rPr>
        <w:t xml:space="preserve">ETGs fail the LTG law in two independent ways simultaneously: inner profile deformation (large S) and outer baryonic retention (large u). They form a multi-family, multi-sign response sector organised by the four-condition intersection structure in §8.</w:t>
      </w:r>
    </w:p>
    <w:p>
      <w:pPr>
        <w:spacing w:after="80" w:before="80"/>
        <w:jc w:val="left"/>
      </w:pPr>
      <w:r>
        <w:rPr>
          <w:rFonts w:ascii="Arial" w:cs="Arial" w:eastAsia="Arial" w:hAnsi="Arial"/>
          <w:sz w:val="22"/>
          <w:szCs w:val="22"/>
        </w:rPr>
        <w:t xml:space="preserve">The five ETG families, by support signature ΔV²(r) = V²_obs(r) − V̄²_bar(r):</w:t>
      </w:r>
    </w:p>
    <w:p>
      <w:pPr>
        <w:spacing w:after="80" w:before="80"/>
        <w:jc w:val="left"/>
      </w:pPr>
      <w:r>
        <w:rPr>
          <w:rFonts w:ascii="Arial" w:cs="Arial" w:eastAsia="Arial" w:hAnsi="Arial"/>
          <w:sz w:val="22"/>
          <w:szCs w:val="22"/>
        </w:rPr>
        <w:t xml:space="preserve">H+ single-channel: NGC2685, NGC3626, NGC3941 — sign-changing (ΔV²_inn &lt; 0, ΔV²_out &gt; 0), all four conditions satisfied.</w:t>
      </w:r>
    </w:p>
    <w:p>
      <w:pPr>
        <w:spacing w:after="80" w:before="80"/>
        <w:jc w:val="left"/>
      </w:pPr>
      <w:r>
        <w:rPr>
          <w:rFonts w:ascii="Arial" w:cs="Arial" w:eastAsia="Arial" w:hAnsi="Arial"/>
          <w:sz w:val="22"/>
          <w:szCs w:val="22"/>
        </w:rPr>
        <w:t xml:space="preserve">H+ two-channel: NGC4203 — sign-changing, outer capacity exceeded; two-channel required.</w:t>
      </w:r>
    </w:p>
    <w:p>
      <w:pPr>
        <w:spacing w:after="80" w:before="80"/>
        <w:jc w:val="left"/>
      </w:pPr>
      <w:r>
        <w:rPr>
          <w:rFonts w:ascii="Arial" w:cs="Arial" w:eastAsia="Arial" w:hAnsi="Arial"/>
          <w:sz w:val="22"/>
          <w:szCs w:val="22"/>
        </w:rPr>
        <w:t xml:space="preserve">Class B: NGC3838 — inner/outer-feasible, sign-wrong only.</w:t>
      </w:r>
    </w:p>
    <w:p>
      <w:pPr>
        <w:spacing w:after="80" w:before="80"/>
        <w:jc w:val="left"/>
      </w:pPr>
      <w:r>
        <w:rPr>
          <w:rFonts w:ascii="Arial" w:cs="Arial" w:eastAsia="Arial" w:hAnsi="Arial"/>
          <w:sz w:val="22"/>
          <w:szCs w:val="22"/>
        </w:rPr>
        <w:t xml:space="preserve">Class C: NGC4262 — inner-feasible, sign-wrong and outer-wrong.</w:t>
      </w:r>
    </w:p>
    <w:p>
      <w:pPr>
        <w:spacing w:after="80" w:before="80"/>
        <w:jc w:val="left"/>
      </w:pPr>
      <w:r>
        <w:rPr>
          <w:rFonts w:ascii="Arial" w:cs="Arial" w:eastAsia="Arial" w:hAnsi="Arial"/>
          <w:sz w:val="22"/>
          <w:szCs w:val="22"/>
        </w:rPr>
        <w:t xml:space="preserve">D1 (outer-capacity fail): NGC2824, NGC2859, NGC2974 — u &gt; 1, U_max &gt; U*.</w:t>
      </w:r>
    </w:p>
    <w:p>
      <w:pPr>
        <w:spacing w:after="80" w:before="80"/>
        <w:jc w:val="left"/>
      </w:pPr>
      <w:r>
        <w:rPr>
          <w:rFonts w:ascii="Arial" w:cs="Arial" w:eastAsia="Arial" w:hAnsi="Arial"/>
          <w:sz w:val="22"/>
          <w:szCs w:val="22"/>
        </w:rPr>
        <w:t xml:space="preserve">D2 (double fail): NGC3945, NGC3998, NGC4278, NGC5582* — both u &gt; 1 and U_max &lt; U*.</w:t>
      </w:r>
    </w:p>
    <w:p>
      <w:pPr>
        <w:spacing w:after="80" w:before="80"/>
        <w:jc w:val="left"/>
      </w:pPr>
      <w:r>
        <w:rPr>
          <w:rFonts w:ascii="Arial" w:cs="Arial" w:eastAsia="Arial" w:hAnsi="Arial"/>
          <w:sz w:val="22"/>
          <w:szCs w:val="22"/>
        </w:rPr>
        <w:t xml:space="preserve">Class E (wrong profile family): NGC3522, NGC6798, UGC6176 — outer/inner-feasible, large Δ, sign-wrong.</w:t>
      </w:r>
    </w:p>
    <w:p>
      <w:pPr>
        <w:spacing w:after="60" w:before="60"/>
      </w:pPr>
      <w:r>
        <w:rPr>
          <w:rFonts w:ascii="Arial" w:cs="Arial" w:eastAsia="Arial" w:hAnsi="Arial"/>
          <w:i/>
          <w:iCs/>
          <w:sz w:val="22"/>
          <w:szCs w:val="22"/>
        </w:rPr>
        <w:t xml:space="preserve">*NGC5582: S = 1.647 passes the S &lt; 1.70 threshold, but U_max = 0.178 &lt; U* = 0.202. This is a borderline S-threshold miss; the direct U_max test correctly rejects it.</w:t>
      </w:r>
    </w:p>
    <w:p>
      <w:pPr>
        <w:pStyle w:val="Heading2"/>
        <w:spacing w:after="120" w:before="240"/>
      </w:pPr>
      <w:r>
        <w:rPr>
          <w:rFonts w:ascii="Arial" w:cs="Arial" w:eastAsia="Arial" w:hAnsi="Arial"/>
          <w:b/>
          <w:bCs/>
          <w:sz w:val="26"/>
          <w:szCs w:val="26"/>
        </w:rPr>
        <w:t xml:space="preserve">7.1  External population distinctiveness of ETG branches (new in v13)</w:t>
      </w:r>
    </w:p>
    <w:p>
      <w:pPr>
        <w:spacing w:after="80" w:before="80"/>
        <w:jc w:val="left"/>
      </w:pPr>
      <w:r>
        <w:rPr>
          <w:rFonts w:ascii="Arial" w:cs="Arial" w:eastAsia="Arial" w:hAnsi="Arial"/>
          <w:sz w:val="22"/>
          <w:szCs w:val="22"/>
        </w:rPr>
        <w:t xml:space="preserve">Cross-matching against the ATLAS3D Krajnovic (2020) stellar population radial profiles, Poci (2017) M/L maps, ATLAS3D stellar kinematics, and ionised-gas maps reveals measurable external correlates of the MTS ETG classification:</w:t>
      </w:r>
    </w:p>
    <w:p>
      <w:pPr>
        <w:spacing w:after="90" w:before="180"/>
      </w:pPr>
      <w:r>
        <w:rPr>
          <w:rFonts w:ascii="Arial" w:cs="Arial" w:eastAsia="Arial" w:hAnsi="Arial"/>
          <w:b/>
          <w:bCs/>
          <w:sz w:val="24"/>
          <w:szCs w:val="24"/>
        </w:rPr>
        <w:t xml:space="preserve">7.1.1  Disk-buffered pair (NGC3522, NGC6798) — external population triple-confirmation</w:t>
      </w:r>
    </w:p>
    <w:p>
      <w:pPr>
        <w:spacing w:after="80" w:before="80"/>
        <w:jc w:val="left"/>
      </w:pPr>
      <w:r>
        <w:rPr>
          <w:rFonts w:ascii="Arial" w:cs="Arial" w:eastAsia="Arial" w:hAnsi="Arial"/>
          <w:sz w:val="22"/>
          <w:szCs w:val="22"/>
        </w:rPr>
        <w:t xml:space="preserve">Three independent external archives were cross-matched for all 16 MTS ETGs. The disk-buffered pair (NGC3522, NGC6798) is jointly extreme in:</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1160"/>
      </w:tblGrid>
      <w:tr>
        <w:trPr>
          <w:tblHeader/>
        </w:trPr>
        <w:tc>
          <w:tcPr>
            <w:tcW w:type="dxa" w:w="3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Indicator</w:t>
            </w:r>
          </w:p>
        </w:tc>
        <w:tc>
          <w:tcPr>
            <w:tcW w:type="dxa" w:w="14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Pair median</w:t>
            </w:r>
          </w:p>
        </w:tc>
        <w:tc>
          <w:tcPr>
            <w:tcW w:type="dxa" w:w="16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Rank / 120 pairs</w:t>
            </w:r>
          </w:p>
        </w:tc>
        <w:tc>
          <w:tcPr>
            <w:tcW w:type="dxa" w:w="1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p-value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Outward age increase Δage (outer − inner, Gyr)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+10.15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 / 120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0.008</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Metallicity gradient ΔZH (outer − inner, dex)</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−0.79</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 / 120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0.017</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Poci radial M/L ratio (outer / inner)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0.636</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 / 120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0.008</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Combined rank-sum (3 indicators)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 / 120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0.008</w:t>
            </w:r>
          </w:p>
        </w:tc>
      </w:tr>
    </w:tbl>
    <w:p>
      <w:pPr>
        <w:spacing w:after="40" w:before="40"/>
      </w:pPr>
      <w:r>
        <w:t xml:space="preserve"/>
      </w:r>
    </w:p>
    <w:p>
      <w:pPr>
        <w:spacing w:after="80" w:before="80"/>
        <w:jc w:val="left"/>
      </w:pPr>
      <w:r>
        <w:rPr>
          <w:rFonts w:ascii="Arial" w:cs="Arial" w:eastAsia="Arial" w:hAnsi="Arial"/>
          <w:sz w:val="22"/>
          <w:szCs w:val="22"/>
        </w:rPr>
        <w:t xml:space="preserve">The combined rank-sum result (rank 1/120, p = 0.008) is robust to leave-one deletion on all three indicators independently. NGC5582 also shows a large M/L decline (inner/outer ratio 0.745) but is classified Main, not disk-buffered, on dynamical grounds. This result is descriptive and external; it confirms the dynamical branch distinction but does not derive it.</w:t>
      </w:r>
    </w:p>
    <w:p>
      <w:pPr>
        <w:spacing w:after="90" w:before="180"/>
      </w:pPr>
      <w:r>
        <w:rPr>
          <w:rFonts w:ascii="Arial" w:cs="Arial" w:eastAsia="Arial" w:hAnsi="Arial"/>
          <w:b/>
          <w:bCs/>
          <w:sz w:val="24"/>
          <w:szCs w:val="24"/>
        </w:rPr>
        <w:t xml:space="preserve">7.1.2  Main ETG branch — gas/star kinematic alignment</w:t>
      </w:r>
    </w:p>
    <w:p>
      <w:pPr>
        <w:spacing w:after="80" w:before="80"/>
        <w:jc w:val="left"/>
      </w:pPr>
      <w:r>
        <w:rPr>
          <w:rFonts w:ascii="Arial" w:cs="Arial" w:eastAsia="Arial" w:hAnsi="Arial"/>
          <w:sz w:val="22"/>
          <w:szCs w:val="22"/>
        </w:rPr>
        <w:t xml:space="preserve">Using a kinemetry-style PA estimator on the uploaded ATLAS3D stellar (VPXF) and ionised-gas (V_OIII_GAS) velocity maps, Main ETGs show uniform alignment: all 5 Main galaxies have gas/star PA offset &lt; 30°, and this result is stable under every leave-one deletion (remaining median ≤ 3.85°). An independent velocity-moment PA estimator (PA = atan2(Σv_i y_i, Σv_i x_i)) confirms the result at p = 0.029 (all-pairs test, N = 4368 five-object groups).</w:t>
      </w:r>
    </w:p>
    <w:p>
      <w:pPr>
        <w:spacing w:after="80" w:before="80"/>
        <w:jc w:val="left"/>
      </w:pPr>
      <w:r>
        <w:rPr>
          <w:rFonts w:ascii="Arial" w:cs="Arial" w:eastAsia="Arial" w:hAnsi="Arial"/>
          <w:sz w:val="22"/>
          <w:szCs w:val="22"/>
        </w:rPr>
        <w:t xml:space="preserve">Four named robust gas/star offset cases — NGC2685 (72°), NGC3941 (49° symmetry / 34° moment), NGC4262 (59° / 42°), NGC3998 (42° / 44°) — are confirmed by two independent map-based methods. The H+/H− grouped enrichment claim (4/7 offset cases) does not survive the all-pairs anti-overfit test (p = 0.18 against 11,440 random seven-object groups) and is not promoted.</w:t>
      </w:r>
    </w:p>
    <w:p>
      <w:pPr>
        <w:pStyle w:val="Heading1"/>
        <w:spacing w:after="180" w:before="360"/>
      </w:pPr>
      <w:r>
        <w:rPr>
          <w:rFonts w:ascii="Arial" w:cs="Arial" w:eastAsia="Arial" w:hAnsi="Arial"/>
          <w:b/>
          <w:bCs/>
          <w:sz w:val="32"/>
          <w:szCs w:val="32"/>
        </w:rPr>
        <w:t xml:space="preserve">8.  Four-Condition Intersection Structure</w:t>
      </w:r>
    </w:p>
    <w:p>
      <w:pPr>
        <w:pStyle w:val="Heading2"/>
        <w:spacing w:after="120" w:before="240"/>
      </w:pPr>
      <w:r>
        <w:rPr>
          <w:rFonts w:ascii="Arial" w:cs="Arial" w:eastAsia="Arial" w:hAnsi="Arial"/>
          <w:b/>
          <w:bCs/>
          <w:sz w:val="26"/>
          <w:szCs w:val="26"/>
        </w:rPr>
        <w:t xml:space="preserve">8.1  The four conditions</w:t>
      </w:r>
    </w:p>
    <w:p>
      <w:pPr>
        <w:spacing w:after="90" w:before="180"/>
      </w:pPr>
      <w:r>
        <w:rPr>
          <w:rFonts w:ascii="Arial" w:cs="Arial" w:eastAsia="Arial" w:hAnsi="Arial"/>
          <w:b/>
          <w:bCs/>
          <w:sz w:val="24"/>
          <w:szCs w:val="24"/>
        </w:rPr>
        <w:t xml:space="preserve">Condition 1 — Profile family</w:t>
      </w:r>
    </w:p>
    <w:p>
      <w:pPr>
        <w:spacing w:after="80" w:before="80"/>
        <w:jc w:val="left"/>
      </w:pPr>
      <w:r>
        <w:rPr>
          <w:rFonts w:ascii="Arial" w:cs="Arial" w:eastAsia="Arial" w:hAnsi="Arial"/>
          <w:sz w:val="22"/>
          <w:szCs w:val="22"/>
        </w:rPr>
        <w:t xml:space="preserve">Organised by (Δ, Q14) where Δ = 1 − Q12 and Q14 = B(1/4). Viable locus: Δ ≈ 0.31–0.46, Q14 ≈ 0.19–0.26.</w:t>
      </w:r>
    </w:p>
    <w:p>
      <w:pPr>
        <w:spacing w:after="90" w:before="180"/>
      </w:pPr>
      <w:r>
        <w:rPr>
          <w:rFonts w:ascii="Arial" w:cs="Arial" w:eastAsia="Arial" w:hAnsi="Arial"/>
          <w:b/>
          <w:bCs/>
          <w:sz w:val="24"/>
          <w:szCs w:val="24"/>
        </w:rPr>
        <w:t xml:space="preserve">Condition 2 — Sign gate (inner baryonic amplitude)</w:t>
      </w:r>
    </w:p>
    <w:p>
      <w:pPr>
        <w:spacing w:after="80" w:before="80"/>
        <w:jc w:val="center"/>
      </w:pPr>
      <w:r>
        <w:rPr>
          <w:rFonts w:ascii="Arial" w:cs="Arial" w:eastAsia="Arial" w:hAnsi="Arial"/>
          <w:sz w:val="22"/>
          <w:szCs w:val="22"/>
        </w:rPr>
        <w:t xml:space="preserve">Ω_in = V̄²_bar(r_in) / V²_obs(r_in) &gt; 1</w:t>
      </w:r>
    </w:p>
    <w:p>
      <w:pPr>
        <w:spacing w:after="80" w:before="80"/>
        <w:jc w:val="left"/>
      </w:pPr>
      <w:r>
        <w:rPr>
          <w:rFonts w:ascii="Arial" w:cs="Arial" w:eastAsia="Arial" w:hAnsi="Arial"/>
          <w:sz w:val="22"/>
          <w:szCs w:val="22"/>
        </w:rPr>
        <w:t xml:space="preserve">At fixed profile shape, the sign gate is decided by absolute inner baryonic normalisation. The NGC3838/NGC3626 control pair demonstrates this: near-identical normalised profiles (H(0.3) = 1.866 for both), but V̄_bar(r_in) = 194 vs 284 km/s splits Ω_in = 0.705 vs 1.316.</w:t>
      </w:r>
    </w:p>
    <w:p>
      <w:pPr>
        <w:spacing w:after="90" w:before="180"/>
      </w:pPr>
      <w:r>
        <w:rPr>
          <w:rFonts w:ascii="Arial" w:cs="Arial" w:eastAsia="Arial" w:hAnsi="Arial"/>
          <w:b/>
          <w:bCs/>
          <w:sz w:val="24"/>
          <w:szCs w:val="24"/>
        </w:rPr>
        <w:t xml:space="preserve">Condition 3 — Inner feasibility</w:t>
      </w:r>
    </w:p>
    <w:p>
      <w:pPr>
        <w:spacing w:after="80" w:before="80"/>
        <w:jc w:val="left"/>
      </w:pPr>
      <w:r>
        <w:rPr>
          <w:rFonts w:ascii="Arial" w:cs="Arial" w:eastAsia="Arial" w:hAnsi="Arial"/>
          <w:sz w:val="22"/>
          <w:szCs w:val="22"/>
        </w:rPr>
        <w:t xml:space="preserve">S = Q14/Δ organises U_max. Threshold S ≲ 1.70 gives 15/16 correct (NGC5582 is the borderline miss).</w:t>
      </w:r>
    </w:p>
    <w:p>
      <w:pPr>
        <w:spacing w:after="90" w:before="180"/>
      </w:pPr>
      <w:r>
        <w:rPr>
          <w:rFonts w:ascii="Arial" w:cs="Arial" w:eastAsia="Arial" w:hAnsi="Arial"/>
          <w:b/>
          <w:bCs/>
          <w:sz w:val="24"/>
          <w:szCs w:val="24"/>
        </w:rPr>
        <w:t xml:space="preserve">Condition 4 — Outer capacity</w:t>
      </w:r>
    </w:p>
    <w:p>
      <w:pPr>
        <w:spacing w:after="80" w:before="80"/>
        <w:jc w:val="center"/>
      </w:pPr>
      <w:r>
        <w:rPr>
          <w:rFonts w:ascii="Arial" w:cs="Arial" w:eastAsia="Arial" w:hAnsi="Arial"/>
          <w:sz w:val="22"/>
          <w:szCs w:val="22"/>
        </w:rPr>
        <w:t xml:space="preserve">u = (V²_obs(r_out) − V̄²_bar(r_out)) / (Γ₀ r_out R_max) ≤ 1</w:t>
      </w:r>
    </w:p>
    <w:p>
      <w:pPr>
        <w:pStyle w:val="Heading2"/>
        <w:spacing w:after="120" w:before="240"/>
      </w:pPr>
      <w:r>
        <w:rPr>
          <w:rFonts w:ascii="Arial" w:cs="Arial" w:eastAsia="Arial" w:hAnsi="Arial"/>
          <w:b/>
          <w:bCs/>
          <w:sz w:val="26"/>
          <w:szCs w:val="26"/>
        </w:rPr>
        <w:t xml:space="preserve">8.2  Independence of the four axes</w:t>
      </w:r>
    </w:p>
    <w:p>
      <w:pPr>
        <w:spacing w:after="80" w:before="80"/>
        <w:jc w:val="left"/>
      </w:pPr>
      <w:r>
        <w:rPr>
          <w:rFonts w:ascii="Arial" w:cs="Arial" w:eastAsia="Arial" w:hAnsi="Arial"/>
          <w:sz w:val="22"/>
          <w:szCs w:val="22"/>
        </w:rPr>
        <w:t xml:space="preserve">The four conditions are genuinely independent. Key cross-correlations from raw files: r(Ω_in, u) = −0.274, r(S, u) = 0.375. Inner failure is a profile-deformation problem; outer failure is a baryonic-retention problem.</w:t>
      </w:r>
    </w:p>
    <w:p>
      <w:pPr>
        <w:pStyle w:val="Heading2"/>
        <w:spacing w:after="120" w:before="240"/>
      </w:pPr>
      <w:r>
        <w:rPr>
          <w:rFonts w:ascii="Arial" w:cs="Arial" w:eastAsia="Arial" w:hAnsi="Arial"/>
          <w:b/>
          <w:bCs/>
          <w:sz w:val="26"/>
          <w:szCs w:val="26"/>
        </w:rPr>
        <w:t xml:space="preserve">8.3  Canonical ETG decision table (all 16, verified from raw files)</w:t>
      </w:r>
    </w:p>
    <w:p>
      <w:pPr>
        <w:spacing w:after="60" w:before="60"/>
      </w:pPr>
      <w:r>
        <w:rPr>
          <w:rFonts w:ascii="Arial" w:cs="Arial" w:eastAsia="Arial" w:hAnsi="Arial"/>
          <w:i/>
          <w:iCs/>
          <w:sz w:val="22"/>
          <w:szCs w:val="22"/>
        </w:rPr>
        <w:t xml:space="preserve">Inner profile quantities: V²-interpolation convention. Outer u: mixed convention. r_in values for H+ objects are canonical locked values.</w:t>
      </w:r>
    </w:p>
    <w:p>
      <w:pPr>
        <w:spacing w:after="40" w:before="4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700"/>
        <w:gridCol w:w="800"/>
        <w:gridCol w:w="900"/>
        <w:gridCol w:w="900"/>
        <w:gridCol w:w="900"/>
        <w:gridCol w:w="1000"/>
        <w:gridCol w:w="700"/>
        <w:gridCol w:w="860"/>
      </w:tblGrid>
      <w:tr>
        <w:trPr>
          <w:tblHeader/>
        </w:trPr>
        <w:tc>
          <w:tcPr>
            <w:tcW w:type="dxa" w:w="11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Galaxy</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Δ</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Q14</w:t>
            </w:r>
          </w:p>
        </w:tc>
        <w:tc>
          <w:tcPr>
            <w:tcW w:type="dxa" w:w="8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S</w:t>
            </w:r>
          </w:p>
        </w:tc>
        <w:tc>
          <w:tcPr>
            <w:tcW w:type="dxa" w:w="9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Ω_in</w:t>
            </w:r>
          </w:p>
        </w:tc>
        <w:tc>
          <w:tcPr>
            <w:tcW w:type="dxa" w:w="9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w:t>
            </w:r>
          </w:p>
        </w:tc>
        <w:tc>
          <w:tcPr>
            <w:tcW w:type="dxa" w:w="9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U_max</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Class</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r_in</w:t>
            </w:r>
          </w:p>
        </w:tc>
        <w:tc>
          <w:tcPr>
            <w:tcW w:type="dxa" w:w="8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δu</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NGC2685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0.4552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0.1944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0.427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1.1231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0.4981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0.272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+0.502</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NGC2824</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0.6161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0.1252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0.4529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1.3118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0.360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−0.312</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NGC2859</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0.3505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0.3381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0.965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0.8378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1.4878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0.223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0.840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−0.488</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NGC2974</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0.2979</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0.3027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1.016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0.6030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3.9166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0.217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0.850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−2.917</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NGC3522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0.4846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0.1386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0.286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0.4375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0.7395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0.282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+0.261</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NGC3626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0.3821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0.2040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0.534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1.3160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0.7334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0.370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+0.267</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NGC3838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0.3760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0.2097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0.558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0.7052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0.9133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0.390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+0.087</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NGC3941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0.3142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0.2606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0.829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1.2246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0.7738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0.216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0.270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+0.226</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NGC3945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0.2278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0.5396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2.369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0.6882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1.6309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0.167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1.010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−0.631</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NGC3998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0.0219</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0.6722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30.58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0.4735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2.5880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0.088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−1.588</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NGC4203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0.0617</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0.6208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1.2757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1.3374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0.107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D2(2ch)</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0.460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−0.337</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NGC4262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0.3887</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0.2027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0.521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0.4159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2.2636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−1.264</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NGC4278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0.0927</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0.6327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6.824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0.5656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2.8116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0.112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0.850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−1.812</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NGC5582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0.2178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0.3587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1.647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0.5539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1.5049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0.178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0.680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−0.505</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NGC6798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0.6899</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0.0887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0.129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0.7606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0.388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0.900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+0.239</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UGC6176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0.6690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0.1655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0.2491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0.8817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0.414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0.170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+0.118</w:t>
            </w:r>
          </w:p>
        </w:tc>
      </w:tr>
    </w:tbl>
    <w:p>
      <w:pPr>
        <w:spacing w:after="40" w:before="40"/>
      </w:pPr>
      <w:r>
        <w:t xml:space="preserve"/>
      </w:r>
    </w:p>
    <w:p>
      <w:pPr>
        <w:spacing w:after="60" w:before="60"/>
      </w:pPr>
      <w:r>
        <w:rPr>
          <w:rFonts w:ascii="Arial" w:cs="Arial" w:eastAsia="Arial" w:hAnsi="Arial"/>
          <w:i/>
          <w:iCs/>
          <w:sz w:val="22"/>
          <w:szCs w:val="22"/>
        </w:rPr>
        <w:t xml:space="preserve">Class A = single-channel H+. *D2 = borderline U_max miss (S &lt; 1.70 passes, but U_max = 0.178 &lt; U* = 0.202). δu values verified from raw files.</w:t>
      </w:r>
    </w:p>
    <w:p>
      <w:pPr>
        <w:pStyle w:val="Heading1"/>
        <w:spacing w:after="180" w:before="360"/>
      </w:pPr>
      <w:r>
        <w:rPr>
          <w:rFonts w:ascii="Arial" w:cs="Arial" w:eastAsia="Arial" w:hAnsi="Arial"/>
          <w:b/>
          <w:bCs/>
          <w:sz w:val="32"/>
          <w:szCs w:val="32"/>
        </w:rPr>
        <w:t xml:space="preserve">9.  Outer Gate Structure</w:t>
      </w:r>
    </w:p>
    <w:p>
      <w:pPr>
        <w:pStyle w:val="Heading2"/>
        <w:spacing w:after="120" w:before="240"/>
      </w:pPr>
      <w:r>
        <w:rPr>
          <w:rFonts w:ascii="Arial" w:cs="Arial" w:eastAsia="Arial" w:hAnsi="Arial"/>
          <w:b/>
          <w:bCs/>
          <w:sz w:val="26"/>
          <w:szCs w:val="26"/>
        </w:rPr>
        <w:t xml:space="preserve">9.1  Exact outer viability boundary</w:t>
      </w:r>
    </w:p>
    <w:p>
      <w:pPr>
        <w:spacing w:after="80" w:before="80"/>
        <w:jc w:val="left"/>
      </w:pPr>
      <w:r>
        <w:rPr>
          <w:rFonts w:ascii="Arial" w:cs="Arial" w:eastAsia="Arial" w:hAnsi="Arial"/>
          <w:sz w:val="22"/>
          <w:szCs w:val="22"/>
        </w:rPr>
        <w:t xml:space="preserve">X_out = V²_obs(r_out) / (Γ₀ r_out),   R_d = 0.5 V²_disk(r_out)/V²_obs(r_out),   X_crit = R_max / (1 − R_d − R_b)</w:t>
      </w:r>
    </w:p>
    <w:p>
      <w:pPr>
        <w:spacing w:after="80" w:before="80"/>
        <w:jc w:val="left"/>
      </w:pPr>
      <w:r>
        <w:rPr>
          <w:rFonts w:ascii="Arial" w:cs="Arial" w:eastAsia="Arial" w:hAnsi="Arial"/>
          <w:sz w:val="22"/>
          <w:szCs w:val="22"/>
        </w:rPr>
        <w:t xml:space="preserve">The exact outer slack variable is:</w:t>
      </w:r>
    </w:p>
    <w:p>
      <w:pPr>
        <w:spacing w:after="80" w:before="80"/>
        <w:jc w:val="center"/>
      </w:pPr>
      <w:r>
        <w:rPr>
          <w:rFonts w:ascii="Arial" w:cs="Arial" w:eastAsia="Arial" w:hAnsi="Arial"/>
          <w:sz w:val="22"/>
          <w:szCs w:val="22"/>
        </w:rPr>
        <w:t xml:space="preserve">δu ≡ 1 − u = (X_crit − X_out) / X_crit</w:t>
      </w:r>
    </w:p>
    <w:p>
      <w:pPr>
        <w:spacing w:after="80" w:before="80"/>
        <w:jc w:val="left"/>
      </w:pPr>
      <w:r>
        <w:rPr>
          <w:rFonts w:ascii="Arial" w:cs="Arial" w:eastAsia="Arial" w:hAnsi="Arial"/>
          <w:sz w:val="22"/>
          <w:szCs w:val="22"/>
        </w:rPr>
        <w:t xml:space="preserve">This identity holds to floating-point precision for all 16 ETGs (max deviation &lt; 5×10⁻¹⁶, verified).</w:t>
      </w:r>
    </w:p>
    <w:p>
      <w:pPr>
        <w:pStyle w:val="Heading2"/>
        <w:spacing w:after="120" w:before="240"/>
      </w:pPr>
      <w:r>
        <w:rPr>
          <w:rFonts w:ascii="Arial" w:cs="Arial" w:eastAsia="Arial" w:hAnsi="Arial"/>
          <w:b/>
          <w:bCs/>
          <w:sz w:val="26"/>
          <w:szCs w:val="26"/>
        </w:rPr>
        <w:t xml:space="preserve">9.2  Two viable outer routes and crossing structure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00"/>
        <w:gridCol w:w="1500"/>
        <w:gridCol w:w="1000"/>
        <w:gridCol w:w="2160"/>
      </w:tblGrid>
      <w:tr>
        <w:trPr>
          <w:tblHeader/>
        </w:trPr>
        <w:tc>
          <w:tcPr>
            <w:tcW w:type="dxa" w:w="13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Galaxy</w:t>
            </w:r>
          </w:p>
        </w:tc>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r_out (kpc)</w:t>
            </w:r>
          </w:p>
        </w:tc>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u(r_out)</w:t>
            </w:r>
          </w:p>
        </w:tc>
        <w:tc>
          <w:tcPr>
            <w:tcW w:type="dxa" w:w="1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r_cross/r_out</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δu</w:t>
            </w:r>
          </w:p>
        </w:tc>
        <w:tc>
          <w:tcPr>
            <w:tcW w:type="dxa" w:w="2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Route</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NGC2685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24.98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0.4981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0.488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Low-load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NGC3522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0.7395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0.861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NGC3626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13.32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0.7334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+0.267</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NGC3838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0.9133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0.953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+0.087</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NGC3941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11.72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0.7738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0.848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+0.226</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NGC6798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27.13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0.7606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0.783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+0.239</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UGC6176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11.43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0.8817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0.932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+0.118</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bl>
    <w:p>
      <w:pPr>
        <w:spacing w:after="40" w:before="40"/>
      </w:pPr>
      <w:r>
        <w:t xml:space="preserve"/>
      </w:r>
    </w:p>
    <w:p>
      <w:pPr>
        <w:pStyle w:val="Heading2"/>
        <w:spacing w:after="120" w:before="240"/>
      </w:pPr>
      <w:r>
        <w:rPr>
          <w:rFonts w:ascii="Arial" w:cs="Arial" w:eastAsia="Arial" w:hAnsi="Arial"/>
          <w:b/>
          <w:bCs/>
          <w:sz w:val="26"/>
          <w:szCs w:val="26"/>
        </w:rPr>
        <w:t xml:space="preserve">9.3  Buffered branch radial profile structure and crossing-window geometry</w:t>
      </w:r>
    </w:p>
    <w:p>
      <w:pPr>
        <w:spacing w:after="80" w:before="80"/>
        <w:jc w:val="left"/>
      </w:pPr>
      <w:r>
        <w:rPr>
          <w:rFonts w:ascii="Arial" w:cs="Arial" w:eastAsia="Arial" w:hAnsi="Arial"/>
          <w:sz w:val="22"/>
          <w:szCs w:val="22"/>
        </w:rPr>
        <w:t xml:space="preserve">The six disk-buffered ETGs share a common rescaled radial approach profile near u = 1. On the window 0.92 ≤ x = r/r_cross ≤ 1.04 (121-point grid), the common constrained quadratic law is:</w:t>
      </w:r>
    </w:p>
    <w:p>
      <w:pPr>
        <w:spacing w:after="80" w:before="80"/>
        <w:jc w:val="center"/>
      </w:pPr>
      <w:r>
        <w:rPr>
          <w:rFonts w:ascii="Arial" w:cs="Arial" w:eastAsia="Arial" w:hAnsi="Arial"/>
          <w:sz w:val="22"/>
          <w:szCs w:val="22"/>
        </w:rPr>
        <w:t xml:space="preserve">u(x) ≈ 1 − 1.587(x−1) + 1.398(x−1)²</w:t>
      </w:r>
    </w:p>
    <w:p>
      <w:pPr>
        <w:spacing w:after="80" w:before="80"/>
        <w:jc w:val="left"/>
      </w:pPr>
      <w:r>
        <w:rPr>
          <w:rFonts w:ascii="Arial" w:cs="Arial" w:eastAsia="Arial" w:hAnsi="Arial"/>
          <w:sz w:val="22"/>
          <w:szCs w:val="22"/>
        </w:rPr>
        <w:t xml:space="preserve">Per-galaxy RMSEs against the common law: NGC3522 = 0.013, NGC3626 = 0.002, NGC3838 = 0.012, NGC3941 = 0.009, NGC6798 = 0.023, UGC6176 = 0.005. Residual PC1 variance: 99.85%. Individual slope coefficients c1: NGC3522 = −1.874, NGC3626 = −1.660, NGC3838 = −1.847, NGC3941 = −1.402, NGC6798 = −1.045, UGC6176 = −1.695.</w:t>
      </w:r>
    </w:p>
    <w:p>
      <w:pPr>
        <w:spacing w:after="90" w:before="180"/>
      </w:pPr>
      <w:r>
        <w:rPr>
          <w:rFonts w:ascii="Arial" w:cs="Arial" w:eastAsia="Arial" w:hAnsi="Arial"/>
          <w:b/>
          <w:bCs/>
          <w:sz w:val="24"/>
          <w:szCs w:val="24"/>
        </w:rPr>
        <w:t xml:space="preserve">Priority K: Crossing-window geometric identity (closed in v13)</w:t>
      </w:r>
    </w:p>
    <w:p>
      <w:pPr>
        <w:spacing w:after="80" w:before="80"/>
        <w:jc w:val="left"/>
      </w:pPr>
      <w:r>
        <w:rPr>
          <w:rFonts w:ascii="Arial" w:cs="Arial" w:eastAsia="Arial" w:hAnsi="Arial"/>
          <w:sz w:val="22"/>
          <w:szCs w:val="22"/>
        </w:rPr>
        <w:t xml:space="preserve">The crossing-window slope c1 satisfies the following parameter-free geometric identity across all 7 crossing objects (including NGC2685, low-load route):</w:t>
      </w:r>
    </w:p>
    <w:p>
      <w:pPr>
        <w:spacing w:after="80" w:before="80"/>
        <w:jc w:val="center"/>
      </w:pPr>
      <w:r>
        <w:rPr>
          <w:rFonts w:ascii="Arial" w:cs="Arial" w:eastAsia="Arial" w:hAnsi="Arial"/>
          <w:sz w:val="22"/>
          <w:szCs w:val="22"/>
        </w:rPr>
        <w:t xml:space="preserve">c1 = −δu / (1 − x_cross) = (u_out − 1) / (1 − x_cross)</w:t>
      </w:r>
    </w:p>
    <w:p>
      <w:pPr>
        <w:spacing w:after="80" w:before="80"/>
        <w:jc w:val="left"/>
      </w:pPr>
      <w:r>
        <w:rPr>
          <w:rFonts w:ascii="Arial" w:cs="Arial" w:eastAsia="Arial" w:hAnsi="Arial"/>
          <w:sz w:val="22"/>
          <w:szCs w:val="22"/>
        </w:rPr>
        <w:t xml:space="preserve">Verification across 7 objects: Pearson r = 0.998 (p &lt; 10⁻⁵), Spearman = 1.000 (perfect rank order), parameter-free RMSE = 0.07 log units. For 6 of 7 objects the formula residual is ≤ 0.09; NGC2685 (low-load route, residual = 0.14) is the boundary case. This formula requires no fitting — it is derived from the geometric fact that the load profile must traverse from u = 1 (at x_cross) to u_out &lt; 1 (at r_out) over the remaining radial interval (1 − x_cross). The local crossing slope is therefore set by the ratio of available depth (δu = 1 − u_out) to available width (1 − x_cross). This result closes Priority K as a derived geometric identity.</w:t>
      </w:r>
    </w:p>
    <w:p>
      <w:pPr>
        <w:spacing w:after="80" w:before="80"/>
        <w:jc w:val="left"/>
      </w:pPr>
      <w:r>
        <w:rPr>
          <w:rFonts w:ascii="Arial" w:cs="Arial" w:eastAsia="Arial" w:hAnsi="Arial"/>
          <w:sz w:val="22"/>
          <w:szCs w:val="22"/>
        </w:rPr>
        <w:t xml:space="preserve">Direction (corrected from v12): later crossing position (larger x_cross) corresponds to a steeper, more negative c1. This is the opposite of the wording in v12 ("shallower slope") which was incorrect. Empirical confirmation: NGC3838 (x_cross = 0.953, c1 = −1.847) vs NGC2685 (x_cross = 0.488, c1 = −0.838). The geometric identity explains this: as x_cross → 1, the denominator (1 − x_cross) → 0, making the required slope more negative.</w:t>
      </w:r>
    </w:p>
    <w:p>
      <w:pPr>
        <w:spacing w:after="80" w:before="80"/>
        <w:jc w:val="left"/>
      </w:pPr>
      <w:r>
        <w:rPr>
          <w:rFonts w:ascii="Arial" w:cs="Arial" w:eastAsia="Arial" w:hAnsi="Arial"/>
          <w:sz w:val="22"/>
          <w:szCs w:val="22"/>
        </w:rPr>
        <w:t xml:space="preserve">Population-gradient contamination check: age_delta, ZH_delta, and αFe_delta show no correlation with either x_cross or c1 across the 7-object set (all |r| &lt; 0.17, all p &gt; 0.72). The xcross→c1 relation is kinematic/geometric in origin, not a stellar-population artefact.</w:t>
      </w:r>
    </w:p>
    <w:p>
      <w:pPr>
        <w:pStyle w:val="Heading2"/>
        <w:spacing w:after="120" w:before="240"/>
      </w:pPr>
      <w:r>
        <w:rPr>
          <w:rFonts w:ascii="Arial" w:cs="Arial" w:eastAsia="Arial" w:hAnsi="Arial"/>
          <w:b/>
          <w:bCs/>
          <w:sz w:val="26"/>
          <w:szCs w:val="26"/>
        </w:rPr>
        <w:t xml:space="preserve">9.4  Cancellation sector</w:t>
      </w:r>
    </w:p>
    <w:p>
      <w:pPr>
        <w:spacing w:after="80" w:before="80"/>
        <w:jc w:val="left"/>
      </w:pPr>
      <w:r>
        <w:rPr>
          <w:rFonts w:ascii="Arial" w:cs="Arial" w:eastAsia="Arial" w:hAnsi="Arial"/>
          <w:sz w:val="22"/>
          <w:szCs w:val="22"/>
        </w:rPr>
        <w:t xml:space="preserve">The outer cancellation ratio R = Bout/Xout decomposes exactly as R = R_d + R_b. Correlations: r(R_d, R) = 0.905, r(R_b, R) = 0.544 for all 16 ETGs. The cancellation sector is effectively disk-carried where it matters. The outer bulge component follows a Keplerian tail (V_bul ∝ r^{−1/2}, log-slope = −0.500 to 4 decimal places) for all six buffered ETGs.</w:t>
      </w:r>
    </w:p>
    <w:p>
      <w:pPr>
        <w:pStyle w:val="Heading1"/>
        <w:spacing w:after="180" w:before="360"/>
      </w:pPr>
      <w:r>
        <w:rPr>
          <w:rFonts w:ascii="Arial" w:cs="Arial" w:eastAsia="Arial" w:hAnsi="Arial"/>
          <w:b/>
          <w:bCs/>
          <w:sz w:val="32"/>
          <w:szCs w:val="32"/>
        </w:rPr>
        <w:t xml:space="preserve">10.  Outer Chain Reduction</w:t>
      </w:r>
    </w:p>
    <w:p>
      <w:pPr>
        <w:pStyle w:val="Heading2"/>
        <w:spacing w:after="120" w:before="240"/>
      </w:pPr>
      <w:r>
        <w:rPr>
          <w:rFonts w:ascii="Arial" w:cs="Arial" w:eastAsia="Arial" w:hAnsi="Arial"/>
          <w:b/>
          <w:bCs/>
          <w:sz w:val="26"/>
          <w:szCs w:val="26"/>
        </w:rPr>
        <w:t xml:space="preserve">10.1  Stage-4 disk-force law</w:t>
      </w:r>
    </w:p>
    <w:p>
      <w:pPr>
        <w:spacing w:after="80" w:before="80"/>
        <w:jc w:val="left"/>
      </w:pPr>
      <w:r>
        <w:rPr>
          <w:rFonts w:ascii="Arial" w:cs="Arial" w:eastAsia="Arial" w:hAnsi="Arial"/>
          <w:sz w:val="22"/>
          <w:szCs w:val="22"/>
        </w:rPr>
        <w:t xml:space="preserve">The disk-only viability boundary is equivalent to a gate disk-force condition, verified via log-log regression:</w:t>
      </w:r>
    </w:p>
    <w:p>
      <w:pPr>
        <w:spacing w:after="80" w:before="80"/>
        <w:jc w:val="center"/>
      </w:pPr>
      <w:r>
        <w:rPr>
          <w:rFonts w:ascii="Arial" w:cs="Arial" w:eastAsia="Arial" w:hAnsi="Arial"/>
          <w:sz w:val="22"/>
          <w:szCs w:val="22"/>
        </w:rPr>
        <w:t xml:space="preserve">log(V²_disk(r_out)/r_out) = A + a log(Σ_disk) + b log(r_out/R₉₀)</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000"/>
        <w:gridCol w:w="1200"/>
        <w:gridCol w:w="800"/>
        <w:gridCol w:w="1300"/>
        <w:gridCol w:w="2160"/>
      </w:tblGrid>
      <w:tr>
        <w:trPr>
          <w:tblHeader/>
        </w:trPr>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Sample</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A</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a (density)</w:t>
            </w:r>
          </w:p>
        </w:tc>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b (geometry)</w:t>
            </w:r>
          </w:p>
        </w:tc>
        <w:tc>
          <w:tcPr>
            <w:tcW w:type="dxa" w:w="8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R²</w:t>
            </w:r>
          </w:p>
        </w:tc>
        <w:tc>
          <w:tcPr>
            <w:tcW w:type="dxa" w:w="13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LOO RMSE (log units)</w:t>
            </w:r>
          </w:p>
        </w:tc>
        <w:tc>
          <w:tcPr>
            <w:tcW w:type="dxa" w:w="2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Note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Full N=16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4.756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0.835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1.715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0.884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0.444</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Σ mean over 0.80–1.00 r_out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HL-like N=12 (route-class)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5.006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0.747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1.646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0.890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0.361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Excl. NGC2685, NGC3522, NGC3838, NGC6798</w:t>
            </w:r>
          </w:p>
        </w:tc>
      </w:tr>
    </w:tbl>
    <w:p>
      <w:pPr>
        <w:spacing w:after="40" w:before="40"/>
      </w:pPr>
      <w:r>
        <w:t xml:space="preserve"/>
      </w:r>
    </w:p>
    <w:p>
      <w:pPr>
        <w:spacing w:after="80" w:before="80"/>
        <w:jc w:val="left"/>
      </w:pPr>
      <w:r>
        <w:rPr>
          <w:rFonts w:ascii="Arial" w:cs="Arial" w:eastAsia="Arial" w:hAnsi="Arial"/>
          <w:sz w:val="22"/>
          <w:szCs w:val="22"/>
        </w:rPr>
        <w:t xml:space="preserve">The HL-like subset excludes the 4 non-main-route ETGs (NGC2685 low-load; NGC3522, NGC3838, NGC6798 disk-buffered). The LOO improvement from 0.444 to 0.361 is route-class conditioned, not driven by any Xout threshold — Xout-based cuts give LOO ≥ 0.450 for all tested thresholds. The HL12 route-set ranks 447/1820 (top 24.6%) among all possible 4-object exclusion subsets, confirming it is structurally motivated but not uniquely optimal. NGC5582 dominates the HL12 leverage: its LOO residual under the HL fit is −0.867 log units (full-sample LOO = +0.089), and it should be treated as a provisional row endpoint. Full-sample row is reproduced exactly using mean Σ over 0.80–1.00 r_out from high-resolution disk.dat files (Σ computed as mass surface density, column 2); R₉₀ from trapezoidal 2πRΣ integration.</w:t>
      </w:r>
    </w:p>
    <w:p>
      <w:pPr>
        <w:spacing w:after="90" w:before="180"/>
      </w:pPr>
      <w:r>
        <w:rPr>
          <w:rFonts w:ascii="Arial" w:cs="Arial" w:eastAsia="Arial" w:hAnsi="Arial"/>
          <w:b/>
          <w:bCs/>
          <w:sz w:val="24"/>
          <w:szCs w:val="24"/>
        </w:rPr>
        <w:t xml:space="preserve">Stage-4 structural outliers</w:t>
      </w:r>
    </w:p>
    <w:p>
      <w:pPr>
        <w:spacing w:after="80" w:before="80"/>
        <w:jc w:val="left"/>
      </w:pPr>
      <w:r>
        <w:rPr>
          <w:rFonts w:ascii="Arial" w:cs="Arial" w:eastAsia="Arial" w:hAnsi="Arial"/>
          <w:sz w:val="22"/>
          <w:szCs w:val="22"/>
        </w:rPr>
        <w:t xml:space="preserve">Two named residual endpoints are documented. NGC3838 (residual = −0.853, largest negative): it has the highest r_out/R₉₀ = 3.507, lowest Vdisk(r_out)/Vdisk(R₉₀) = 0.532, and lowest Vdisk(r_out)/Vdisk(max) = 0.425 among all 16 ETGs. Its Stage-4 failure is internal disk-structure geometry — compact mass concentration combined with extended r_out and the sharpest retained-rotation fall beyond R₉₀. No external ATLAS3D variable (σ, fDM, M/L, age, metallicity, gas/star PA) explains this residual. NGC3998 (residual = +0.694, largest positive): persists under the HL12 fit (residual = +0.474). It has very low outer Σ but sustains high Vdisk at r_out (102 km/s), so Stage-4 underestimates its disk force. The two endpoints are structurally opposite in their outer disk falloff behaviour, and both remain named residual endpoints in any honest Stage-4 table.</w:t>
      </w:r>
    </w:p>
    <w:p>
      <w:pPr>
        <w:spacing w:after="80" w:before="80"/>
        <w:jc w:val="left"/>
      </w:pPr>
      <w:r>
        <w:rPr>
          <w:rFonts w:ascii="Arial" w:cs="Arial" w:eastAsia="Arial" w:hAnsi="Arial"/>
          <w:sz w:val="22"/>
          <w:szCs w:val="22"/>
        </w:rPr>
        <w:t xml:space="preserve">Outer falloff shape diagnostic: the fractional disk falloff drop80 = (Vdisk(0.8r_out) − Vdisk(r_out)) / Vdisk(0.8r_out) has the strongest rank correlation with Stage-4 residuals (Spearman = +0.644, p = 0.007). The sign means larger fractional falloff correlates with more positive residuals, not negative — the earlier wording "fast outer fall → negative residual" is incorrect. The absolute falloff slope80 = (Vdisk(r_out) − Vdisk(0.8r_out)) / (0.2r_out) has Pearson r = −0.504 (p = 0.046), but adding it to the Stage-4 model improves LOO by only 0.025 log units. No falloff variable is promoted as a Stage-4 correction term.</w:t>
      </w:r>
    </w:p>
    <w:p>
      <w:pPr>
        <w:pStyle w:val="Heading2"/>
        <w:spacing w:after="120" w:before="240"/>
      </w:pPr>
      <w:r>
        <w:rPr>
          <w:rFonts w:ascii="Arial" w:cs="Arial" w:eastAsia="Arial" w:hAnsi="Arial"/>
          <w:b/>
          <w:bCs/>
          <w:sz w:val="26"/>
          <w:szCs w:val="26"/>
        </w:rPr>
        <w:t xml:space="preserve">10.2  Real-profile kernel law</w:t>
      </w:r>
    </w:p>
    <w:p>
      <w:pPr>
        <w:spacing w:after="80" w:before="80"/>
        <w:jc w:val="center"/>
      </w:pPr>
      <w:r>
        <w:rPr>
          <w:rFonts w:ascii="Arial" w:cs="Arial" w:eastAsia="Arial" w:hAnsi="Arial"/>
          <w:sz w:val="22"/>
          <w:szCs w:val="22"/>
        </w:rPr>
        <w:t xml:space="preserve">log H_real = −3.487 + 2.003 log(z) − 0.919 log(η),   R² = 0.931   (N = 16)</w:t>
      </w:r>
    </w:p>
    <w:p>
      <w:pPr>
        <w:spacing w:after="80" w:before="80"/>
        <w:jc w:val="center"/>
      </w:pPr>
      <w:r>
        <w:rPr>
          <w:rFonts w:ascii="Arial" w:cs="Arial" w:eastAsia="Arial" w:hAnsi="Arial"/>
          <w:sz w:val="22"/>
          <w:szCs w:val="22"/>
        </w:rPr>
        <w:t xml:space="preserve">High-load (X_out &gt; 2, N=12): log H_real = −3.390 + 2.239 log(z) − 0.583 log(η),   R² = 0.930</w:t>
      </w:r>
    </w:p>
    <w:p>
      <w:pPr>
        <w:spacing w:after="80" w:before="80"/>
        <w:jc w:val="left"/>
      </w:pPr>
      <w:r>
        <w:rPr>
          <w:rFonts w:ascii="Arial" w:cs="Arial" w:eastAsia="Arial" w:hAnsi="Arial"/>
          <w:sz w:val="22"/>
          <w:szCs w:val="22"/>
        </w:rPr>
        <w:t xml:space="preserve">where H_real = 0.5 × [V²_disk(r_out)/r_out] / (Γ₀ × ⟨Σ⟩_{0.8–1.0}), z = r_out/R₉₀, η = Σ(r_out)/⟨Σ⟩_{0.8–1.0}. K constants: K_full = exp(−3.487) = 0.03060, K_hl = exp(−3.390) = 0.03372 (both verified to all digits from raw files).</w:t>
      </w:r>
    </w:p>
    <w:p>
      <w:pPr>
        <w:pStyle w:val="Heading2"/>
        <w:spacing w:after="120" w:before="240"/>
      </w:pPr>
      <w:r>
        <w:rPr>
          <w:rFonts w:ascii="Arial" w:cs="Arial" w:eastAsia="Arial" w:hAnsi="Arial"/>
          <w:b/>
          <w:bCs/>
          <w:sz w:val="26"/>
          <w:szCs w:val="26"/>
        </w:rPr>
        <w:t xml:space="preserve">10.3  Complete outer chain</w:t>
      </w:r>
    </w:p>
    <w:p>
      <w:pPr>
        <w:spacing w:after="80" w:before="80"/>
        <w:jc w:val="left"/>
      </w:pPr>
      <w:r>
        <w:rPr>
          <w:rFonts w:ascii="Arial" w:cs="Arial" w:eastAsia="Arial" w:hAnsi="Arial"/>
          <w:sz w:val="22"/>
          <w:szCs w:val="22"/>
        </w:rPr>
        <w:t xml:space="preserve">Stage 1: X_out — dominates the empirical outer gate globally. Stage 2: B_out/X_out = R_d + R_b — residual cancellation, effectively disk-only. Stage 3: R_d = 0.5 V²_disk(r_out)/V²_obs(r_out) — disk-carried cancellation (AUC = 0.964 for buffered-branch identification). Stage 4: V²_disk(r_out)/r_out ∝ ⟨Σ_disk⟩^a × z^b — local outer disk density and gate-position geometry.</w:t>
      </w:r>
    </w:p>
    <w:p>
      <w:pPr>
        <w:pStyle w:val="Heading1"/>
        <w:spacing w:after="180" w:before="360"/>
      </w:pPr>
      <w:r>
        <w:rPr>
          <w:rFonts w:ascii="Arial" w:cs="Arial" w:eastAsia="Arial" w:hAnsi="Arial"/>
          <w:b/>
          <w:bCs/>
          <w:sz w:val="32"/>
          <w:szCs w:val="32"/>
        </w:rPr>
        <w:t xml:space="preserve">11.  H+ Branch Mathematics</w:t>
      </w:r>
    </w:p>
    <w:p>
      <w:pPr>
        <w:pStyle w:val="Heading2"/>
        <w:spacing w:after="120" w:before="240"/>
      </w:pPr>
      <w:r>
        <w:rPr>
          <w:rFonts w:ascii="Arial" w:cs="Arial" w:eastAsia="Arial" w:hAnsi="Arial"/>
          <w:b/>
          <w:bCs/>
          <w:sz w:val="26"/>
          <w:szCs w:val="26"/>
        </w:rPr>
        <w:t xml:space="preserve">11.1  Sign gate and suppression structure</w:t>
      </w:r>
    </w:p>
    <w:p>
      <w:pPr>
        <w:spacing w:after="80" w:before="80"/>
        <w:jc w:val="left"/>
      </w:pPr>
      <w:r>
        <w:rPr>
          <w:rFonts w:ascii="Arial" w:cs="Arial" w:eastAsia="Arial" w:hAnsi="Arial"/>
          <w:sz w:val="22"/>
          <w:szCs w:val="22"/>
        </w:rPr>
        <w:t xml:space="preserve">For H+ galaxies (Ω_in &gt; 1), the suppression integral G_supp = V̄²_bar(r_in) · κ* where κ* = 1 − (1/x_B) ∫₀¹ exp(−(1−y)/x_B) B(y) dy. The exact algebraic decomposition: κ* = exp(−1/x_B) + U.</w:t>
      </w:r>
    </w:p>
    <w:p>
      <w:pPr>
        <w:pStyle w:val="Heading2"/>
        <w:spacing w:after="120" w:before="240"/>
      </w:pPr>
      <w:r>
        <w:rPr>
          <w:rFonts w:ascii="Arial" w:cs="Arial" w:eastAsia="Arial" w:hAnsi="Arial"/>
          <w:b/>
          <w:bCs/>
          <w:sz w:val="26"/>
          <w:szCs w:val="26"/>
        </w:rPr>
        <w:t xml:space="preserve">11.2  Branch invariants (verified from raw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000"/>
        <w:gridCol w:w="1000"/>
        <w:gridCol w:w="1000"/>
        <w:gridCol w:w="1000"/>
        <w:gridCol w:w="1000"/>
        <w:gridCol w:w="1000"/>
        <w:gridCol w:w="1460"/>
      </w:tblGrid>
      <w:tr>
        <w:trPr>
          <w:tblHeader/>
        </w:trPr>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Galaxy</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r_in</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Q12</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Q14</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Ω_in</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U_max</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x_loc</w:t>
            </w:r>
          </w:p>
        </w:tc>
        <w:tc>
          <w:tcPr>
            <w:tcW w:type="dxa" w:w="14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Class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NGC2685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0.5448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0.1944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1.1231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0.4981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0.272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1.548</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 single-ch.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NGC3626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0.370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0.6179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0.2040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1.3160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0.7334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1.303</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 single-ch.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NGC3941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0.270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0.6858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0.2606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1.2246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0.7738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0.216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1.013</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 single-ch.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NGC4203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0.460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0.9384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0.6208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1.2757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1.3374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0.107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n/a</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 two-ch.</w:t>
            </w:r>
          </w:p>
        </w:tc>
      </w:tr>
    </w:tbl>
    <w:p>
      <w:pPr>
        <w:spacing w:after="40" w:before="40"/>
      </w:pPr>
      <w:r>
        <w:t xml:space="preserve"/>
      </w:r>
    </w:p>
    <w:p>
      <w:pPr>
        <w:spacing w:after="80" w:before="80"/>
        <w:jc w:val="left"/>
      </w:pPr>
      <w:r>
        <w:rPr>
          <w:rFonts w:ascii="Arial" w:cs="Arial" w:eastAsia="Arial" w:hAnsi="Arial"/>
          <w:sz w:val="22"/>
          <w:szCs w:val="22"/>
        </w:rPr>
        <w:t xml:space="preserve">Single-channel calibrators: U* = 0.201803 (mean; CV = 0.00%), A_loc = 3.344 (CV = 2.56%). Branch law: x_B ≈ 3.34(1 − Q12), L_B ≈ 3.34 r_in(1 − Q12).</w:t>
      </w:r>
    </w:p>
    <w:p>
      <w:pPr>
        <w:pStyle w:val="Heading2"/>
        <w:spacing w:after="120" w:before="240"/>
      </w:pPr>
      <w:r>
        <w:rPr>
          <w:rFonts w:ascii="Arial" w:cs="Arial" w:eastAsia="Arial" w:hAnsi="Arial"/>
          <w:b/>
          <w:bCs/>
          <w:sz w:val="26"/>
          <w:szCs w:val="26"/>
        </w:rPr>
        <w:t xml:space="preserve">11.3  No confirmed LTG H+ objects</w:t>
      </w:r>
    </w:p>
    <w:p>
      <w:pPr>
        <w:spacing w:after="80" w:before="80"/>
        <w:jc w:val="left"/>
      </w:pPr>
      <w:r>
        <w:rPr>
          <w:rFonts w:ascii="Arial" w:cs="Arial" w:eastAsia="Arial" w:hAnsi="Arial"/>
          <w:sz w:val="22"/>
          <w:szCs w:val="22"/>
        </w:rPr>
        <w:t xml:space="preserve">Priority O is closed. NGC2841 fails Ω_in &gt; 1 (Ω_in = 0.609 from raw files). NGC4157 passes the numerical gate (Ω_in = 1.212) but is a central-deficit crossing object (u(R₀) = −1.07) and the strongest local-shape outlier in the clean LTG buffered sample (Mahalanobis D² = 25.4, rank 1 of 75). No confirmed LTG H+ objects exist.</w:t>
      </w:r>
    </w:p>
    <w:p>
      <w:pPr>
        <w:pStyle w:val="Heading1"/>
        <w:spacing w:after="180" w:before="360"/>
      </w:pPr>
      <w:r>
        <w:rPr>
          <w:rFonts w:ascii="Arial" w:cs="Arial" w:eastAsia="Arial" w:hAnsi="Arial"/>
          <w:b/>
          <w:bCs/>
          <w:sz w:val="32"/>
          <w:szCs w:val="32"/>
        </w:rPr>
        <w:t xml:space="preserve">12.  Falsification Controls</w:t>
      </w:r>
    </w:p>
    <w:p>
      <w:pPr>
        <w:spacing w:after="80" w:before="80"/>
        <w:jc w:val="left"/>
      </w:pPr>
      <w:r>
        <w:rPr>
          <w:rFonts w:ascii="Arial" w:cs="Arial" w:eastAsia="Arial" w:hAnsi="Arial"/>
          <w:sz w:val="22"/>
          <w:szCs w:val="22"/>
        </w:rPr>
        <w:t xml:space="preserve">Sign gate isolation (NGC3838 vs NGC3626): both in the viable profile locus, both outer-feasible, both inner-feasible. H(0.3) = 1.8664 vs 1.8668 — near-identical normalised deficit shapes. The split is entirely due to absolute inner baryonic amplitude: V̄_bar(r_in) = 194 km/s (Ω_in = 0.705) vs 284 km/s (Ω_in = 1.316).</w:t>
      </w:r>
    </w:p>
    <w:p>
      <w:pPr>
        <w:spacing w:after="80" w:before="80"/>
        <w:jc w:val="left"/>
      </w:pPr>
      <w:r>
        <w:rPr>
          <w:rFonts w:ascii="Arial" w:cs="Arial" w:eastAsia="Arial" w:hAnsi="Arial"/>
          <w:sz w:val="22"/>
          <w:szCs w:val="22"/>
        </w:rPr>
        <w:t xml:space="preserve">Outer demand isolation (NGC4203 vs NGC3626): both H+ (Ω_in &gt; 1). NGC4203 has S = 10.07 vs 0.534, and u = 1.337 &gt; 1. It fails both inner feasibility and outer capacity independently.</w:t>
      </w:r>
    </w:p>
    <w:p>
      <w:pPr>
        <w:spacing w:after="80" w:before="80"/>
        <w:jc w:val="left"/>
      </w:pPr>
      <w:r>
        <w:rPr>
          <w:rFonts w:ascii="Arial" w:cs="Arial" w:eastAsia="Arial" w:hAnsi="Arial"/>
          <w:sz w:val="22"/>
          <w:szCs w:val="22"/>
        </w:rPr>
        <w:t xml:space="preserve">Disk-buffered outer isolation (NGC3941 vs UGC6176): X_out = 2.308 vs 2.240, f_bul = 0.086 vs 0.086 (identical). The outer disk term is the sole separator. Keplerian tail log-slope = −0.500 for all six buffered ETGs.</w:t>
      </w:r>
    </w:p>
    <w:p>
      <w:pPr>
        <w:spacing w:after="80" w:before="80"/>
        <w:jc w:val="left"/>
      </w:pPr>
      <w:r>
        <w:rPr>
          <w:rFonts w:ascii="Arial" w:cs="Arial" w:eastAsia="Arial" w:hAnsi="Arial"/>
          <w:sz w:val="22"/>
          <w:szCs w:val="22"/>
        </w:rPr>
        <w:t xml:space="preserve">Stage-4 external independence (N=16, 21 variables tested): no tested external ATLAS3D variable (σ, fDM, M/L, stellar population gradients, gas/star PA offset) reaches p &lt; 0.10 against Stage-4 residuals. The maximum observed |r| = 0.420 (outer ZH vs Stage-4 residual) is weaker than expected under a 21-variable multiple-comparison null (permutation p = 0.82, N = 50,000 shuffles). Stage-4 is an internal disk-density/geometry relation.</w:t>
      </w:r>
    </w:p>
    <w:p>
      <w:pPr>
        <w:pStyle w:val="Heading1"/>
        <w:spacing w:after="180" w:before="360"/>
      </w:pPr>
      <w:r>
        <w:rPr>
          <w:rFonts w:ascii="Arial" w:cs="Arial" w:eastAsia="Arial" w:hAnsi="Arial"/>
          <w:b/>
          <w:bCs/>
          <w:sz w:val="32"/>
          <w:szCs w:val="32"/>
        </w:rPr>
        <w:t xml:space="preserve">13.  Computation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Context</w:t>
            </w:r>
          </w:p>
        </w:tc>
        <w:tc>
          <w:tcPr>
            <w:tcW w:type="dxa" w:w="6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Convention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Inner profile quantities (Q12, Q14, Δ, S, U_max)</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Interpolate V² directly. Do NOT interpolate V then square.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Outer radial u(r) profiles, crossing-window work</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Interpolate V_obs in V-space then square. Interpolate disk/bulge in V²-space.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memory law</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Use exact gas-dependent form: L_eff = 1.8h[1 + S_mem(1 − exp(−memory_load/S_mem))]. Saturated approximation is not canonical.</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U_max integration grid</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Require n_y ≥ 2000 for 4-digit stability.</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 &lt; 1.70 threshold</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Motivated by regression-implied crossing U_max = U*. ETG S* = 1.699, LTG S* = 1.69–1.73.</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Baryonic convention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V̄²_bar = V²_gas + 0.5 V²_disk + 0.7 V²_bul. M/L_disk = 0.5, M/L_bul = 0.7.</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AUC classifier</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Computed on N=55 buffered galaxies with valid S_inner. 22 buffered galaxies have no valid inner variables.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Stage-4 R₉₀</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Trapezoidal 2πRΣ integration of disk mass profile. Minor quadrature differences do not affect fit to 4 significant figures.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Stage-4 Σ</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Mean mass surface density over 0.80–1.00 r_out from high-resolution disk.dat (column 2).</w:t>
            </w:r>
          </w:p>
        </w:tc>
      </w:tr>
    </w:tbl>
    <w:p>
      <w:pPr>
        <w:spacing w:after="40" w:before="40"/>
      </w:pPr>
      <w:r>
        <w:t xml:space="preserve"/>
      </w:r>
    </w:p>
    <w:p>
      <w:pPr>
        <w:pStyle w:val="Heading1"/>
        <w:spacing w:after="180" w:before="360"/>
      </w:pPr>
      <w:r>
        <w:rPr>
          <w:rFonts w:ascii="Arial" w:cs="Arial" w:eastAsia="Arial" w:hAnsi="Arial"/>
          <w:b/>
          <w:bCs/>
          <w:sz w:val="32"/>
          <w:szCs w:val="32"/>
        </w:rPr>
        <w:t xml:space="preserve">14.  Framework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Level</w:t>
            </w:r>
          </w:p>
        </w:tc>
        <w:tc>
          <w:tcPr>
            <w:tcW w:type="dxa" w:w="8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Content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Background transport (Γ₀, L, q)</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Photometric closure (L_pred = 2kh)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Memory saturation (L_eff, zero parameters)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4</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Response shape (q = 1 + n_out)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LTG/ETG population separation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6</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ETG four-condition intersection (Δ, Q14, Ω_in, u)</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7</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ETG sign-changing H+ sector (gate, suppression, outer capacity, branch law)</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8</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Outer chain reduction (X_out, R_d, Stage-4 disk-force law)</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9</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Radial threshold structure (u(r) law, δu = 1−u, buffered profile collapse, geometric c1 identity)</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Universal S-law (U_max ≈ 0.23–0.24 − 0.058 ln(S), R²≈0.85–0.92); LTG outer route split; LTG buffered regime split (52 upward / 25 single-crossing); Q12–Q14 inner law</w:t>
            </w:r>
          </w:p>
        </w:tc>
      </w:tr>
    </w:tbl>
    <w:p>
      <w:pPr>
        <w:spacing w:after="40" w:before="40"/>
      </w:pPr>
      <w:r>
        <w:t xml:space="preserve"/>
      </w:r>
    </w:p>
    <w:p>
      <w:pPr>
        <w:pStyle w:val="Heading1"/>
        <w:spacing w:after="180" w:before="360"/>
      </w:pPr>
      <w:r>
        <w:rPr>
          <w:rFonts w:ascii="Arial" w:cs="Arial" w:eastAsia="Arial" w:hAnsi="Arial"/>
          <w:b/>
          <w:bCs/>
          <w:sz w:val="32"/>
          <w:szCs w:val="32"/>
        </w:rPr>
        <w:t xml:space="preserve">15.  Derived vs Empirical Status</w:t>
      </w:r>
    </w:p>
    <w:p>
      <w:pPr>
        <w:pStyle w:val="Heading2"/>
        <w:spacing w:after="120" w:before="240"/>
      </w:pPr>
      <w:r>
        <w:rPr>
          <w:rFonts w:ascii="Arial" w:cs="Arial" w:eastAsia="Arial" w:hAnsi="Arial"/>
          <w:b/>
          <w:bCs/>
          <w:sz w:val="26"/>
          <w:szCs w:val="26"/>
        </w:rPr>
        <w:t xml:space="preserve">Derived</w:t>
      </w:r>
    </w:p>
    <w:p>
      <w:pPr>
        <w:spacing w:after="80" w:before="80"/>
        <w:jc w:val="left"/>
      </w:pPr>
      <w:r>
        <w:rPr>
          <w:rFonts w:ascii="Arial" w:cs="Arial" w:eastAsia="Arial" w:hAnsi="Arial"/>
          <w:sz w:val="22"/>
          <w:szCs w:val="22"/>
        </w:rPr>
        <w:t xml:space="preserve">Transport equation and background law; photometric closure; memory-load structure; suppression operator form; H+ sign-change mechanism; exact outer viability boundary X_out &lt; R_max/(1 − R_d − R_b); exact identity δu = (X_crit − X_out)/X_crit; structural form of Stage-4 disk-force law; crossing-window geometric identity c1 = −δu/(1 − x_cross) [new v13].</w:t>
      </w:r>
    </w:p>
    <w:p>
      <w:pPr>
        <w:pStyle w:val="Heading2"/>
        <w:spacing w:after="120" w:before="240"/>
      </w:pPr>
      <w:r>
        <w:rPr>
          <w:rFonts w:ascii="Arial" w:cs="Arial" w:eastAsia="Arial" w:hAnsi="Arial"/>
          <w:b/>
          <w:bCs/>
          <w:sz w:val="26"/>
          <w:szCs w:val="26"/>
        </w:rPr>
        <w:t xml:space="preserve">Empirical (verified from raw files)</w:t>
      </w:r>
    </w:p>
    <w:p>
      <w:pPr>
        <w:spacing w:after="80" w:before="80"/>
        <w:jc w:val="left"/>
      </w:pPr>
      <w:r>
        <w:rPr>
          <w:rFonts w:ascii="Arial" w:cs="Arial" w:eastAsia="Arial" w:hAnsi="Arial"/>
          <w:sz w:val="22"/>
          <w:szCs w:val="22"/>
        </w:rPr>
        <w:t xml:space="preserve">q ≈ 0.77; R_max = 1.758948; U* = 0.201803; A_loc = 3.344 (3-galaxy calibration); Stage-4 exponents a ≈ 0.84, b ≈ 1.72 (full sample); buffered profile collapse u(x) ≈ 1 − 1.587(x−1) + 1.398(x−1)²; outer bulge Keplerian tail log-slope = −0.500; K_full = 0.03060, K_hl = 0.03372; LTG buffered split 52/25; regime classifier AUC = 0.912 (N=55); single-crossing outer error two-scalar model: outer_MAE ≈ −10.4 + 8.6g + 10.5 L_gap (strict N=19, LOO RMSE ≈ 10.1 km/s); severity ranking Pearson = 0.935, Spearman = 0.888; S-law A ≈ 0.240, B ≈ −0.070, R² ≈ 0.919 (LTG); A ≈ 0.233, B ≈ −0.058, R² ≈ 0.851 (ETG); L_gap independence: corr(g, L_gap) ≈ 0 (VIF ≈ 1.000), partial r = 0.852; crossing-window c1 geometric identity RMSE = 0.07, Pearson r = 0.998, Spearman = 1.000 [new v13]; CDC-low-load branch: N=17, median outer MAE = 12.75 km/s; disk-buffered triple-population confirmation: combined rank 1/120 (p = 0.008) [new v13]; Stage-4 HL12 route-class improvement: LOO 0.444 → 0.361, rank 447/1820 subsets [new v13].</w:t>
      </w:r>
    </w:p>
    <w:p>
      <w:pPr>
        <w:pStyle w:val="Heading2"/>
        <w:spacing w:after="120" w:before="240"/>
      </w:pPr>
      <w:r>
        <w:rPr>
          <w:rFonts w:ascii="Arial" w:cs="Arial" w:eastAsia="Arial" w:hAnsi="Arial"/>
          <w:b/>
          <w:bCs/>
          <w:sz w:val="26"/>
          <w:szCs w:val="26"/>
        </w:rPr>
        <w:t xml:space="preserve">Provisional / unresolved</w:t>
      </w:r>
    </w:p>
    <w:p>
      <w:pPr>
        <w:spacing w:after="80" w:before="80"/>
        <w:jc w:val="left"/>
      </w:pPr>
      <w:r>
        <w:rPr>
          <w:rFonts w:ascii="Arial" w:cs="Arial" w:eastAsia="Arial" w:hAnsi="Arial"/>
          <w:sz w:val="22"/>
          <w:szCs w:val="22"/>
        </w:rPr>
        <w:t xml:space="preserve">Priority D — Two-channel H+ confirmation: NGC4203 solution needs an independent second two-channel object. No LTG candidates survive Priority O. Priority F — Stage-4 exponent derivation: exponents a ≈ 2, b ≈ −1 in H_real not derived from first principles. Priority L — single-crossing L_eff correction: two-scalar g + L_gap model locked as provisional; three-variable extensions (n_scales, memory_load) fail jackknife sign-stability. NGC5582 Stage-4 HL leverage: Cook's D = 3.3, LOO = −0.867 log units under HL fit. The HL exact coefficient row is provisional. IllustrisTNG/EAGLE test: not yet attempted.</w:t>
      </w:r>
    </w:p>
    <w:p>
      <w:pPr>
        <w:spacing w:after="80" w:before="80"/>
        <w:jc w:val="left"/>
      </w:pPr>
      <w:r>
        <w:rPr>
          <w:rFonts w:ascii="Arial" w:cs="Arial" w:eastAsia="Arial" w:hAnsi="Arial"/>
          <w:sz w:val="22"/>
          <w:szCs w:val="22"/>
        </w:rPr>
        <w:t xml:space="preserve">Resolved in v13 (removed from provisional): Priority K (xcross→c1) is now a closed geometric identity. The Z/R_b LOO organiser (v12 provisional) is confirmed falsified; the underlying mode is captured by c1 directly. Stage-4 HL12 improvement is now characterised as route-class conditioned (Experiment 13). Disk-buffered external-population distinctiveness is confirmed with three-indicator combined rank test (Experiment 15).</w:t>
      </w:r>
    </w:p>
    <w:p>
      <w:pPr>
        <w:pStyle w:val="Heading2"/>
        <w:spacing w:after="120" w:before="240"/>
      </w:pPr>
      <w:r>
        <w:rPr>
          <w:rFonts w:ascii="Arial" w:cs="Arial" w:eastAsia="Arial" w:hAnsi="Arial"/>
          <w:b/>
          <w:bCs/>
          <w:sz w:val="26"/>
          <w:szCs w:val="26"/>
        </w:rPr>
        <w:t xml:space="preserve">Open theoretical targets</w:t>
      </w:r>
    </w:p>
    <w:p>
      <w:pPr>
        <w:spacing w:after="80" w:before="80"/>
        <w:jc w:val="left"/>
      </w:pPr>
      <w:r>
        <w:rPr>
          <w:rFonts w:ascii="Arial" w:cs="Arial" w:eastAsia="Arial" w:hAnsi="Arial"/>
          <w:sz w:val="22"/>
          <w:szCs w:val="22"/>
        </w:rPr>
        <w:t xml:space="preserve">A. First-principles derivation of λ_B and branch coefficient A ≈ 3.34. B. Extension beyond 3-galaxy single-channel calibration. C. Physical mechanism connecting λ_exc to transport dynamics. D. Confirm independent second two-channel H+ galaxy (Priority D). E. Derivation of Stage-4 exponents from ETG disk profile structure. F. Lock Priority L two-scalar applicability conditions and fully characterise three residual-failure subtypes. G. IllustrisTNG/EAGLE test.</w:t>
      </w:r>
    </w:p>
    <w:p>
      <w:pPr>
        <w:pStyle w:val="Heading1"/>
        <w:spacing w:after="180" w:before="360"/>
      </w:pPr>
      <w:r>
        <w:rPr>
          <w:rFonts w:ascii="Arial" w:cs="Arial" w:eastAsia="Arial" w:hAnsi="Arial"/>
          <w:b/>
          <w:bCs/>
          <w:sz w:val="32"/>
          <w:szCs w:val="32"/>
        </w:rPr>
        <w:t xml:space="preserve">16.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500"/>
        <w:gridCol w:w="2000"/>
        <w:gridCol w:w="1960"/>
      </w:tblGrid>
      <w:tr>
        <w:trPr>
          <w:tblHeader/>
        </w:trPr>
        <w:tc>
          <w:tcPr>
            <w:tcW w:type="dxa" w:w="2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Population</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w:t>
            </w:r>
          </w:p>
        </w:tc>
        <w:tc>
          <w:tcPr>
            <w:tcW w:type="dxa" w:w="2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Model/Test</w:t>
            </w:r>
          </w:p>
        </w:tc>
        <w:tc>
          <w:tcPr>
            <w:tcW w:type="dxa" w:w="2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Metric</w:t>
            </w:r>
          </w:p>
        </w:tc>
        <w:tc>
          <w:tcPr>
            <w:tcW w:type="dxa" w:w="19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Value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All LTGs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Median RMSE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17.15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Upward-crossing buffered</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Median RMSE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21.28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Single-crossing buffered</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Median RMSE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27.59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Upward vs single-crossing</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77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Welch t-test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RMSE p-value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0.00985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outer routes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 crossing analysis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Low-load / buffered</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81 / 77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outer infeasible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u(r_out) ≥ 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Count</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Regime classifier</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g_sep = −u(R₀)+0.35S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AUC</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S-law</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141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U_max = A + B ln(S)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R²</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0.919</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ETG S-law</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U_max = A + B ln(S)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R²</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0.851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 &lt; 1.70 threshold (LTG)</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141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vs U_max ≥ U*</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Accuracy</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135/141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Outer gate (16 ETGs)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X_out &lt; R_max/(1−R_d)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Classification</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16/16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Buffered-branch ID (AUC)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R_d alone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AUC</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0.964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Kernel law (full ETG)</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H_real ∝ z² η^−0.92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R²</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0.931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K_full / K_hl</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16/12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Normalised kernel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K constants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0.03060 / 0.03372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δu identity (all ETGs)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δu = (X_crit−X_out)/X_crit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Max error</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 5×10⁻¹⁶</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Single-crossing error model</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19*</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g + L_gap (Priority L, prov.)</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LOO RMSE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10.1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CDC-low-load branch</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u(R₀) &lt; 0, max u &lt; 1, low-load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Count / median outer MAE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 / 12.75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c1 geometric identity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c1 = −δu/(1−x_cross)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Pearson r / Spearman</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0.998 / 1.000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c1 identity RMSE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Parameter-free, no fitting</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RMSE (log units)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 triple signal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 ETGs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 external population indicators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Combined rank / 120</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 / 120 (p=0.008)</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Stage-4 HL12 route-class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Excluding 4 non-main-route ETGs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LOO RMSE (log units)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0.361 vs 0.444 full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Stage-4 external null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 ATLAS3D variables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Max |Pearson r|</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0.420 (p=0.82 permutation)</w:t>
            </w:r>
          </w:p>
        </w:tc>
      </w:tr>
    </w:tbl>
    <w:p>
      <w:pPr>
        <w:spacing w:after="40" w:before="40"/>
      </w:pPr>
      <w:r>
        <w:t xml:space="preserve"/>
      </w:r>
    </w:p>
    <w:p>
      <w:pPr>
        <w:spacing w:after="60" w:before="60"/>
      </w:pPr>
      <w:r>
        <w:rPr>
          <w:rFonts w:ascii="Arial" w:cs="Arial" w:eastAsia="Arial" w:hAnsi="Arial"/>
          <w:i/>
          <w:iCs/>
          <w:sz w:val="22"/>
          <w:szCs w:val="22"/>
        </w:rPr>
        <w:t xml:space="preserve">*AUC for regime classifier conditions on 55 buffered galaxies with valid S_inner. Priority L strict set: single-crossing galaxies with h ≥ R₀ (N=19); clean set additionally requires x_cross &gt; 0.10 (N=18).</w:t>
      </w:r>
    </w:p>
    <w:p>
      <w:pPr>
        <w:pStyle w:val="Heading1"/>
        <w:spacing w:after="180" w:before="360"/>
      </w:pPr>
      <w:r>
        <w:rPr>
          <w:rFonts w:ascii="Arial" w:cs="Arial" w:eastAsia="Arial" w:hAnsi="Arial"/>
          <w:b/>
          <w:bCs/>
          <w:sz w:val="32"/>
          <w:szCs w:val="32"/>
        </w:rPr>
        <w:t xml:space="preserve">17.  Conclusion</w:t>
      </w:r>
    </w:p>
    <w:p>
      <w:pPr>
        <w:spacing w:after="80" w:before="80"/>
        <w:jc w:val="left"/>
      </w:pPr>
      <w:r>
        <w:rPr>
          <w:rFonts w:ascii="Arial" w:cs="Arial" w:eastAsia="Arial" w:hAnsi="Arial"/>
          <w:sz w:val="22"/>
          <w:szCs w:val="22"/>
        </w:rPr>
        <w:t xml:space="preserve">The MTS framework yields a transport-response law for disk galaxies with cosmological normalisation, photometric scale closure, zero-parameter memory correction, and emergent response branching.</w:t>
      </w:r>
    </w:p>
    <w:p>
      <w:pPr>
        <w:spacing w:after="80" w:before="80"/>
        <w:jc w:val="left"/>
      </w:pPr>
      <w:r>
        <w:rPr>
          <w:rFonts w:ascii="Arial" w:cs="Arial" w:eastAsia="Arial" w:hAnsi="Arial"/>
          <w:sz w:val="22"/>
          <w:szCs w:val="22"/>
        </w:rPr>
        <w:t xml:space="preserve">LTGs follow a closed first-order law with memory-driven corrections. The current-formula global median RMSE is 17.15 km/s (N=175). The LTG buffered branch splits into 52 upward-crossing and 25 single-crossing objects, predictable from initial load u(R₀) and inner concentration S_inner (AUC = 0.912). Single-crossing outer error is organised by the provisional two-scalar model outer_MAE ≈ −10.4 + 8.6g + 10.5(L_sat − L_exact), where g = memory_load × x_cross (LOO RMSE ≈ 10 km/s, strict N=19; Spearman severity ranking = 0.888). A further 17 galaxies form the CDC-low-load branch (u(R₀) &lt; 0, max u(r) &lt; 1), structurally distinct from both ordinary low-load and CDC-upward objects, with no outer MAE correction law established yet.</w:t>
      </w:r>
    </w:p>
    <w:p>
      <w:pPr>
        <w:spacing w:after="80" w:before="80"/>
        <w:jc w:val="left"/>
      </w:pPr>
      <w:r>
        <w:rPr>
          <w:rFonts w:ascii="Arial" w:cs="Arial" w:eastAsia="Arial" w:hAnsi="Arial"/>
          <w:sz w:val="22"/>
          <w:szCs w:val="22"/>
        </w:rPr>
        <w:t xml:space="preserve">ETGs form a multi-family, multi-sign response sector governed by a four-condition intersection. The outer gate factorises exactly into X_out and R_d. The viability boundary X_out &lt; R_max/(1 − R_d) classifies all 16 ETGs correctly. Buffered ETGs share a common rescaled radial approach profile (u(x) ≈ 1 − 1.587(x−1) + 1.398(x−1)², PC1 = 99.85%), with per-galaxy slopes determined by the parameter-free geometric identity c1 = −δu/(1 − x_cross) (Pearson r = 0.998, Spearman = 1.000, no free parameters). This result, closed in v13, confirms that the crossing-window variation is a geometric consequence of the available post-crossing radial interval rather than an independent empirical datum. The outer chain reduces to a density-plus-geometry disk-force kernel law (K_full = 0.03060, R² = 0.931).</w:t>
      </w:r>
    </w:p>
    <w:p>
      <w:pPr>
        <w:spacing w:after="80" w:before="80"/>
        <w:jc w:val="left"/>
      </w:pPr>
      <w:r>
        <w:rPr>
          <w:rFonts w:ascii="Arial" w:cs="Arial" w:eastAsia="Arial" w:hAnsi="Arial"/>
          <w:sz w:val="22"/>
          <w:szCs w:val="22"/>
        </w:rPr>
        <w:t xml:space="preserve">A universal completion-ratio law U_max ≈ A − B ln(S) holds across both galaxy types (LTG: R² = 0.919, ETG: R² = 0.851), with both regression lines implying a threshold crossing near S ≈ 1.70. The disk-buffered ETG branch is externally validated by three independent population indicators — outward age increase, metallicity gradient, and radial M/L decline — jointly ranking first among all 120 ETG pairs with p = 0.008. No confirmed LTG H+ objects exist.</w:t>
      </w:r>
    </w:p>
    <w:p>
      <w:pPr>
        <w:pStyle w:val="Heading1"/>
        <w:spacing w:after="180" w:before="360"/>
      </w:pPr>
      <w:r>
        <w:rPr>
          <w:rFonts w:ascii="Arial" w:cs="Arial" w:eastAsia="Arial" w:hAnsi="Arial"/>
          <w:b/>
          <w:bCs/>
          <w:sz w:val="32"/>
          <w:szCs w:val="32"/>
        </w:rPr>
        <w:t xml:space="preserve">18.  Methods and Data</w:t>
      </w:r>
    </w:p>
    <w:p>
      <w:pPr>
        <w:spacing w:after="80" w:before="80"/>
        <w:jc w:val="left"/>
      </w:pPr>
      <w:r>
        <w:rPr>
          <w:rFonts w:ascii="Arial" w:cs="Arial" w:eastAsia="Arial" w:hAnsi="Arial"/>
          <w:sz w:val="22"/>
          <w:szCs w:val="22"/>
        </w:rPr>
        <w:t xml:space="preserve">Data: SPARC ROTMOD files (Lelli et al. 2016, 175 disk galaxies). ETG rotation curves from ATLAS3D (16 galaxies, Rotmod_ETG.zip). High-resolution bulge/disk component profiles (_disk.dat, _bulge.dat) used for all inner-branch and outer-chain computations.</w:t>
      </w:r>
    </w:p>
    <w:p>
      <w:pPr>
        <w:spacing w:after="80" w:before="80"/>
        <w:jc w:val="left"/>
      </w:pPr>
      <w:r>
        <w:rPr>
          <w:rFonts w:ascii="Arial" w:cs="Arial" w:eastAsia="Arial" w:hAnsi="Arial"/>
          <w:sz w:val="22"/>
          <w:szCs w:val="22"/>
        </w:rPr>
        <w:t xml:space="preserve">External datasets cross-matched in v13: Krajnovic et al. (2020) ATLAS3D stellar population radial profiles (16/16 ETG coverage); Poci et al. (2017) 2D stellar M/L maps (MLSTARR, 16/16 coverage); ATLAS3D stellar kinematics (VPXF, 16/16); ATLAS3D ionised-gas maps (V_OIII_GAS, 16/16); Serra et al. (2012) HI moment maps (15/16, NGC2974 absent); BulgeDiskDec ETG photometric density files (16/16). CO single-dish archive and Serra2012 HI archive are ATLAS3D ETG-only and have 0/17 overlap with the CDC-low LTG branch.</w:t>
      </w:r>
    </w:p>
    <w:p>
      <w:pPr>
        <w:spacing w:after="80" w:before="80"/>
        <w:jc w:val="left"/>
      </w:pPr>
      <w:r>
        <w:rPr>
          <w:rFonts w:ascii="Arial" w:cs="Arial" w:eastAsia="Arial" w:hAnsi="Arial"/>
          <w:sz w:val="22"/>
          <w:szCs w:val="22"/>
        </w:rPr>
        <w:t xml:space="preserve">Baryonic convention: V̄²_bar = V²_gas + 0.5 V²_disk + 0.7 V²_bul; M/L_disk = 0.5, M/L_bul = 0.7. File comments: ROTMOD files use comments="#"; bulge/disk component files use comments="!". G_supp must use the IBP form. Canonical r_in values: NGC2685 = 0.310, NGC3626 = 0.370, NGC3941 = 0.270, NGC4203 = 0.460 kpc (locked). Framework constants: Γ₀ = 809.956 km²/s²/kpc; R_max = 1.758948; U* = 0.201803. Evaluation: RMSE = √(mean[(V_model − V_obs)²]). All tables verified from raw ETG and LTG files using the exact gas-dependent memory law.</w:t>
      </w:r>
    </w:p>
    <w:sectPr>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1"/>
      </w:pBd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D9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2026-04-26T23:21:52.813Z</dcterms:created>
  <dcterms:modified xsi:type="dcterms:W3CDTF">2026-04-26T23:21:52.814Z</dcterms:modified>
</cp:coreProperties>
</file>

<file path=docProps/custom.xml><?xml version="1.0" encoding="utf-8"?>
<Properties xmlns="http://schemas.openxmlformats.org/officeDocument/2006/custom-properties" xmlns:vt="http://schemas.openxmlformats.org/officeDocument/2006/docPropsVTypes"/>
</file>