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BE32" w14:textId="77777777" w:rsidR="007B5C93" w:rsidRPr="00E73A61" w:rsidRDefault="00000000" w:rsidP="00E73A61">
      <w:pPr>
        <w:shd w:val="clear" w:color="auto" w:fill="14453A"/>
        <w:spacing w:before="100" w:after="60"/>
        <w:rPr>
          <w:rFonts w:ascii="Arial" w:hAnsi="Arial" w:cs="Arial"/>
          <w:sz w:val="22"/>
          <w:szCs w:val="22"/>
        </w:rPr>
      </w:pPr>
      <w:r w:rsidRPr="00E73A61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VERTRAULICH · VORBEREITET FÜR VORWERK VENTURES  </w:t>
      </w:r>
    </w:p>
    <w:p w14:paraId="68DF34F7" w14:textId="22A25629" w:rsidR="007B5C93" w:rsidRDefault="007B5C93" w:rsidP="00E73A61">
      <w:pPr>
        <w:spacing w:after="140" w:line="300" w:lineRule="auto"/>
        <w:rPr>
          <w:rFonts w:ascii="Arial" w:hAnsi="Arial" w:cs="Arial"/>
          <w:sz w:val="22"/>
          <w:szCs w:val="22"/>
        </w:rPr>
      </w:pPr>
    </w:p>
    <w:p w14:paraId="76A8961F" w14:textId="77777777" w:rsidR="00E73A61" w:rsidRPr="00E73A61" w:rsidRDefault="00E73A61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B5C93" w:rsidRPr="00E73A61" w14:paraId="2E6514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6" w:space="0" w:color="1F6F5C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55FFCCE2" w14:textId="77777777" w:rsidR="007B5C93" w:rsidRPr="00E73A61" w:rsidRDefault="00000000" w:rsidP="00E73A61">
            <w:pPr>
              <w:spacing w:after="40"/>
              <w:rPr>
                <w:rFonts w:ascii="Arial" w:eastAsia="Arial" w:hAnsi="Arial" w:cs="Arial"/>
                <w:b/>
                <w:bCs/>
                <w:color w:val="14453A"/>
                <w:sz w:val="22"/>
                <w:szCs w:val="22"/>
                <w:lang w:val="en-US"/>
              </w:rPr>
            </w:pPr>
            <w:r w:rsidRPr="00E73A61">
              <w:rPr>
                <w:rFonts w:ascii="Arial" w:hAnsi="Arial" w:cs="Arial"/>
                <w:sz w:val="22"/>
                <w:szCs w:val="22"/>
                <w:lang w:val="en-US"/>
              </w:rPr>
              <w:t>10 Mio. €</w:t>
            </w:r>
          </w:p>
          <w:p w14:paraId="5163DC2F" w14:textId="77777777" w:rsidR="007B5C93" w:rsidRPr="00E73A61" w:rsidRDefault="00000000" w:rsidP="00E73A61">
            <w:pPr>
              <w:rPr>
                <w:rFonts w:ascii="Arial" w:eastAsia="Arial" w:hAnsi="Arial" w:cs="Arial"/>
                <w:color w:val="676767"/>
                <w:sz w:val="22"/>
                <w:szCs w:val="22"/>
                <w:lang w:val="en-US"/>
              </w:rPr>
            </w:pPr>
            <w:r w:rsidRPr="00E73A61">
              <w:rPr>
                <w:rFonts w:ascii="Arial" w:hAnsi="Arial" w:cs="Arial"/>
                <w:sz w:val="22"/>
                <w:szCs w:val="22"/>
                <w:lang w:val="en-US"/>
              </w:rPr>
              <w:t>Valuation-Anker (Pre-Money)</w:t>
            </w:r>
          </w:p>
        </w:tc>
        <w:tc>
          <w:tcPr>
            <w:tcW w:w="2340" w:type="dxa"/>
            <w:tcBorders>
              <w:top w:val="single" w:sz="16" w:space="0" w:color="C0392B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7F02C7FE" w14:textId="77777777" w:rsidR="007B5C93" w:rsidRPr="00E73A61" w:rsidRDefault="00000000" w:rsidP="00E73A61">
            <w:pPr>
              <w:spacing w:after="40"/>
              <w:rPr>
                <w:rFonts w:ascii="Arial" w:eastAsia="Arial" w:hAnsi="Arial" w:cs="Arial"/>
                <w:b/>
                <w:bCs/>
                <w:color w:val="14453A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~1,5 Mon.</w:t>
            </w:r>
          </w:p>
          <w:p w14:paraId="28BF6212" w14:textId="77777777" w:rsidR="007B5C93" w:rsidRPr="00E73A61" w:rsidRDefault="00000000" w:rsidP="00E73A61">
            <w:pPr>
              <w:rPr>
                <w:rFonts w:ascii="Arial" w:eastAsia="Arial" w:hAnsi="Arial" w:cs="Arial"/>
                <w:color w:val="676767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Runway (ohne Runde)</w:t>
            </w:r>
          </w:p>
        </w:tc>
        <w:tc>
          <w:tcPr>
            <w:tcW w:w="2340" w:type="dxa"/>
            <w:tcBorders>
              <w:top w:val="single" w:sz="16" w:space="0" w:color="1F6F5C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51221DB0" w14:textId="77777777" w:rsidR="007B5C93" w:rsidRPr="00E73A61" w:rsidRDefault="00000000" w:rsidP="00E73A61">
            <w:pPr>
              <w:spacing w:after="40"/>
              <w:rPr>
                <w:rFonts w:ascii="Arial" w:eastAsia="Arial" w:hAnsi="Arial" w:cs="Arial"/>
                <w:b/>
                <w:bCs/>
                <w:color w:val="14453A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~90 %</w:t>
            </w:r>
          </w:p>
          <w:p w14:paraId="24D9B7EA" w14:textId="77777777" w:rsidR="007B5C93" w:rsidRPr="00E73A61" w:rsidRDefault="00000000" w:rsidP="00E73A61">
            <w:pPr>
              <w:rPr>
                <w:rFonts w:ascii="Arial" w:eastAsia="Arial" w:hAnsi="Arial" w:cs="Arial"/>
                <w:color w:val="676767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Patientenretention (6 Mon.)</w:t>
            </w:r>
          </w:p>
        </w:tc>
        <w:tc>
          <w:tcPr>
            <w:tcW w:w="2340" w:type="dxa"/>
            <w:tcBorders>
              <w:top w:val="single" w:sz="16" w:space="0" w:color="1F6F5C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F7150B7" w14:textId="77777777" w:rsidR="007B5C93" w:rsidRPr="00E73A61" w:rsidRDefault="00000000" w:rsidP="00E73A61">
            <w:pPr>
              <w:spacing w:after="40"/>
              <w:rPr>
                <w:rFonts w:ascii="Arial" w:eastAsia="Arial" w:hAnsi="Arial" w:cs="Arial"/>
                <w:b/>
                <w:bCs/>
                <w:color w:val="14453A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2</w:t>
            </w:r>
          </w:p>
          <w:p w14:paraId="49326BF9" w14:textId="77777777" w:rsidR="007B5C93" w:rsidRPr="00E73A61" w:rsidRDefault="00000000" w:rsidP="00E73A61">
            <w:pPr>
              <w:rPr>
                <w:rFonts w:ascii="Arial" w:eastAsia="Arial" w:hAnsi="Arial" w:cs="Arial"/>
                <w:color w:val="676767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Neue KV-Sitze (12 Mon.)</w:t>
            </w:r>
          </w:p>
        </w:tc>
      </w:tr>
    </w:tbl>
    <w:p w14:paraId="76C067A8" w14:textId="77777777" w:rsidR="007B5C93" w:rsidRPr="00E73A61" w:rsidRDefault="007B5C93" w:rsidP="00E73A61">
      <w:pPr>
        <w:spacing w:after="200"/>
        <w:rPr>
          <w:rFonts w:ascii="Arial" w:hAnsi="Arial" w:cs="Arial"/>
          <w:sz w:val="22"/>
          <w:szCs w:val="22"/>
        </w:rPr>
      </w:pPr>
    </w:p>
    <w:p w14:paraId="4E5585CD" w14:textId="77777777" w:rsidR="007B5C93" w:rsidRPr="00E73A61" w:rsidRDefault="00000000" w:rsidP="00E73A61">
      <w:pPr>
        <w:spacing w:before="340" w:after="140"/>
        <w:rPr>
          <w:rFonts w:ascii="Arial" w:hAnsi="Arial" w:cs="Arial"/>
          <w:color w:val="196B24" w:themeColor="accent3"/>
          <w:sz w:val="22"/>
          <w:szCs w:val="22"/>
        </w:rPr>
      </w:pPr>
      <w:r w:rsidRPr="00E73A61"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  <w:t>1.  Produkt</w:t>
      </w:r>
    </w:p>
    <w:p w14:paraId="41FAE75C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t>Patientenbesuch end-to-end</w:t>
      </w:r>
    </w:p>
    <w:p w14:paraId="518A7EC0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Es gibt zwei Besuchsformen:</w:t>
      </w:r>
    </w:p>
    <w:p w14:paraId="492D6CC8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Klassischer Vor-Ort-Besuch: reguläre hausärztliche Konsultation vor Ort.</w:t>
      </w:r>
    </w:p>
    <w:p w14:paraId="2E3A78C1" w14:textId="77777777" w:rsidR="00E73A61" w:rsidRDefault="00000000" w:rsidP="00E73A61">
      <w:pPr>
        <w:spacing w:after="80" w:line="280" w:lineRule="auto"/>
        <w:ind w:left="40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 xml:space="preserve">•  Hybrider Besuch: </w:t>
      </w:r>
    </w:p>
    <w:p w14:paraId="27E337C8" w14:textId="77777777" w:rsidR="00E73A61" w:rsidRPr="00E73A61" w:rsidRDefault="00000000" w:rsidP="00E73A61">
      <w:pPr>
        <w:pStyle w:val="Listenabsatz"/>
        <w:numPr>
          <w:ilvl w:val="0"/>
          <w:numId w:val="2"/>
        </w:numPr>
        <w:spacing w:after="80" w:line="280" w:lineRule="auto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Patient kommt in die Praxis</w:t>
      </w:r>
    </w:p>
    <w:p w14:paraId="3442572D" w14:textId="77777777" w:rsidR="00E73A61" w:rsidRPr="00E73A61" w:rsidRDefault="00000000" w:rsidP="00E73A61">
      <w:pPr>
        <w:pStyle w:val="Listenabsatz"/>
        <w:numPr>
          <w:ilvl w:val="0"/>
          <w:numId w:val="2"/>
        </w:numPr>
        <w:spacing w:after="80" w:line="280" w:lineRule="auto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der Arzt ist remote zugeschaltet</w:t>
      </w:r>
    </w:p>
    <w:p w14:paraId="592ABF55" w14:textId="77777777" w:rsidR="00E73A61" w:rsidRPr="00E73A61" w:rsidRDefault="00000000" w:rsidP="00E73A61">
      <w:pPr>
        <w:pStyle w:val="Listenabsatz"/>
        <w:numPr>
          <w:ilvl w:val="0"/>
          <w:numId w:val="2"/>
        </w:numPr>
        <w:spacing w:after="80" w:line="280" w:lineRule="auto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MFA nutzt digitale Diagnosegeräte (u. a. digitales Stethoskop, Otoskop)</w:t>
      </w:r>
    </w:p>
    <w:p w14:paraId="55A372FA" w14:textId="77777777" w:rsidR="00E73A61" w:rsidRPr="00E73A61" w:rsidRDefault="00000000" w:rsidP="00E73A61">
      <w:pPr>
        <w:pStyle w:val="Listenabsatz"/>
        <w:numPr>
          <w:ilvl w:val="0"/>
          <w:numId w:val="2"/>
        </w:numPr>
        <w:spacing w:after="80" w:line="280" w:lineRule="auto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 xml:space="preserve">überträgt die erfassten Daten direkt ins System  </w:t>
      </w:r>
    </w:p>
    <w:p w14:paraId="6EB3171C" w14:textId="57FB100C" w:rsidR="007B5C93" w:rsidRPr="00E73A61" w:rsidRDefault="00000000" w:rsidP="00E73A61">
      <w:pPr>
        <w:pStyle w:val="Listenabsatz"/>
        <w:numPr>
          <w:ilvl w:val="0"/>
          <w:numId w:val="2"/>
        </w:numPr>
        <w:spacing w:after="80" w:line="28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der Arzt sieht die Werte live und schaltet sich per Videosprechstunde dazu.</w:t>
      </w:r>
    </w:p>
    <w:p w14:paraId="25B0B0FC" w14:textId="77777777" w:rsidR="00E73A61" w:rsidRPr="00E73A61" w:rsidRDefault="00E73A61" w:rsidP="00E73A61">
      <w:pPr>
        <w:pStyle w:val="Listenabsatz"/>
        <w:spacing w:after="80" w:line="280" w:lineRule="auto"/>
        <w:ind w:left="1480"/>
        <w:rPr>
          <w:rFonts w:ascii="Arial" w:eastAsia="Arial" w:hAnsi="Arial" w:cs="Arial"/>
          <w:color w:val="333333"/>
          <w:sz w:val="22"/>
          <w:szCs w:val="22"/>
        </w:rPr>
      </w:pPr>
    </w:p>
    <w:p w14:paraId="678A80EF" w14:textId="5F5F003B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Arzteinsatz: Es gibt keine separaten, ausschließlich telemedizinisch tätigen Ärzte</w:t>
      </w:r>
      <w:r w:rsidR="00E73A61">
        <w:rPr>
          <w:rFonts w:ascii="Arial" w:hAnsi="Arial" w:cs="Arial"/>
          <w:sz w:val="22"/>
          <w:szCs w:val="22"/>
        </w:rPr>
        <w:t>. J</w:t>
      </w:r>
      <w:r w:rsidRPr="00E73A61">
        <w:rPr>
          <w:rFonts w:ascii="Arial" w:hAnsi="Arial" w:cs="Arial"/>
          <w:sz w:val="22"/>
          <w:szCs w:val="22"/>
        </w:rPr>
        <w:t>eder angestellte Arzt arbeitet im Rotationsmodell planmäßig einen Tag pro Woche telemedizinisch im Homeoffice, ergänzend dazu bei Bedarf auch zwischen Vor-Ort-Sprechstunden aus der Praxis heraus zugeschaltet.</w:t>
      </w:r>
    </w:p>
    <w:p w14:paraId="47814317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proofErr w:type="spellStart"/>
      <w:r w:rsidRPr="00E73A61">
        <w:rPr>
          <w:rFonts w:ascii="Arial" w:hAnsi="Arial" w:cs="Arial"/>
          <w:color w:val="196B24" w:themeColor="accent3"/>
          <w:sz w:val="22"/>
          <w:szCs w:val="22"/>
        </w:rPr>
        <w:t>Build</w:t>
      </w:r>
      <w:proofErr w:type="spellEnd"/>
      <w:r w:rsidRPr="00E73A61">
        <w:rPr>
          <w:rFonts w:ascii="Arial" w:hAnsi="Arial" w:cs="Arial"/>
          <w:color w:val="196B24" w:themeColor="accent3"/>
          <w:sz w:val="22"/>
          <w:szCs w:val="22"/>
        </w:rPr>
        <w:t xml:space="preserve"> vs. Lizenz / KI-Status</w:t>
      </w:r>
    </w:p>
    <w:p w14:paraId="44F7A345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Aktuell im Einsatz: drei verschiedene Anbieter-Tools für Video/Dokumentation; eine Konsolidierung auf ein einheitliches, integriertes Tool ist in Arbeit.</w:t>
      </w:r>
    </w:p>
    <w:p w14:paraId="6B3F66B4" w14:textId="5A98C594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KI  heute produktiv im Einsatz:</w:t>
      </w:r>
    </w:p>
    <w:p w14:paraId="7A540305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Unterstützung während der Sprechstunde</w:t>
      </w:r>
    </w:p>
    <w:p w14:paraId="0404CBEF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Aufnahme der Sprechstunde</w:t>
      </w:r>
    </w:p>
    <w:p w14:paraId="47103FB4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Automatische Auswertung und Übertragung in den Arztbrief</w:t>
      </w:r>
    </w:p>
    <w:p w14:paraId="5568B8DA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Ziffernvorschlag für die Abrechnung</w:t>
      </w:r>
    </w:p>
    <w:p w14:paraId="2D886295" w14:textId="31E0990E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KI  geplant: digitale Auswertung, automatisierte Koordinierungstermine.</w:t>
      </w:r>
    </w:p>
    <w:p w14:paraId="643AAA5F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lastRenderedPageBreak/>
        <w:t>PVS- und KV-Anbindung</w:t>
      </w:r>
    </w:p>
    <w:p w14:paraId="39A6D9DA" w14:textId="321DE8B1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Der Arzt arbeitet direkt im regulären Praxisverwaltungssystem (PVS)</w:t>
      </w:r>
      <w:r w:rsidR="00E73A61">
        <w:rPr>
          <w:rFonts w:ascii="Arial" w:hAnsi="Arial" w:cs="Arial"/>
          <w:sz w:val="22"/>
          <w:szCs w:val="22"/>
        </w:rPr>
        <w:t>. K</w:t>
      </w:r>
      <w:r w:rsidRPr="00E73A61">
        <w:rPr>
          <w:rFonts w:ascii="Arial" w:hAnsi="Arial" w:cs="Arial"/>
          <w:sz w:val="22"/>
          <w:szCs w:val="22"/>
        </w:rPr>
        <w:t>eine Parallelsoftware für die klinische Dokumentation.</w:t>
      </w:r>
    </w:p>
    <w:p w14:paraId="56D91972" w14:textId="77777777" w:rsidR="00E73A61" w:rsidRDefault="00000000" w:rsidP="00E73A61">
      <w:pPr>
        <w:spacing w:after="140" w:line="300" w:lineRule="auto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 xml:space="preserve">Abrechnungsworkflow: </w:t>
      </w:r>
    </w:p>
    <w:p w14:paraId="08B57C9F" w14:textId="01A9994A" w:rsidR="00E73A61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MFAs pflegen Tageslisten</w:t>
      </w:r>
    </w:p>
    <w:p w14:paraId="7EE7C634" w14:textId="77777777" w:rsidR="00E73A61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die wöchentlich geprüft werden</w:t>
      </w:r>
    </w:p>
    <w:p w14:paraId="600DD34E" w14:textId="77777777" w:rsidR="00E73A61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 xml:space="preserve">ein internes Tool läuft automatisiert über die Daten und gibt </w:t>
      </w:r>
      <w:proofErr w:type="spellStart"/>
      <w:r w:rsidRPr="00E73A61">
        <w:rPr>
          <w:rFonts w:ascii="Arial" w:hAnsi="Arial" w:cs="Arial"/>
          <w:sz w:val="22"/>
          <w:szCs w:val="22"/>
        </w:rPr>
        <w:t>Optimierungsvorschläge</w:t>
      </w:r>
      <w:proofErr w:type="spellEnd"/>
    </w:p>
    <w:p w14:paraId="2298862D" w14:textId="77777777" w:rsidR="00E73A61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Quartalsende werden alle Daten zusammengeführt</w:t>
      </w:r>
    </w:p>
    <w:p w14:paraId="1C188F47" w14:textId="5B8B4E4A" w:rsidR="00E73A61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die Abrechnungsmanagerin bereitet die Einreichung vor</w:t>
      </w:r>
    </w:p>
    <w:p w14:paraId="574233AA" w14:textId="0BFE0777" w:rsidR="00E73A61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Janina gibt final frei</w:t>
      </w:r>
    </w:p>
    <w:p w14:paraId="510043C8" w14:textId="21C4F6C6" w:rsidR="007B5C93" w:rsidRPr="00E73A61" w:rsidRDefault="00000000" w:rsidP="00E73A61">
      <w:pPr>
        <w:pStyle w:val="Listenabsatz"/>
        <w:numPr>
          <w:ilvl w:val="0"/>
          <w:numId w:val="3"/>
        </w:numPr>
        <w:spacing w:after="14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dann Versand an die KV</w:t>
      </w:r>
    </w:p>
    <w:p w14:paraId="1235235B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t>E-Rezept &amp; Apotheken-Anbindung</w:t>
      </w:r>
    </w:p>
    <w:p w14:paraId="1B9A096A" w14:textId="242F9501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E-Rezept ist aktuell noch nicht produktiv live. Im Rahmen der assistierten Telemedizin sind Apotheken-Kooperationen in Ansprache</w:t>
      </w:r>
      <w:r w:rsidR="00E73A61">
        <w:rPr>
          <w:rFonts w:ascii="Arial" w:hAnsi="Arial" w:cs="Arial"/>
          <w:sz w:val="22"/>
          <w:szCs w:val="22"/>
        </w:rPr>
        <w:t>. Z</w:t>
      </w:r>
      <w:r w:rsidRPr="00E73A61">
        <w:rPr>
          <w:rFonts w:ascii="Arial" w:hAnsi="Arial" w:cs="Arial"/>
          <w:sz w:val="22"/>
          <w:szCs w:val="22"/>
        </w:rPr>
        <w:t>wei Pilotprojekte mit Kooperationspartnern zur Einbindung von Arztkapazität laufen bzw. liefen bereits.</w:t>
      </w:r>
    </w:p>
    <w:p w14:paraId="7F67F98D" w14:textId="77777777" w:rsidR="007B5C93" w:rsidRPr="00E73A61" w:rsidRDefault="00000000" w:rsidP="00E73A61">
      <w:pPr>
        <w:spacing w:before="340" w:after="140"/>
        <w:rPr>
          <w:rFonts w:ascii="Arial" w:hAnsi="Arial" w:cs="Arial"/>
          <w:sz w:val="22"/>
          <w:szCs w:val="22"/>
        </w:rPr>
      </w:pPr>
      <w:r w:rsidRPr="00E73A61">
        <w:rPr>
          <w:rFonts w:ascii="Arial" w:eastAsia="Arial" w:hAnsi="Arial" w:cs="Arial"/>
          <w:b/>
          <w:bCs/>
          <w:color w:val="1F6F5C"/>
          <w:sz w:val="22"/>
          <w:szCs w:val="22"/>
        </w:rPr>
        <w:t xml:space="preserve">2.  </w:t>
      </w:r>
      <w:r w:rsidRPr="00E73A61">
        <w:rPr>
          <w:rFonts w:ascii="Arial" w:eastAsia="Arial" w:hAnsi="Arial" w:cs="Arial"/>
          <w:b/>
          <w:bCs/>
          <w:color w:val="14453A"/>
          <w:sz w:val="22"/>
          <w:szCs w:val="22"/>
        </w:rPr>
        <w:t xml:space="preserve">Finanzen &amp; </w:t>
      </w:r>
      <w:proofErr w:type="spellStart"/>
      <w:r w:rsidRPr="00E73A61">
        <w:rPr>
          <w:rFonts w:ascii="Arial" w:eastAsia="Arial" w:hAnsi="Arial" w:cs="Arial"/>
          <w:b/>
          <w:bCs/>
          <w:color w:val="14453A"/>
          <w:sz w:val="22"/>
          <w:szCs w:val="22"/>
        </w:rPr>
        <w:t>Traction</w:t>
      </w:r>
      <w:proofErr w:type="spellEnd"/>
    </w:p>
    <w:p w14:paraId="52DD9274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F6F5C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 xml:space="preserve">Umsatzentwicklung 2026 (Ist) &amp; 2027 (Q1 </w:t>
      </w:r>
      <w:proofErr w:type="spellStart"/>
      <w:r w:rsidRPr="00E73A61">
        <w:rPr>
          <w:rFonts w:ascii="Arial" w:hAnsi="Arial" w:cs="Arial"/>
          <w:sz w:val="22"/>
          <w:szCs w:val="22"/>
        </w:rPr>
        <w:t>committed</w:t>
      </w:r>
      <w:proofErr w:type="spellEnd"/>
      <w:r w:rsidRPr="00E73A61">
        <w:rPr>
          <w:rFonts w:ascii="Arial" w:hAnsi="Arial" w:cs="Arial"/>
          <w:sz w:val="22"/>
          <w:szCs w:val="22"/>
        </w:rPr>
        <w:t>, Q2–Q4 Forecast)</w:t>
      </w:r>
    </w:p>
    <w:p w14:paraId="19484C47" w14:textId="50740F85" w:rsidR="007B5C93" w:rsidRPr="00E73A61" w:rsidRDefault="007B5C93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7"/>
        <w:gridCol w:w="2059"/>
        <w:gridCol w:w="1872"/>
        <w:gridCol w:w="3182"/>
      </w:tblGrid>
      <w:tr w:rsidR="007B5C93" w:rsidRPr="00E73A61" w14:paraId="65D10684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14453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2F4FF" w14:textId="77777777" w:rsidR="007B5C93" w:rsidRPr="00E73A61" w:rsidRDefault="00000000" w:rsidP="00E73A61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Quartal</w:t>
            </w:r>
          </w:p>
        </w:tc>
        <w:tc>
          <w:tcPr>
            <w:tcW w:w="2059" w:type="dxa"/>
            <w:shd w:val="clear" w:color="auto" w:fill="14453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9D8CC3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Umsatz</w:t>
            </w:r>
          </w:p>
        </w:tc>
        <w:tc>
          <w:tcPr>
            <w:tcW w:w="1872" w:type="dxa"/>
            <w:shd w:val="clear" w:color="auto" w:fill="14453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2E0289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EBIT</w:t>
            </w:r>
          </w:p>
        </w:tc>
        <w:tc>
          <w:tcPr>
            <w:tcW w:w="3182" w:type="dxa"/>
            <w:shd w:val="clear" w:color="auto" w:fill="14453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24189C" w14:textId="77777777" w:rsidR="007B5C93" w:rsidRPr="00E73A61" w:rsidRDefault="00000000" w:rsidP="00E73A61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Praxen (Periodenende)</w:t>
            </w:r>
          </w:p>
        </w:tc>
      </w:tr>
      <w:tr w:rsidR="007B5C93" w:rsidRPr="00E73A61" w14:paraId="2C96744E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F3DABC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Q1 2026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1B1D8A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278.100 €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48F64D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−167.649 €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1DA02C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7B5C93" w:rsidRPr="00E73A61" w14:paraId="7ADEF034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F89048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Q2 2026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C3D99F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284.100 €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807CD5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−162.291 €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41C993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7B5C93" w:rsidRPr="00E73A61" w14:paraId="2B5DB72A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1F8FE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Q3 2026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AA1D17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274.500 €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2AB5A6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−155.254 €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878748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4 (Konsolidierung MV)</w:t>
            </w:r>
          </w:p>
        </w:tc>
      </w:tr>
      <w:tr w:rsidR="007B5C93" w:rsidRPr="00E73A61" w14:paraId="5376B7E1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89036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Q4 2026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D14C2D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479.400 €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6404AE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−72.649 €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14791A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5 (Schwerin akquiriert)</w:t>
            </w:r>
          </w:p>
        </w:tc>
      </w:tr>
      <w:tr w:rsidR="007B5C93" w:rsidRPr="00E73A61" w14:paraId="74710418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2F6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791FFD" w14:textId="0F843816" w:rsidR="007B5C93" w:rsidRPr="00E73A61" w:rsidRDefault="00000000" w:rsidP="00E73A61">
            <w:pPr>
              <w:rPr>
                <w:rFonts w:ascii="Arial" w:eastAsia="Arial" w:hAnsi="Arial" w:cs="Arial"/>
                <w:b/>
                <w:bCs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 xml:space="preserve">Q1 2027 </w:t>
            </w:r>
          </w:p>
        </w:tc>
        <w:tc>
          <w:tcPr>
            <w:tcW w:w="2059" w:type="dxa"/>
            <w:shd w:val="clear" w:color="auto" w:fill="F2F6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CD9F2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696.495 €</w:t>
            </w:r>
          </w:p>
        </w:tc>
        <w:tc>
          <w:tcPr>
            <w:tcW w:w="1872" w:type="dxa"/>
            <w:shd w:val="clear" w:color="auto" w:fill="F2F6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1D2C2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−1.931 €</w:t>
            </w:r>
          </w:p>
        </w:tc>
        <w:tc>
          <w:tcPr>
            <w:tcW w:w="3182" w:type="dxa"/>
            <w:shd w:val="clear" w:color="auto" w:fill="F2F6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8F3F02" w14:textId="77777777" w:rsidR="007B5C93" w:rsidRPr="00E73A61" w:rsidRDefault="00000000" w:rsidP="00E73A61">
            <w:pPr>
              <w:rPr>
                <w:rFonts w:ascii="Arial" w:eastAsia="Arial" w:hAnsi="Arial" w:cs="Arial"/>
                <w:b/>
                <w:bCs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6 (Hellersdorf akquiriert)</w:t>
            </w:r>
          </w:p>
        </w:tc>
      </w:tr>
      <w:tr w:rsidR="007B5C93" w:rsidRPr="00E73A61" w14:paraId="5CB98846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B6FACA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Q2 2027 (Forecast)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BFEAC7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921.495 €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9EB481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1F6F5C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+42.149 €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F7508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8 (+1 Hausarzt, +1 Dermatologie)</w:t>
            </w:r>
          </w:p>
        </w:tc>
      </w:tr>
      <w:tr w:rsidR="007B5C93" w:rsidRPr="00E73A61" w14:paraId="2AE55ECF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ADD380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Q3 2027 (Forecast)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97A8D2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1.121.495 €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45987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1F6F5C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+101.021 €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5B76B3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10 (+2 Hausarzt)</w:t>
            </w:r>
          </w:p>
        </w:tc>
      </w:tr>
      <w:tr w:rsidR="007B5C93" w:rsidRPr="00E73A61" w14:paraId="1BDADF8B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73045D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Q4 2027 (Forecast)</w:t>
            </w:r>
          </w:p>
        </w:tc>
        <w:tc>
          <w:tcPr>
            <w:tcW w:w="2059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B4378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1.340.245 €</w:t>
            </w:r>
          </w:p>
        </w:tc>
        <w:tc>
          <w:tcPr>
            <w:tcW w:w="187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D82AB6" w14:textId="77777777" w:rsidR="007B5C93" w:rsidRPr="00E73A61" w:rsidRDefault="00000000" w:rsidP="00E73A61">
            <w:pPr>
              <w:jc w:val="center"/>
              <w:rPr>
                <w:rFonts w:ascii="Arial" w:eastAsia="Arial" w:hAnsi="Arial" w:cs="Arial"/>
                <w:b/>
                <w:bCs/>
                <w:color w:val="1F6F5C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+167.264 €</w:t>
            </w:r>
          </w:p>
        </w:tc>
        <w:tc>
          <w:tcPr>
            <w:tcW w:w="318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EB52F8" w14:textId="77777777" w:rsidR="007B5C93" w:rsidRPr="00E73A61" w:rsidRDefault="00000000" w:rsidP="00E73A61">
            <w:pPr>
              <w:rPr>
                <w:rFonts w:ascii="Arial" w:eastAsia="Arial" w:hAnsi="Arial" w:cs="Arial"/>
                <w:color w:val="333333"/>
                <w:sz w:val="22"/>
                <w:szCs w:val="22"/>
              </w:rPr>
            </w:pPr>
            <w:r w:rsidRPr="00E73A61">
              <w:rPr>
                <w:rFonts w:ascii="Arial" w:hAnsi="Arial" w:cs="Arial"/>
                <w:sz w:val="22"/>
                <w:szCs w:val="22"/>
              </w:rPr>
              <w:t>12 (+1 Hausarzt, +1 Pneumologie)</w:t>
            </w:r>
          </w:p>
        </w:tc>
      </w:tr>
    </w:tbl>
    <w:p w14:paraId="36BE9D1B" w14:textId="77777777" w:rsidR="007B5C93" w:rsidRPr="00E73A61" w:rsidRDefault="007B5C93" w:rsidP="00E73A61">
      <w:pPr>
        <w:spacing w:after="140"/>
        <w:rPr>
          <w:rFonts w:ascii="Arial" w:hAnsi="Arial" w:cs="Arial"/>
          <w:sz w:val="22"/>
          <w:szCs w:val="22"/>
        </w:rPr>
      </w:pPr>
    </w:p>
    <w:p w14:paraId="499DE4D5" w14:textId="4424EADF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Der Turnaround ist bereits in den Zahlen sichtbar: Q1 2027 liegt mit −1.931 € EBIT praktisch auf Break-even, ab Q2 2027 wird das Geschäft profitabel und bleibt es in jedem Folgequartal</w:t>
      </w:r>
      <w:r w:rsidR="00E73A61">
        <w:rPr>
          <w:rFonts w:ascii="Arial" w:hAnsi="Arial" w:cs="Arial"/>
          <w:sz w:val="22"/>
          <w:szCs w:val="22"/>
        </w:rPr>
        <w:t>. B</w:t>
      </w:r>
      <w:r w:rsidRPr="00E73A61">
        <w:rPr>
          <w:rFonts w:ascii="Arial" w:hAnsi="Arial" w:cs="Arial"/>
          <w:sz w:val="22"/>
          <w:szCs w:val="22"/>
        </w:rPr>
        <w:t>ei durchgehend steigendem Umsatz durch die Akquisitions-Kadenz von zwei neuen Praxen pro Quartal ab Q2 2027.</w:t>
      </w:r>
    </w:p>
    <w:p w14:paraId="496098EB" w14:textId="00BAE8F4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Hintergrund 2026: 2026 Gesamtjahr ca. 1,32 Mio. € Umsatz bei −557,8 T€ EBIT (−42,4 % Marge)</w:t>
      </w:r>
      <w:r w:rsidR="00E73A61">
        <w:rPr>
          <w:rFonts w:ascii="Arial" w:hAnsi="Arial" w:cs="Arial"/>
          <w:sz w:val="22"/>
          <w:szCs w:val="22"/>
        </w:rPr>
        <w:t>. G</w:t>
      </w:r>
      <w:r w:rsidRPr="00E73A61">
        <w:rPr>
          <w:rFonts w:ascii="Arial" w:hAnsi="Arial" w:cs="Arial"/>
          <w:sz w:val="22"/>
          <w:szCs w:val="22"/>
        </w:rPr>
        <w:t>etrieben durch die frühen, sehr günstig erworbenen Praxen (20–50 T€ Kaufpreis) mit entsprechend niedrigen Startmargen. Zwei Hebel haben die Trajektorie seither spürbar verbessert: (1) verschärfte Akquisitionskriterien</w:t>
      </w:r>
      <w:r w:rsidR="00E73A61">
        <w:rPr>
          <w:rFonts w:ascii="Arial" w:hAnsi="Arial" w:cs="Arial"/>
          <w:sz w:val="22"/>
          <w:szCs w:val="22"/>
        </w:rPr>
        <w:t xml:space="preserve">. Neue </w:t>
      </w:r>
      <w:r w:rsidRPr="00E73A61">
        <w:rPr>
          <w:rFonts w:ascii="Arial" w:hAnsi="Arial" w:cs="Arial"/>
          <w:sz w:val="22"/>
          <w:szCs w:val="22"/>
        </w:rPr>
        <w:t>Praxen müssen ab sofort direkt nach Übernahme mindestens 20 % Marge zeigen, statt günstig gekauft und schrittweise verbessert zu werden; (2) die Konsolidierung von MVZ Ludwigslust und MVZ Neustadt-Glewe zu einer Einheit in Q3 2026, die Personal- und Fixkosten senkt bei stabilem Patientenvolumen.</w:t>
      </w:r>
    </w:p>
    <w:p w14:paraId="19D74B89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t>Split GKV-Erlöse vs. sonstige Erlöse</w:t>
      </w:r>
    </w:p>
    <w:p w14:paraId="73798A47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Beispielhaft Q1/Q2 2026 aus der Honorarabrechnung (reiner KV-Anteil, ohne Zusatzumsätze):</w:t>
      </w:r>
    </w:p>
    <w:p w14:paraId="18BAB8E3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Q1 2026: 206.788 € Abrechnungssumme, 65.910 € KV-Zuschlag → 272.698 € mögliche Auszahlung</w:t>
      </w:r>
    </w:p>
    <w:p w14:paraId="4E538FF1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Q2 2026: 194.423 € Abrechnungssumme, 62.040 € KV-Zuschlag → 256.463 € mögliche Auszahlung</w:t>
      </w:r>
    </w:p>
    <w:p w14:paraId="76C5E238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t>Cash-Position, Burn-Rate &amp; Runway</w:t>
      </w:r>
    </w:p>
    <w:p w14:paraId="20847E19" w14:textId="17FE7C35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Gruppenweit aktuell: Durchschnittlicher Netto-Burn 2026 ca. 46 T€/Monat (EBIT-basiert, Durchschnitt der vier Quartale), bei aktuell ca. 70.000 € Cash-Bestand</w:t>
      </w:r>
      <w:r w:rsidR="00E73A61">
        <w:rPr>
          <w:rFonts w:ascii="Arial" w:hAnsi="Arial" w:cs="Arial"/>
          <w:sz w:val="22"/>
          <w:szCs w:val="22"/>
        </w:rPr>
        <w:t xml:space="preserve">. </w:t>
      </w:r>
      <w:r w:rsidRPr="00E73A61">
        <w:rPr>
          <w:rFonts w:ascii="Arial" w:hAnsi="Arial" w:cs="Arial"/>
          <w:sz w:val="22"/>
          <w:szCs w:val="22"/>
        </w:rPr>
        <w:t>Q1 2027 liegt mit −1.931 € EBIT bereits praktisch auf Break-even (</w:t>
      </w:r>
      <w:proofErr w:type="spellStart"/>
      <w:r w:rsidRPr="00E73A61">
        <w:rPr>
          <w:rFonts w:ascii="Arial" w:hAnsi="Arial" w:cs="Arial"/>
          <w:sz w:val="22"/>
          <w:szCs w:val="22"/>
        </w:rPr>
        <w:t>committed</w:t>
      </w:r>
      <w:proofErr w:type="spellEnd"/>
      <w:r w:rsidRPr="00E73A61">
        <w:rPr>
          <w:rFonts w:ascii="Arial" w:hAnsi="Arial" w:cs="Arial"/>
          <w:sz w:val="22"/>
          <w:szCs w:val="22"/>
        </w:rPr>
        <w:t>), ab Q2 2027 wird das Geschäft profitabel und bleibt es in jedem Folgequartal</w:t>
      </w:r>
      <w:r w:rsidR="00E73A61">
        <w:rPr>
          <w:rFonts w:ascii="Arial" w:hAnsi="Arial" w:cs="Arial"/>
          <w:sz w:val="22"/>
          <w:szCs w:val="22"/>
        </w:rPr>
        <w:t>. D</w:t>
      </w:r>
      <w:r w:rsidRPr="00E73A61">
        <w:rPr>
          <w:rFonts w:ascii="Arial" w:hAnsi="Arial" w:cs="Arial"/>
          <w:sz w:val="22"/>
          <w:szCs w:val="22"/>
        </w:rPr>
        <w:t>er Runway-Druck fällt also zeitlich mit dem Turnaround des operativen Geschäfts zusammen.</w:t>
      </w:r>
    </w:p>
    <w:p w14:paraId="15E65363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t>Praxis-Level-Unit-Economics</w:t>
      </w:r>
    </w:p>
    <w:p w14:paraId="4019A953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Zielwerte bei Neuakquisitionen (annualisiert, ab verschärften Kriterien):</w:t>
      </w:r>
    </w:p>
    <w:p w14:paraId="33819D02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Hausarztpraxis: 400 T€ Umsatz/Jahr, 123 T€ EBIT/Jahr (30,8 % Marge)</w:t>
      </w:r>
    </w:p>
    <w:p w14:paraId="0E7136FD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Pneumologie: 475 T€ Umsatz/Jahr, 155 T€ EBIT/Jahr (32,6 % Marge)</w:t>
      </w:r>
    </w:p>
    <w:p w14:paraId="2857328C" w14:textId="77777777" w:rsidR="007B5C93" w:rsidRPr="00E73A61" w:rsidRDefault="00000000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Dermatologie: 500 T€ Umsatz/Jahr, 149 T€ EBIT/Jahr (29,8 % Marge)</w:t>
      </w:r>
    </w:p>
    <w:p w14:paraId="343AE5E6" w14:textId="77777777" w:rsidR="007B5C93" w:rsidRDefault="00000000" w:rsidP="00E73A61">
      <w:pPr>
        <w:spacing w:after="80" w:line="280" w:lineRule="auto"/>
        <w:ind w:left="400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•  Psychiatrie: 425 T€ Umsatz/Jahr, 149 T€ EBIT/Jahr (35,1 % Marge)</w:t>
      </w:r>
    </w:p>
    <w:p w14:paraId="414A05DA" w14:textId="77777777" w:rsidR="00E73A61" w:rsidRPr="00E73A61" w:rsidRDefault="00E73A61" w:rsidP="00E73A61">
      <w:pPr>
        <w:spacing w:after="80" w:line="280" w:lineRule="auto"/>
        <w:ind w:left="400"/>
        <w:rPr>
          <w:rFonts w:ascii="Arial" w:eastAsia="Arial" w:hAnsi="Arial" w:cs="Arial"/>
          <w:color w:val="333333"/>
          <w:sz w:val="22"/>
          <w:szCs w:val="22"/>
        </w:rPr>
      </w:pPr>
    </w:p>
    <w:p w14:paraId="52927581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Akquisitionskriterium: mind. 300 T€ Umsatz je KV-Sitz, mind. 75 T€ Marge p. a. nach allen Kosten inkl. Arztgehalt; Kaufpreis max. 1,0–1,5× Jahresgewinn nach Arztgehalt.</w:t>
      </w:r>
    </w:p>
    <w:p w14:paraId="57B2C49B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r w:rsidRPr="00E73A61">
        <w:rPr>
          <w:rFonts w:ascii="Arial" w:hAnsi="Arial" w:cs="Arial"/>
          <w:color w:val="196B24" w:themeColor="accent3"/>
          <w:sz w:val="22"/>
          <w:szCs w:val="22"/>
        </w:rPr>
        <w:t>Akquisitions-Pipeline (Kurzstatus)</w:t>
      </w:r>
    </w:p>
    <w:p w14:paraId="002D59FC" w14:textId="469FFB43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lastRenderedPageBreak/>
        <w:t>Smart Care MVZ Schwerin (Pneumologie) ist unterzeichnet und wird in Q4 2026 aktiv</w:t>
      </w:r>
      <w:r w:rsidR="00E73A61">
        <w:rPr>
          <w:rFonts w:ascii="Arial" w:hAnsi="Arial" w:cs="Arial"/>
          <w:sz w:val="22"/>
          <w:szCs w:val="22"/>
        </w:rPr>
        <w:t>. D</w:t>
      </w:r>
      <w:r w:rsidRPr="00E73A61">
        <w:rPr>
          <w:rFonts w:ascii="Arial" w:hAnsi="Arial" w:cs="Arial"/>
          <w:sz w:val="22"/>
          <w:szCs w:val="22"/>
        </w:rPr>
        <w:t>ie erste Fachärzte-Praxis im Netzwerk. Für Berlin-Hellersdorf laufen fortgeschrittene Verhandlungen zu einer großen, umsatzstarken Hausarztpraxis; das KV-Zulassungsverfahren läuft bereits. Detaillierte Preise, exakte Übernahmedaten und die volle Pipeline über diese zwei Standorte hinaus teilen wir gerne im nächsten Schritt, sobald wir gemeinsam in eine strukturiertere Phase gehen.</w:t>
      </w:r>
    </w:p>
    <w:p w14:paraId="66E1CCB2" w14:textId="77777777" w:rsidR="007B5C93" w:rsidRPr="00E73A61" w:rsidRDefault="00000000" w:rsidP="00E73A61">
      <w:pPr>
        <w:spacing w:before="200" w:after="90"/>
        <w:rPr>
          <w:rFonts w:ascii="Arial" w:eastAsia="Arial" w:hAnsi="Arial" w:cs="Arial"/>
          <w:b/>
          <w:bCs/>
          <w:color w:val="196B24" w:themeColor="accent3"/>
          <w:sz w:val="22"/>
          <w:szCs w:val="22"/>
        </w:rPr>
      </w:pPr>
      <w:proofErr w:type="spellStart"/>
      <w:r w:rsidRPr="00E73A61">
        <w:rPr>
          <w:rFonts w:ascii="Arial" w:hAnsi="Arial" w:cs="Arial"/>
          <w:color w:val="196B24" w:themeColor="accent3"/>
          <w:sz w:val="22"/>
          <w:szCs w:val="22"/>
        </w:rPr>
        <w:t>Traction</w:t>
      </w:r>
      <w:proofErr w:type="spellEnd"/>
    </w:p>
    <w:p w14:paraId="7F76B2AF" w14:textId="2656B770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Patientenretention nach Praxis-Übernahme: unmittelbar nach Übernahme bleiben nahezu 100 % der übernommenen Patienten. Nach rund 6 Monaten sinkt der Wert auf ca. 90 %</w:t>
      </w:r>
      <w:r w:rsidR="00E73A61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E73A61">
        <w:rPr>
          <w:rFonts w:ascii="Arial" w:hAnsi="Arial" w:cs="Arial"/>
          <w:sz w:val="22"/>
          <w:szCs w:val="22"/>
        </w:rPr>
        <w:t>DIe</w:t>
      </w:r>
      <w:r w:rsidRPr="00E73A61">
        <w:rPr>
          <w:rFonts w:ascii="Arial" w:hAnsi="Arial" w:cs="Arial"/>
          <w:sz w:val="22"/>
          <w:szCs w:val="22"/>
        </w:rPr>
        <w:t>Abwanderung</w:t>
      </w:r>
      <w:proofErr w:type="spellEnd"/>
      <w:r w:rsidRPr="00E73A61">
        <w:rPr>
          <w:rFonts w:ascii="Arial" w:hAnsi="Arial" w:cs="Arial"/>
          <w:sz w:val="22"/>
          <w:szCs w:val="22"/>
        </w:rPr>
        <w:t xml:space="preserve"> betrifft vorrangig ältere Patienten, die mit der digitalen Umstellung nicht mitgehen möchten. Im Gegenzug gewinnt Smart Care in derselben Zeit gezielt jüngere Zielgruppen als Neupatienten hinzu.</w:t>
      </w:r>
    </w:p>
    <w:p w14:paraId="07B1F2FE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color w:val="333333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Seats (KV-Sitze) gewonnen in den letzten 12 Monaten: 2.</w:t>
      </w:r>
    </w:p>
    <w:p w14:paraId="50C3A0DC" w14:textId="77777777" w:rsidR="007B5C93" w:rsidRPr="00E73A61" w:rsidRDefault="007B5C93" w:rsidP="00E73A61">
      <w:pPr>
        <w:spacing w:after="100"/>
        <w:rPr>
          <w:rFonts w:ascii="Arial" w:hAnsi="Arial" w:cs="Arial"/>
          <w:sz w:val="22"/>
          <w:szCs w:val="22"/>
        </w:rPr>
      </w:pPr>
    </w:p>
    <w:p w14:paraId="7BFF06AA" w14:textId="77777777" w:rsidR="007B5C93" w:rsidRDefault="00000000" w:rsidP="00E73A61">
      <w:pPr>
        <w:spacing w:after="140" w:line="300" w:lineRule="auto"/>
        <w:rPr>
          <w:rFonts w:ascii="Arial" w:hAnsi="Arial" w:cs="Arial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Praxis-Level-EBITDA nach Plattform-/HQ-Kostenallokation sowie die tatsächlichen CAPEX- und ROI-Kennzahlen unserer letzten Konversionen teilen wir gerne im Rahmen einer NDA und sobald konkretere Konditionen Ihrerseits vorliegen — aktuell haben wir noch keine Zusage oder ein Term Sheet, auf dessen Basis wir diese Tiefe sinnvoll vorab teilen könnten.</w:t>
      </w:r>
    </w:p>
    <w:p w14:paraId="0316163C" w14:textId="77777777" w:rsidR="00E73A61" w:rsidRPr="00E73A61" w:rsidRDefault="00E73A61" w:rsidP="00E73A61">
      <w:pPr>
        <w:spacing w:after="140" w:line="300" w:lineRule="auto"/>
        <w:rPr>
          <w:rFonts w:ascii="Arial" w:eastAsia="Arial" w:hAnsi="Arial" w:cs="Arial"/>
          <w:i/>
          <w:iCs/>
          <w:color w:val="676767"/>
          <w:sz w:val="22"/>
          <w:szCs w:val="22"/>
        </w:rPr>
      </w:pPr>
    </w:p>
    <w:p w14:paraId="01AF936F" w14:textId="77777777" w:rsidR="007B5C93" w:rsidRPr="00E73A61" w:rsidRDefault="00000000" w:rsidP="00E73A61">
      <w:pPr>
        <w:spacing w:after="140" w:line="300" w:lineRule="auto"/>
        <w:rPr>
          <w:rFonts w:ascii="Arial" w:eastAsia="Arial" w:hAnsi="Arial" w:cs="Arial"/>
          <w:i/>
          <w:iCs/>
          <w:color w:val="676767"/>
          <w:sz w:val="22"/>
          <w:szCs w:val="22"/>
        </w:rPr>
      </w:pPr>
      <w:r w:rsidRPr="00E73A61">
        <w:rPr>
          <w:rFonts w:ascii="Arial" w:hAnsi="Arial" w:cs="Arial"/>
          <w:sz w:val="22"/>
          <w:szCs w:val="22"/>
        </w:rPr>
        <w:t>Ebenso die tieferen Themen — vollständiges Finanzmodell mit Praxis-für-Praxis-P&amp;L, vollständige Akquisitions-Pipeline mit Preisen, sowie den Cap Table im Detail — besprechen wir gerne im nächsten Gespräch bzw. zeigen den Cap Table wie besprochen live unter NDA.</w:t>
      </w:r>
    </w:p>
    <w:sectPr w:rsidR="007B5C93" w:rsidRPr="00E73A61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7CBD8" w14:textId="77777777" w:rsidR="004354B1" w:rsidRDefault="004354B1">
      <w:r>
        <w:separator/>
      </w:r>
    </w:p>
  </w:endnote>
  <w:endnote w:type="continuationSeparator" w:id="0">
    <w:p w14:paraId="4B72C5E2" w14:textId="77777777" w:rsidR="004354B1" w:rsidRDefault="00435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1CF4" w14:textId="77777777" w:rsidR="007B5C93" w:rsidRDefault="00000000">
    <w:pPr>
      <w:pBdr>
        <w:top w:val="single" w:sz="4" w:space="0" w:color="E0E0E0"/>
      </w:pBdr>
      <w:spacing w:before="100"/>
      <w:jc w:val="center"/>
    </w:pPr>
    <w:r>
      <w:rPr>
        <w:rFonts w:ascii="Arial" w:eastAsia="Arial" w:hAnsi="Arial" w:cs="Arial"/>
        <w:color w:val="676767"/>
        <w:sz w:val="16"/>
        <w:szCs w:val="16"/>
      </w:rPr>
      <w:t xml:space="preserve">Smart Care GmbH · Friedrich-Naumann-Allee 1 · 19288 Ludwigslust · Seite </w:t>
    </w:r>
    <w:r>
      <w:rPr>
        <w:rFonts w:ascii="Arial" w:eastAsia="Arial" w:hAnsi="Arial" w:cs="Arial"/>
        <w:color w:val="676767"/>
        <w:sz w:val="16"/>
        <w:szCs w:val="16"/>
      </w:rPr>
      <w:fldChar w:fldCharType="begin"/>
    </w:r>
    <w:r>
      <w:rPr>
        <w:rFonts w:ascii="Arial" w:eastAsia="Arial" w:hAnsi="Arial" w:cs="Arial"/>
        <w:color w:val="676767"/>
        <w:sz w:val="16"/>
        <w:szCs w:val="16"/>
      </w:rPr>
      <w:instrText>PAGE</w:instrText>
    </w:r>
    <w:r>
      <w:rPr>
        <w:rFonts w:ascii="Arial" w:eastAsia="Arial" w:hAnsi="Arial" w:cs="Arial"/>
        <w:color w:val="676767"/>
        <w:sz w:val="16"/>
        <w:szCs w:val="16"/>
      </w:rPr>
      <w:fldChar w:fldCharType="separate"/>
    </w:r>
    <w:r w:rsidR="00E73A61">
      <w:rPr>
        <w:rFonts w:ascii="Arial" w:eastAsia="Arial" w:hAnsi="Arial" w:cs="Arial"/>
        <w:noProof/>
        <w:color w:val="676767"/>
        <w:sz w:val="16"/>
        <w:szCs w:val="16"/>
      </w:rPr>
      <w:t>1</w:t>
    </w:r>
    <w:r>
      <w:rPr>
        <w:rFonts w:ascii="Arial" w:eastAsia="Arial" w:hAnsi="Arial" w:cs="Arial"/>
        <w:color w:val="67676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546A" w14:textId="77777777" w:rsidR="004354B1" w:rsidRDefault="004354B1">
      <w:r>
        <w:separator/>
      </w:r>
    </w:p>
  </w:footnote>
  <w:footnote w:type="continuationSeparator" w:id="0">
    <w:p w14:paraId="711279A5" w14:textId="77777777" w:rsidR="004354B1" w:rsidRDefault="00435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5C36" w14:textId="77777777" w:rsidR="007B5C93" w:rsidRDefault="00000000">
    <w:r>
      <w:rPr>
        <w:noProof/>
      </w:rPr>
      <w:drawing>
        <wp:inline distT="0" distB="0" distL="0" distR="0" wp14:anchorId="2479711B" wp14:editId="61F4D9C5">
          <wp:extent cx="1428750" cy="619125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8E59C9" w14:textId="77777777" w:rsidR="007B5C93" w:rsidRDefault="00000000">
    <w:pPr>
      <w:spacing w:before="70"/>
      <w:rPr>
        <w:rFonts w:ascii="Arial" w:eastAsia="Arial" w:hAnsi="Arial" w:cs="Arial"/>
        <w:b/>
        <w:bCs/>
        <w:color w:val="333333"/>
        <w:sz w:val="18"/>
        <w:szCs w:val="18"/>
      </w:rPr>
    </w:pPr>
    <w:r>
      <w:t>Smart Care GmbH</w:t>
    </w:r>
  </w:p>
  <w:p w14:paraId="04174984" w14:textId="77777777" w:rsidR="007B5C93" w:rsidRDefault="00000000">
    <w:pPr>
      <w:pBdr>
        <w:bottom w:val="single" w:sz="4" w:space="6" w:color="E0E0E0"/>
      </w:pBdr>
      <w:spacing w:after="100"/>
      <w:rPr>
        <w:rFonts w:ascii="Arial" w:eastAsia="Arial" w:hAnsi="Arial" w:cs="Arial"/>
        <w:color w:val="676767"/>
        <w:sz w:val="16"/>
        <w:szCs w:val="16"/>
      </w:rPr>
    </w:pPr>
    <w:r>
      <w:t>Friedrich-Naumann-Allee 1 · 19288 Ludwigslust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73F73"/>
    <w:multiLevelType w:val="hybridMultilevel"/>
    <w:tmpl w:val="C8FCF42E"/>
    <w:lvl w:ilvl="0" w:tplc="0407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" w15:restartNumberingAfterBreak="0">
    <w:nsid w:val="5957153D"/>
    <w:multiLevelType w:val="hybridMultilevel"/>
    <w:tmpl w:val="06B83C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2464B"/>
    <w:multiLevelType w:val="hybridMultilevel"/>
    <w:tmpl w:val="D39A4694"/>
    <w:lvl w:ilvl="0" w:tplc="312CC324">
      <w:start w:val="1"/>
      <w:numFmt w:val="bullet"/>
      <w:lvlText w:val="●"/>
      <w:lvlJc w:val="left"/>
      <w:pPr>
        <w:ind w:left="720" w:hanging="360"/>
      </w:pPr>
    </w:lvl>
    <w:lvl w:ilvl="1" w:tplc="CBECBF76">
      <w:start w:val="1"/>
      <w:numFmt w:val="bullet"/>
      <w:lvlText w:val="○"/>
      <w:lvlJc w:val="left"/>
      <w:pPr>
        <w:ind w:left="1440" w:hanging="360"/>
      </w:pPr>
    </w:lvl>
    <w:lvl w:ilvl="2" w:tplc="AAA037A0">
      <w:start w:val="1"/>
      <w:numFmt w:val="bullet"/>
      <w:lvlText w:val="■"/>
      <w:lvlJc w:val="left"/>
      <w:pPr>
        <w:ind w:left="2160" w:hanging="360"/>
      </w:pPr>
    </w:lvl>
    <w:lvl w:ilvl="3" w:tplc="5604648A">
      <w:start w:val="1"/>
      <w:numFmt w:val="bullet"/>
      <w:lvlText w:val="●"/>
      <w:lvlJc w:val="left"/>
      <w:pPr>
        <w:ind w:left="2880" w:hanging="360"/>
      </w:pPr>
    </w:lvl>
    <w:lvl w:ilvl="4" w:tplc="5EF4270A">
      <w:start w:val="1"/>
      <w:numFmt w:val="bullet"/>
      <w:lvlText w:val="○"/>
      <w:lvlJc w:val="left"/>
      <w:pPr>
        <w:ind w:left="3600" w:hanging="360"/>
      </w:pPr>
    </w:lvl>
    <w:lvl w:ilvl="5" w:tplc="38789DCE">
      <w:start w:val="1"/>
      <w:numFmt w:val="bullet"/>
      <w:lvlText w:val="■"/>
      <w:lvlJc w:val="left"/>
      <w:pPr>
        <w:ind w:left="4320" w:hanging="360"/>
      </w:pPr>
    </w:lvl>
    <w:lvl w:ilvl="6" w:tplc="5FC2255A">
      <w:start w:val="1"/>
      <w:numFmt w:val="bullet"/>
      <w:lvlText w:val="●"/>
      <w:lvlJc w:val="left"/>
      <w:pPr>
        <w:ind w:left="5040" w:hanging="360"/>
      </w:pPr>
    </w:lvl>
    <w:lvl w:ilvl="7" w:tplc="46EAFAF6">
      <w:start w:val="1"/>
      <w:numFmt w:val="bullet"/>
      <w:lvlText w:val="●"/>
      <w:lvlJc w:val="left"/>
      <w:pPr>
        <w:ind w:left="5760" w:hanging="360"/>
      </w:pPr>
    </w:lvl>
    <w:lvl w:ilvl="8" w:tplc="70E68BDA">
      <w:start w:val="1"/>
      <w:numFmt w:val="bullet"/>
      <w:lvlText w:val="●"/>
      <w:lvlJc w:val="left"/>
      <w:pPr>
        <w:ind w:left="6480" w:hanging="360"/>
      </w:pPr>
    </w:lvl>
  </w:abstractNum>
  <w:num w:numId="1" w16cid:durableId="1251431483">
    <w:abstractNumId w:val="2"/>
    <w:lvlOverride w:ilvl="0">
      <w:startOverride w:val="1"/>
    </w:lvlOverride>
  </w:num>
  <w:num w:numId="2" w16cid:durableId="2028755511">
    <w:abstractNumId w:val="0"/>
  </w:num>
  <w:num w:numId="3" w16cid:durableId="195154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C93"/>
    <w:rsid w:val="00426015"/>
    <w:rsid w:val="004354B1"/>
    <w:rsid w:val="007B5C93"/>
    <w:rsid w:val="00E7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4B82"/>
  <w15:docId w15:val="{A4FC36D9-20C0-43E3-81E2-4C9EA04F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879</Words>
  <Characters>5542</Characters>
  <Application>Microsoft Office Word</Application>
  <DocSecurity>0</DocSecurity>
  <Lines>46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Lehradt</cp:lastModifiedBy>
  <cp:revision>2</cp:revision>
  <dcterms:created xsi:type="dcterms:W3CDTF">2026-08-10T08:24:00Z</dcterms:created>
  <dcterms:modified xsi:type="dcterms:W3CDTF">2026-08-10T08:35:00Z</dcterms:modified>
</cp:coreProperties>
</file>