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400"/>
        <w:jc w:val="center"/>
      </w:pPr>
      <w:r>
        <w:drawing>
          <wp:inline distT="0" distB="0" distL="0" distR="0">
            <wp:extent cx="247650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1076325"/>
                    </a:xfrm>
                    <a:prstGeom prst="rect">
                      <a:avLst/>
                    </a:prstGeom>
                  </pic:spPr>
                </pic:pic>
              </a:graphicData>
            </a:graphic>
          </wp:inline>
        </w:drawing>
      </w:r>
    </w:p>
    <w:p>
      <w:pPr>
        <w:pStyle w:val="Heading1"/>
        <w:spacing w:after="200"/>
        <w:jc w:val="center"/>
        <w:rPr>
          <w:b/>
          <w:bCs/>
          <w:color w:val="14453A"/>
          <w:sz w:val="48"/>
          <w:szCs w:val="48"/>
        </w:rPr>
      </w:pPr>
      <w:r>
        <w:t xml:space="preserve">Smart Care GmbH</w:t>
      </w:r>
    </w:p>
    <w:p>
      <w:pPr>
        <w:spacing w:after="600"/>
        <w:jc w:val="center"/>
        <w:rPr>
          <w:b w:val="false"/>
          <w:bCs w:val="false"/>
          <w:color w:val="14453A"/>
          <w:sz w:val="32"/>
          <w:szCs w:val="32"/>
        </w:rPr>
      </w:pPr>
      <w:r>
        <w:t xml:space="preserve">Unternehmensprofil</w:t>
      </w:r>
    </w:p>
    <w:p>
      <w:pPr>
        <w:spacing w:after="800"/>
        <w:jc w:val="center"/>
        <w:rPr>
          <w:b/>
          <w:bCs/>
          <w:color w:val="1F6F5C"/>
          <w:sz w:val="20"/>
          <w:szCs w:val="20"/>
        </w:rPr>
      </w:pPr>
      <w:r>
        <w:t xml:space="preserve">Stand Januar 2026</w:t>
      </w:r>
    </w:p>
    <w:p>
      <w:pPr>
        <w:spacing w:after="200"/>
        <w:jc w:val="center"/>
        <w:rPr>
          <w:b w:val="false"/>
          <w:bCs w:val="false"/>
          <w:i/>
          <w:iCs/>
          <w:color w:val="333333"/>
          <w:sz w:val="24"/>
          <w:szCs w:val="24"/>
        </w:rPr>
      </w:pPr>
      <w:r>
        <w:t xml:space="preserve">Vom Pilotprojekt zum virtuellen MVZ.</w:t>
      </w:r>
    </w:p>
    <w:p>
      <w:pPr>
        <w:spacing w:after="600" w:line="360"/>
        <w:jc w:val="center"/>
        <w:rPr>
          <w:color w:val="1F6F5C"/>
          <w:sz w:val="22"/>
          <w:szCs w:val="22"/>
        </w:rPr>
      </w:pPr>
      <w:r>
        <w:t xml:space="preserve">Smart Care baut hausärztliche Grundversorgung in unterversorgten Regionen auf und verbindet sie über eine gemeinsame Plattform mit fachärztlicher Expertise – für Investoren, die verstehen wollen, wer wir sind, bevor sie unsere Zahlen lesen.</w:t>
      </w:r>
    </w:p>
    <w:p/>
    <w:p>
      <w:pPr>
        <w:jc w:val="center"/>
        <w:rPr>
          <w:b/>
          <w:bCs/>
          <w:color w:val="14453A"/>
          <w:sz w:val="20"/>
          <w:szCs w:val="20"/>
        </w:rPr>
      </w:pPr>
      <w:r>
        <w:t xml:space="preserve">5 aktive Praxisstandorte</w:t>
      </w:r>
    </w:p>
    <w:p>
      <w:pPr>
        <w:spacing w:after="400"/>
        <w:jc w:val="center"/>
        <w:rPr>
          <w:b/>
          <w:bCs/>
          <w:color w:val="14453A"/>
          <w:sz w:val="20"/>
          <w:szCs w:val="20"/>
        </w:rPr>
      </w:pPr>
      <w:r>
        <w:t xml:space="preserve">3 Bundesländer</w:t>
      </w:r>
    </w:p>
    <w:p>
      <w:pPr>
        <w:jc w:val="center"/>
        <w:rPr>
          <w:b/>
          <w:bCs/>
          <w:color w:val="1F6F5C"/>
          <w:sz w:val="20"/>
          <w:szCs w:val="20"/>
        </w:rPr>
      </w:pPr>
      <w:r>
        <w:t xml:space="preserve">&gt;15k Patientenkontakte pro Jahr</w:t>
      </w:r>
    </w:p>
    <w:p>
      <w:pPr>
        <w:spacing w:after="2000"/>
        <w:jc w:val="center"/>
        <w:rPr>
          <w:color w:val="333333"/>
          <w:sz w:val="18"/>
          <w:szCs w:val="18"/>
        </w:rPr>
      </w:pPr>
      <w:r>
        <w:t xml:space="preserve">Seit 2023 unter Janina Kaplan, seit 2025 unter Martin Lehradt</w:t>
      </w:r>
    </w:p>
    <w:p>
      <w:r>
        <w:br w:type="page"/>
      </w:r>
    </w:p>
    <w:p>
      <w:pPr>
        <w:pStyle w:val="Heading1"/>
        <w:spacing w:after="200" w:before="400"/>
        <w:rPr>
          <w:b/>
          <w:bCs/>
          <w:color w:val="14453A"/>
          <w:sz w:val="32"/>
          <w:szCs w:val="32"/>
        </w:rPr>
      </w:pPr>
      <w:r>
        <w:t xml:space="preserve">Herkunft</w:t>
      </w:r>
    </w:p>
    <w:p>
      <w:pPr>
        <w:pStyle w:val="Heading2"/>
        <w:spacing w:after="400"/>
        <w:rPr>
          <w:b/>
          <w:bCs/>
          <w:color w:val="333333"/>
          <w:sz w:val="24"/>
          <w:szCs w:val="24"/>
        </w:rPr>
      </w:pPr>
      <w:r>
        <w:t xml:space="preserve">Ein Unternehmen mit Geschichte – drei klar zu unterscheidende Phasen.</w:t>
      </w:r>
    </w:p>
    <w:p>
      <w:pPr>
        <w:spacing w:after="600" w:line="300"/>
        <w:rPr>
          <w:i/>
          <w:iCs/>
          <w:color w:val="1F6F5C"/>
          <w:sz w:val="22"/>
          <w:szCs w:val="22"/>
        </w:rPr>
      </w:pPr>
      <w:r>
        <w:t xml:space="preserve">Smart Care GmbH war 2005 ursprünglich als Verwaltungsgesellschaft gegründet. Seit 2023 unter Janina Kaplan, seit 2025 unter Janina &amp; Martin wird es operativ komplett neu aufgebaut. Das ist die echte Gründergeschichte.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5C" w:sz="12"/>
              <w:left w:val="none"/>
              <w:bottom w:val="none"/>
              <w:right w:val="none"/>
            </w:tcBorders>
            <w:shd w:fill="14453A" w:val="clear"/>
            <w:tcMar>
              <w:top w:type="dxa" w:w="200"/>
              <w:left w:type="dxa" w:w="200"/>
              <w:bottom w:type="dxa" w:w="200"/>
              <w:right w:type="dxa" w:w="200"/>
            </w:tcMar>
          </w:tcPr>
          <w:p>
            <w:pPr>
              <w:spacing w:after="100"/>
              <w:rPr>
                <w:b/>
                <w:bCs/>
                <w:color w:val="1F6F5C"/>
                <w:sz w:val="24"/>
                <w:szCs w:val="24"/>
              </w:rPr>
            </w:pPr>
            <w:r>
              <w:t xml:space="preserve">2005–2022</w:t>
            </w:r>
          </w:p>
          <w:p>
            <w:pPr>
              <w:spacing w:after="200"/>
              <w:rPr>
                <w:b/>
                <w:bCs/>
                <w:color w:val="FFFFFF"/>
                <w:sz w:val="22"/>
                <w:szCs w:val="22"/>
              </w:rPr>
            </w:pPr>
            <w:r>
              <w:t xml:space="preserve">Strukturelle Phase</w:t>
            </w:r>
          </w:p>
          <w:p>
            <w:pPr>
              <w:spacing w:after="0"/>
              <w:jc w:val="left"/>
              <w:rPr>
                <w:color w:val="FFFFFF"/>
                <w:sz w:val="20"/>
                <w:szCs w:val="20"/>
              </w:rPr>
            </w:pPr>
            <w:r>
              <w:t xml:space="preserve">Smart Care GmbH als passive Verwaltungsgesellschaft ohne operative Ärztpraxen. Kleine Pilotprojekte in der außerklinischen Pflege, keine Skalierung.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5C" w:sz="12"/>
              <w:left w:val="none"/>
              <w:bottom w:val="none"/>
              <w:right w:val="none"/>
            </w:tcBorders>
            <w:shd w:fill="14453A" w:val="clear"/>
            <w:tcMar>
              <w:top w:type="dxa" w:w="200"/>
              <w:left w:type="dxa" w:w="200"/>
              <w:bottom w:type="dxa" w:w="200"/>
              <w:right w:type="dxa" w:w="200"/>
            </w:tcMar>
          </w:tcPr>
          <w:p>
            <w:pPr>
              <w:spacing w:after="100"/>
              <w:rPr>
                <w:b/>
                <w:bCs/>
                <w:color w:val="1F6F5C"/>
                <w:sz w:val="24"/>
                <w:szCs w:val="24"/>
              </w:rPr>
            </w:pPr>
            <w:r>
              <w:t xml:space="preserve">2023–2024</w:t>
            </w:r>
          </w:p>
          <w:p>
            <w:pPr>
              <w:spacing w:after="200"/>
              <w:rPr>
                <w:b/>
                <w:bCs/>
                <w:color w:val="FFFFFF"/>
                <w:sz w:val="22"/>
                <w:szCs w:val="22"/>
              </w:rPr>
            </w:pPr>
            <w:r>
              <w:t xml:space="preserve">Expansion unter Janina</w:t>
            </w:r>
          </w:p>
          <w:p>
            <w:pPr>
              <w:spacing w:after="0"/>
              <w:jc w:val="left"/>
              <w:rPr>
                <w:color w:val="FFFFFF"/>
                <w:sz w:val="20"/>
                <w:szCs w:val="20"/>
              </w:rPr>
            </w:pPr>
            <w:r>
              <w:t xml:space="preserve">Dr. Janina Kaplan übernimmt mit medizinischer Leitung. Erste echte operative Hausarztpraxen, Expansion auf 3 Standorte über zwei Bundesländer, Gründung separater MVZ-Trägergesellschaften.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5C" w:sz="12"/>
              <w:left w:val="none"/>
              <w:bottom w:val="none"/>
              <w:right w:val="none"/>
            </w:tcBorders>
            <w:shd w:fill="14453A" w:val="clear"/>
            <w:tcMar>
              <w:top w:type="dxa" w:w="200"/>
              <w:left w:type="dxa" w:w="200"/>
              <w:bottom w:type="dxa" w:w="200"/>
              <w:right w:type="dxa" w:w="200"/>
            </w:tcMar>
          </w:tcPr>
          <w:p>
            <w:pPr>
              <w:spacing w:after="100"/>
              <w:rPr>
                <w:b/>
                <w:bCs/>
                <w:color w:val="1F6F5C"/>
                <w:sz w:val="24"/>
                <w:szCs w:val="24"/>
              </w:rPr>
            </w:pPr>
            <w:r>
              <w:t xml:space="preserve">Seit 2025</w:t>
            </w:r>
          </w:p>
          <w:p>
            <w:pPr>
              <w:spacing w:after="200"/>
              <w:rPr>
                <w:b/>
                <w:bCs/>
                <w:color w:val="FFFFFF"/>
                <w:sz w:val="22"/>
                <w:szCs w:val="22"/>
              </w:rPr>
            </w:pPr>
            <w:r>
              <w:t xml:space="preserve">Konzept-Neuaufbau</w:t>
            </w:r>
          </w:p>
          <w:p>
            <w:pPr>
              <w:spacing w:after="0"/>
              <w:jc w:val="left"/>
              <w:rPr>
                <w:color w:val="FFFFFF"/>
                <w:sz w:val="20"/>
                <w:szCs w:val="20"/>
              </w:rPr>
            </w:pPr>
            <w:r>
              <w:t xml:space="preserve">Martin Lehradt kommt hinzu. Radikale Neukonzeption: vom Mehrstandort-Netzwerk zum virtuellen MVZ mit zentraler Plattform, Fachärzte-Hub und intelligenter Ressourcenverteilung. Das ist die echte Gründung des Modells, das heute Smart Care ist.</w:t>
            </w:r>
          </w:p>
        </w:tc>
      </w:tr>
    </w:tbl>
    <w:p>
      <w:pPr>
        <w:spacing w:after="600" w:before="400" w:line="300"/>
        <w:rPr>
          <w:b/>
          <w:bCs/>
          <w:color w:val="333333"/>
          <w:sz w:val="20"/>
          <w:szCs w:val="20"/>
        </w:rPr>
      </w:pPr>
      <w:r>
        <w:t xml:space="preserve">Die Führung: Janina und Martin sind die operativen Gründer und Geschäftsführer von Smart Care heute. Sie haben die bestehende Unternehmensstruktur übernommen und sie seit 2023 (Janina) und besonders seit 2025 (Martin dazu) komplett neu konzipiert.</w:t>
      </w:r>
    </w:p>
    <w:p>
      <w:r>
        <w:br w:type="page"/>
      </w:r>
    </w:p>
    <w:p>
      <w:pPr>
        <w:pStyle w:val="Heading1"/>
        <w:spacing w:after="200" w:before="400"/>
        <w:rPr>
          <w:b/>
          <w:bCs/>
          <w:color w:val="14453A"/>
          <w:sz w:val="32"/>
          <w:szCs w:val="32"/>
        </w:rPr>
      </w:pPr>
      <w:r>
        <w:t xml:space="preserve">Zeitstrahl</w:t>
      </w:r>
    </w:p>
    <w:p>
      <w:pPr>
        <w:pStyle w:val="Heading2"/>
        <w:spacing w:after="400"/>
        <w:rPr>
          <w:b/>
          <w:bCs/>
          <w:color w:val="333333"/>
          <w:sz w:val="24"/>
          <w:szCs w:val="24"/>
        </w:rPr>
      </w:pPr>
      <w:r>
        <w:t xml:space="preserve">Drei Wendepunkte: 2023, 2025, und jetzt.</w:t>
      </w:r>
    </w:p>
    <w:p>
      <w:pPr>
        <w:pBdr>
          <w:left w:val="single" w:color="14453A" w:sz="12" w:space="1"/>
        </w:pBdr>
        <w:spacing w:after="300" w:before="200" w:line="280"/>
        <w:ind w:left="400"/>
      </w:pPr>
      <w:r>
        <w:rPr>
          <w:b/>
          <w:bCs/>
          <w:color w:val="14453A"/>
          <w:sz w:val="20"/>
          <w:szCs w:val="20"/>
        </w:rPr>
        <w:t xml:space="preserve">2023</w:t>
      </w:r>
      <w:r>
        <w:t xml:space="preserve"> — </w:t>
      </w:r>
      <w:r>
        <w:rPr>
          <w:b/>
          <w:bCs/>
          <w:color w:val="333333"/>
          <w:sz w:val="20"/>
          <w:szCs w:val="20"/>
        </w:rPr>
        <w:t xml:space="preserve">Janina Kaplan kommt als Mitgründerin dazu</w:t>
      </w:r>
      <w:r>
        <w:rPr>
          <w:color w:val="333333"/>
          <w:sz w:val="18"/>
          <w:szCs w:val="18"/>
        </w:rPr>
        <w:t xml:space="preserve">
Fachärztliche Leitung und medizinische Qualitätssicherung werden ins Gründerteam geholt – Voraussetzung für jede MVZ-Zulassung.</w:t>
      </w:r>
    </w:p>
    <w:p>
      <w:pPr>
        <w:pBdr>
          <w:left w:val="single" w:color="14453A" w:sz="12" w:space="1"/>
        </w:pBdr>
        <w:spacing w:after="300" w:before="200" w:line="280"/>
        <w:ind w:left="400"/>
      </w:pPr>
      <w:r>
        <w:rPr>
          <w:b/>
          <w:bCs/>
          <w:color w:val="14453A"/>
          <w:sz w:val="20"/>
          <w:szCs w:val="20"/>
        </w:rPr>
        <w:t xml:space="preserve">April 2023</w:t>
      </w:r>
      <w:r>
        <w:t xml:space="preserve"> — </w:t>
      </w:r>
      <w:r>
        <w:rPr>
          <w:b/>
          <w:bCs/>
          <w:color w:val="333333"/>
          <w:sz w:val="20"/>
          <w:szCs w:val="20"/>
        </w:rPr>
        <w:t xml:space="preserve">Zweite Praxis: Neustadt-Glewe (MV)</w:t>
      </w:r>
      <w:r>
        <w:rPr>
          <w:color w:val="333333"/>
          <w:sz w:val="18"/>
          <w:szCs w:val="18"/>
        </w:rPr>
        <w:t xml:space="preserve">
Erste Praxis außerhalb des Pilotstandorts – Beginn des Nachweises, dass das Modell wiederholbar ist.</w:t>
      </w:r>
    </w:p>
    <w:p>
      <w:pPr>
        <w:pBdr>
          <w:left w:val="single" w:color="14453A" w:sz="12" w:space="1"/>
        </w:pBdr>
        <w:spacing w:after="300" w:before="200" w:line="280"/>
        <w:ind w:left="400"/>
      </w:pPr>
      <w:r>
        <w:rPr>
          <w:b/>
          <w:bCs/>
          <w:color w:val="14453A"/>
          <w:sz w:val="20"/>
          <w:szCs w:val="20"/>
        </w:rPr>
        <w:t xml:space="preserve">Oktober 2024</w:t>
      </w:r>
      <w:r>
        <w:t xml:space="preserve"> — </w:t>
      </w:r>
      <w:r>
        <w:rPr>
          <w:b/>
          <w:bCs/>
          <w:color w:val="333333"/>
          <w:sz w:val="20"/>
          <w:szCs w:val="20"/>
        </w:rPr>
        <w:t xml:space="preserve">Erste Praxis Heidenau (Sachsen)</w:t>
      </w:r>
      <w:r>
        <w:rPr>
          <w:color w:val="333333"/>
          <w:sz w:val="18"/>
          <w:szCs w:val="18"/>
        </w:rPr>
        <w:t xml:space="preserve">
Expansion in ein zweites Bundesland – erste eigenständige MVZ-Trägergesellschaft für die dortige Kassenärztliche Vereinigung.</w:t>
      </w:r>
    </w:p>
    <w:p>
      <w:pPr>
        <w:pBdr>
          <w:left w:val="single" w:color="14453A" w:sz="12" w:space="1"/>
        </w:pBdr>
        <w:spacing w:after="300" w:before="200" w:line="280"/>
        <w:ind w:left="400"/>
      </w:pPr>
      <w:r>
        <w:rPr>
          <w:b/>
          <w:bCs/>
          <w:color w:val="14453A"/>
          <w:sz w:val="20"/>
          <w:szCs w:val="20"/>
        </w:rPr>
        <w:t xml:space="preserve">Mai 2025</w:t>
      </w:r>
      <w:r>
        <w:t xml:space="preserve"> — </w:t>
      </w:r>
      <w:r>
        <w:rPr>
          <w:b/>
          <w:bCs/>
          <w:color w:val="333333"/>
          <w:sz w:val="20"/>
          <w:szCs w:val="20"/>
        </w:rPr>
        <w:t xml:space="preserve">Praxis Ludwigslust (MV)</w:t>
      </w:r>
      <w:r>
        <w:rPr>
          <w:color w:val="333333"/>
          <w:sz w:val="18"/>
          <w:szCs w:val="18"/>
        </w:rPr>
        <w:t xml:space="preserve">
Verdichtung des Netzwerks im bestehenden Kernland Mecklenburg-Vorpommern.</w:t>
      </w:r>
    </w:p>
    <w:p>
      <w:pPr>
        <w:pBdr>
          <w:left w:val="single" w:color="1F6F5C" w:sz="12" w:space="1"/>
        </w:pBdr>
        <w:spacing w:after="300" w:before="200" w:line="280"/>
        <w:ind w:left="400"/>
      </w:pPr>
      <w:r>
        <w:rPr>
          <w:b/>
          <w:bCs/>
          <w:color w:val="1F6F5C"/>
          <w:sz w:val="20"/>
          <w:szCs w:val="20"/>
        </w:rPr>
        <w:t xml:space="preserve">Seit 2025</w:t>
      </w:r>
      <w:r>
        <w:t xml:space="preserve"> — </w:t>
      </w:r>
      <w:r>
        <w:rPr>
          <w:b/>
          <w:bCs/>
          <w:color w:val="333333"/>
          <w:sz w:val="20"/>
          <w:szCs w:val="20"/>
        </w:rPr>
        <w:t xml:space="preserve">Martin Lehradt kommt dazu – Konzept-Neuaufbau startet</w:t>
      </w:r>
      <w:r>
        <w:rPr>
          <w:color w:val="333333"/>
          <w:sz w:val="18"/>
          <w:szCs w:val="18"/>
        </w:rPr>
        <w:t xml:space="preserve">
Martin Lehradt tritt bei. Das Geschäftsmodell wird radikal umgestellt: von einer Mehrstandort-Sammlung zum virtuellen MVZ mit Plattform-Zentralisierung, KI-Analysen und integriertem Fachärzte-Hub. Das ist die echte Gründung des heutigen Smart-Care-Konzepts.</w:t>
      </w:r>
    </w:p>
    <w:p>
      <w:pPr>
        <w:pBdr>
          <w:left w:val="single" w:color="14453A" w:sz="12" w:space="1"/>
        </w:pBdr>
        <w:spacing w:after="300" w:before="200" w:line="280"/>
        <w:ind w:left="400"/>
      </w:pPr>
      <w:r>
        <w:rPr>
          <w:b/>
          <w:bCs/>
          <w:color w:val="14453A"/>
          <w:sz w:val="20"/>
          <w:szCs w:val="20"/>
        </w:rPr>
        <w:t xml:space="preserve">Oktober 2025</w:t>
      </w:r>
      <w:r>
        <w:t xml:space="preserve"> — </w:t>
      </w:r>
      <w:r>
        <w:rPr>
          <w:b/>
          <w:bCs/>
          <w:color w:val="333333"/>
          <w:sz w:val="20"/>
          <w:szCs w:val="20"/>
        </w:rPr>
        <w:t xml:space="preserve">Praxis Ludwigsfelde (Brandenburg)</w:t>
      </w:r>
      <w:r>
        <w:rPr>
          <w:color w:val="333333"/>
          <w:sz w:val="18"/>
          <w:szCs w:val="18"/>
        </w:rPr>
        <w:t xml:space="preserve">
Dritter Bundesland-Eintritt – eigene Trägergesellschaft Smart Care Brandenburg GmbH gegründet.</w:t>
      </w:r>
    </w:p>
    <w:p>
      <w:pPr>
        <w:pBdr>
          <w:left w:val="single" w:color="14453A" w:sz="12" w:space="1"/>
        </w:pBdr>
        <w:spacing w:after="300" w:before="200" w:line="280"/>
        <w:ind w:left="400"/>
      </w:pPr>
      <w:r>
        <w:rPr>
          <w:b/>
          <w:bCs/>
          <w:color w:val="14453A"/>
          <w:sz w:val="20"/>
          <w:szCs w:val="20"/>
        </w:rPr>
        <w:t xml:space="preserve">Januar 2026</w:t>
      </w:r>
      <w:r>
        <w:t xml:space="preserve"> — </w:t>
      </w:r>
      <w:r>
        <w:rPr>
          <w:b/>
          <w:bCs/>
          <w:color w:val="333333"/>
          <w:sz w:val="20"/>
          <w:szCs w:val="20"/>
        </w:rPr>
        <w:t xml:space="preserve">Ludwigsfelde II – Übernahme Smart Care Brandenburg</w:t>
      </w:r>
      <w:r>
        <w:rPr>
          <w:color w:val="333333"/>
          <w:sz w:val="18"/>
          <w:szCs w:val="18"/>
        </w:rPr>
        <w:t xml:space="preserve">
Zweiter Standort unter demselben Bundesland-Träger – erster Beleg für Skalierbarkeit einer bestehenden MVZ-GmbH.</w:t>
      </w:r>
    </w:p>
    <w:p>
      <w:r>
        <w:br w:type="page"/>
      </w:r>
    </w:p>
    <w:p>
      <w:pPr>
        <w:pStyle w:val="Heading1"/>
        <w:spacing w:after="200" w:before="400"/>
        <w:rPr>
          <w:b/>
          <w:bCs/>
          <w:color w:val="14453A"/>
          <w:sz w:val="32"/>
          <w:szCs w:val="32"/>
        </w:rPr>
      </w:pPr>
      <w:r>
        <w:t xml:space="preserve">Struktur</w:t>
      </w:r>
    </w:p>
    <w:p>
      <w:pPr>
        <w:pStyle w:val="Heading2"/>
        <w:spacing w:after="400"/>
        <w:rPr>
          <w:b/>
          <w:bCs/>
          <w:color w:val="333333"/>
          <w:sz w:val="24"/>
          <w:szCs w:val="24"/>
        </w:rPr>
      </w:pPr>
      <w:r>
        <w:t xml:space="preserve">Warum eine GmbH pro Bundesland – und Smart Care als Holding darüber?</w:t>
      </w:r>
    </w:p>
    <w:p>
      <w:pPr>
        <w:spacing w:after="400" w:line="300"/>
        <w:rPr>
          <w:i/>
          <w:iCs/>
          <w:color w:val="1F6F5C"/>
          <w:sz w:val="22"/>
          <w:szCs w:val="22"/>
        </w:rPr>
      </w:pPr>
      <w:r>
        <w:t xml:space="preserve">Die Struktur ist keine steuerliche Spielerei, sondern folgt direkt aus dem deutschen Kassenarztrecht (§ 95 SGB V) und der Art, wie Kassenärztliche Vereinigungen (KV) abrechnen.</w:t>
      </w:r>
    </w:p>
    <w:p>
      <w:pPr>
        <w:spacing w:after="100"/>
        <w:rPr>
          <w:b/>
          <w:bCs/>
          <w:color w:val="14453A"/>
          <w:sz w:val="20"/>
          <w:szCs w:val="20"/>
        </w:rPr>
      </w:pPr>
      <w:r>
        <w:t xml:space="preserve">1. Abrechnungsgrundlage je KV-Bezirk</w:t>
      </w:r>
    </w:p>
    <w:p>
      <w:pPr>
        <w:spacing w:after="300" w:line="280"/>
        <w:rPr>
          <w:color w:val="333333"/>
          <w:sz w:val="20"/>
          <w:szCs w:val="20"/>
        </w:rPr>
      </w:pPr>
      <w:r>
        <w:t xml:space="preserve">Die Kassenärztliche Vereinigung rechnet dort ab, wo die Leistung erbracht wird. Jedes MVZ braucht eine eigene Zulassung bei der zuständigen KV – eine gemeinsame bundesweite GmbH könnte das nicht abbilden.</w:t>
      </w:r>
    </w:p>
    <w:p>
      <w:pPr>
        <w:spacing w:after="100"/>
        <w:rPr>
          <w:b/>
          <w:bCs/>
          <w:color w:val="14453A"/>
          <w:sz w:val="20"/>
          <w:szCs w:val="20"/>
        </w:rPr>
      </w:pPr>
      <w:r>
        <w:t xml:space="preserve">2. Risikoverteilung zwischen Standort-Clustern</w:t>
      </w:r>
    </w:p>
    <w:p>
      <w:pPr>
        <w:spacing w:after="300" w:line="280"/>
        <w:rPr>
          <w:color w:val="333333"/>
          <w:sz w:val="20"/>
          <w:szCs w:val="20"/>
        </w:rPr>
      </w:pPr>
      <w:r>
        <w:t xml:space="preserve">Jede MVZ-Trägergesellschaft haftet eigenständig gegenüber ihrer KV. Ein Problem an einem Standort-Cluster bleibt so von den anderen Bundesländern rechtlich getrennt.</w:t>
      </w:r>
    </w:p>
    <w:p>
      <w:pPr>
        <w:spacing w:after="100"/>
        <w:rPr>
          <w:b/>
          <w:bCs/>
          <w:color w:val="14453A"/>
          <w:sz w:val="20"/>
          <w:szCs w:val="20"/>
        </w:rPr>
      </w:pPr>
      <w:r>
        <w:t xml:space="preserve">3. Smart Care GmbH als administrative Klammer</w:t>
      </w:r>
    </w:p>
    <w:p>
      <w:pPr>
        <w:spacing w:after="600" w:line="280"/>
        <w:rPr>
          <w:color w:val="333333"/>
          <w:sz w:val="20"/>
          <w:szCs w:val="20"/>
        </w:rPr>
      </w:pPr>
      <w:r>
        <w:t xml:space="preserve">Die Holding selbst erbringt keine ärztlichen Leistungen. Sie bündelt Plattform, Recruiting, Finanzen und Governance zentral – und kooperiert vertraglich mit jeder MVZ-GmbH, statt operativ in sie hinein zu regieren.</w:t>
      </w:r>
    </w:p>
    <w:p>
      <w:r>
        <w:br w:type="page"/>
      </w:r>
    </w:p>
    <w:p>
      <w:pPr>
        <w:pStyle w:val="Heading1"/>
        <w:spacing w:after="200" w:before="400"/>
        <w:rPr>
          <w:b/>
          <w:bCs/>
          <w:color w:val="14453A"/>
          <w:sz w:val="32"/>
          <w:szCs w:val="32"/>
        </w:rPr>
      </w:pPr>
      <w:r>
        <w:t xml:space="preserve">Das Modell heute</w:t>
      </w:r>
    </w:p>
    <w:p>
      <w:pPr>
        <w:pStyle w:val="Heading2"/>
        <w:spacing w:after="400"/>
        <w:rPr>
          <w:b/>
          <w:bCs/>
          <w:color w:val="333333"/>
          <w:sz w:val="24"/>
          <w:szCs w:val="24"/>
        </w:rPr>
      </w:pPr>
      <w:r>
        <w:t xml:space="preserve">Vom Hausarztsitz zum virtuellen MVZ.</w:t>
      </w:r>
    </w:p>
    <w:p>
      <w:pPr>
        <w:spacing w:after="400" w:line="300"/>
        <w:rPr>
          <w:i/>
          <w:iCs/>
          <w:color w:val="1F6F5C"/>
          <w:sz w:val="22"/>
          <w:szCs w:val="22"/>
        </w:rPr>
      </w:pPr>
      <w:r>
        <w:t xml:space="preserve">Seit 2025 ist das Zielbild klar geschichtet: Hausarztpraxen bilden das Patientenfundament, ein fachärztlicher Hub multipliziert Erlöse und Reichweite, eine gemeinsame Plattform bindet alles zusammen.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453A" w:sz="12"/>
              <w:left w:val="single" w:color="14453A" w:sz="12"/>
              <w:bottom w:val="single" w:color="14453A" w:sz="12"/>
              <w:right w:val="single" w:color="14453A" w:sz="12"/>
            </w:tcBorders>
            <w:shd w:fill="FFFFFF" w:val="clear"/>
            <w:tcMar>
              <w:top w:type="dxa" w:w="200"/>
              <w:left w:type="dxa" w:w="300"/>
              <w:bottom w:type="dxa" w:w="200"/>
              <w:right w:type="dxa" w:w="300"/>
            </w:tcMar>
          </w:tcPr>
          <w:p>
            <w:pPr>
              <w:jc w:val="center"/>
              <w:rPr>
                <w:b/>
                <w:bCs/>
                <w:color w:val="14453A"/>
                <w:sz w:val="22"/>
                <w:szCs w:val="22"/>
              </w:rPr>
            </w:pPr>
            <w:r>
              <w:t xml:space="preserve">Virtuelles MVZ</w:t>
            </w:r>
          </w:p>
          <w:p>
            <w:pPr>
              <w:spacing w:after="0"/>
              <w:jc w:val="center"/>
              <w:rPr>
                <w:color w:val="333333"/>
                <w:sz w:val="18"/>
                <w:szCs w:val="18"/>
              </w:rPr>
            </w:pPr>
            <w:r>
              <w:t xml:space="preserve">KI-gestützte Plattform · zentrale Dokumentation &amp; Steuerung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F5C" w:sz="12"/>
              <w:left w:val="single" w:color="1F6F5C" w:sz="12"/>
              <w:bottom w:val="single" w:color="1F6F5C" w:sz="12"/>
              <w:right w:val="single" w:color="1F6F5C" w:sz="12"/>
            </w:tcBorders>
            <w:shd w:fill="FFFFFF" w:val="clear"/>
            <w:tcMar>
              <w:top w:type="dxa" w:w="200"/>
              <w:left w:type="dxa" w:w="300"/>
              <w:bottom w:type="dxa" w:w="200"/>
              <w:right w:type="dxa" w:w="300"/>
            </w:tcMar>
          </w:tcPr>
          <w:p>
            <w:pPr>
              <w:jc w:val="center"/>
              <w:rPr>
                <w:b/>
                <w:bCs/>
                <w:color w:val="14453A"/>
                <w:sz w:val="22"/>
                <w:szCs w:val="22"/>
              </w:rPr>
            </w:pPr>
            <w:r>
              <w:t xml:space="preserve">Fachärztlicher Hub</w:t>
            </w:r>
          </w:p>
          <w:p>
            <w:pPr>
              <w:spacing w:after="0"/>
              <w:jc w:val="center"/>
              <w:rPr>
                <w:color w:val="333333"/>
                <w:sz w:val="18"/>
                <w:szCs w:val="18"/>
              </w:rPr>
            </w:pPr>
            <w:r>
              <w:t xml:space="preserve">Pulmologie, Kardiologie, Anästhesie – digital eingebunden, weitere Fachrichtungen geplant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76767" w:sz="12"/>
              <w:left w:val="single" w:color="676767" w:sz="12"/>
              <w:bottom w:val="single" w:color="676767" w:sz="12"/>
              <w:right w:val="single" w:color="676767" w:sz="12"/>
            </w:tcBorders>
            <w:shd w:fill="FFFFFF" w:val="clear"/>
            <w:tcMar>
              <w:top w:type="dxa" w:w="200"/>
              <w:left w:type="dxa" w:w="300"/>
              <w:bottom w:type="dxa" w:w="200"/>
              <w:right w:type="dxa" w:w="300"/>
            </w:tcMar>
          </w:tcPr>
          <w:p>
            <w:pPr>
              <w:jc w:val="center"/>
              <w:rPr>
                <w:b/>
                <w:bCs/>
                <w:color w:val="14453A"/>
                <w:sz w:val="22"/>
                <w:szCs w:val="22"/>
              </w:rPr>
            </w:pPr>
            <w:r>
              <w:t xml:space="preserve">Hausarztpraxen als Fundament</w:t>
            </w:r>
          </w:p>
          <w:p>
            <w:pPr>
              <w:spacing w:after="0"/>
              <w:jc w:val="center"/>
              <w:rPr>
                <w:color w:val="333333"/>
                <w:sz w:val="18"/>
                <w:szCs w:val="18"/>
              </w:rPr>
            </w:pPr>
            <w:r>
              <w:t xml:space="preserve">Neustadt-Glewe · Ludwigslust · Ludwigsfelde I &amp; II · Heidenau</w:t>
            </w:r>
          </w:p>
        </w:tc>
      </w:tr>
    </w:tbl>
    <w:p>
      <w:pPr>
        <w:spacing w:after="600" w:before="400" w:line="300"/>
        <w:rPr>
          <w:i/>
          <w:iCs/>
          <w:color w:val="333333"/>
          <w:sz w:val="20"/>
          <w:szCs w:val="20"/>
        </w:rPr>
      </w:pPr>
      <w:r>
        <w:t xml:space="preserve">Jede neue Fachrichtung und jedes digitale Angebot baut auf der bestehenden hausärztlichen Basis auf, statt eine parallele Struktur zu benötigen.</w:t>
      </w:r>
    </w:p>
    <w:p>
      <w:r>
        <w:br w:type="page"/>
      </w:r>
    </w:p>
    <w:p>
      <w:pPr>
        <w:pStyle w:val="Heading1"/>
        <w:spacing w:after="200" w:before="400"/>
        <w:rPr>
          <w:b/>
          <w:bCs/>
          <w:color w:val="14453A"/>
          <w:sz w:val="32"/>
          <w:szCs w:val="32"/>
        </w:rPr>
      </w:pPr>
      <w:r>
        <w:t xml:space="preserve">Patientenweg</w:t>
      </w:r>
    </w:p>
    <w:p>
      <w:pPr>
        <w:pStyle w:val="Heading2"/>
        <w:spacing w:after="400"/>
        <w:rPr>
          <w:b/>
          <w:bCs/>
          <w:color w:val="333333"/>
          <w:sz w:val="24"/>
          <w:szCs w:val="24"/>
        </w:rPr>
      </w:pPr>
      <w:r>
        <w:t xml:space="preserve">Eine Praxis. Ein digitales Behandlungsteam.</w:t>
      </w:r>
    </w:p>
    <w:p>
      <w:pPr>
        <w:spacing w:after="100" w:before="200" w:line="280"/>
      </w:pPr>
      <w:r>
        <w:rPr>
          <w:b/>
          <w:bCs/>
          <w:color w:val="14453A"/>
          <w:sz w:val="22"/>
          <w:szCs w:val="22"/>
        </w:rPr>
        <w:t xml:space="preserve">1</w:t>
      </w:r>
      <w:r>
        <w:t xml:space="preserve">  </w:t>
      </w:r>
      <w:r>
        <w:rPr>
          <w:b/>
          <w:bCs/>
          <w:color w:val="333333"/>
          <w:sz w:val="22"/>
          <w:szCs w:val="22"/>
        </w:rPr>
        <w:t xml:space="preserve">Hausarztpraxis vor Ort</w:t>
      </w:r>
      <w:r>
        <w:rPr>
          <w:color w:val="1F6F5C"/>
          <w:sz w:val="18"/>
          <w:szCs w:val="18"/>
        </w:rPr>
        <w:t xml:space="preserve">
Persönlicher Start, Basisdiagnostik und Aufnahme in die gemeinsame Patientenakte.</w:t>
      </w:r>
    </w:p>
    <w:p>
      <w:pPr>
        <w:spacing w:after="100" w:before="200" w:line="280"/>
      </w:pPr>
      <w:r>
        <w:rPr>
          <w:b/>
          <w:bCs/>
          <w:color w:val="14453A"/>
          <w:sz w:val="22"/>
          <w:szCs w:val="22"/>
        </w:rPr>
        <w:t xml:space="preserve">2</w:t>
      </w:r>
      <w:r>
        <w:t xml:space="preserve">  </w:t>
      </w:r>
      <w:r>
        <w:rPr>
          <w:b/>
          <w:bCs/>
          <w:color w:val="333333"/>
          <w:sz w:val="22"/>
          <w:szCs w:val="22"/>
        </w:rPr>
        <w:t xml:space="preserve">Kontinuierliches Monitoring</w:t>
      </w:r>
      <w:r>
        <w:rPr>
          <w:color w:val="1F6F5C"/>
          <w:sz w:val="18"/>
          <w:szCs w:val="18"/>
        </w:rPr>
        <w:t xml:space="preserve">
Vitaldaten werden – wo medizinisch sinnvoll – laufend erfasst und sicher übertragen.</w:t>
      </w:r>
    </w:p>
    <w:p>
      <w:pPr>
        <w:spacing w:after="100" w:before="200" w:line="280"/>
      </w:pPr>
      <w:r>
        <w:rPr>
          <w:b/>
          <w:bCs/>
          <w:color w:val="14453A"/>
          <w:sz w:val="22"/>
          <w:szCs w:val="22"/>
        </w:rPr>
        <w:t xml:space="preserve">3</w:t>
      </w:r>
      <w:r>
        <w:t xml:space="preserve">  </w:t>
      </w:r>
      <w:r>
        <w:rPr>
          <w:b/>
          <w:bCs/>
          <w:color w:val="333333"/>
          <w:sz w:val="22"/>
          <w:szCs w:val="22"/>
        </w:rPr>
        <w:t xml:space="preserve">Auswertung auf der Plattform</w:t>
      </w:r>
      <w:r>
        <w:rPr>
          <w:color w:val="1F6F5C"/>
          <w:sz w:val="18"/>
          <w:szCs w:val="18"/>
        </w:rPr>
        <w:t xml:space="preserve">
Befunde, Verlauf und Risikoeinschätzung laufen zentral zusammen – eine Akte für alle Beteiligten.</w:t>
      </w:r>
    </w:p>
    <w:p>
      <w:pPr>
        <w:spacing w:after="100" w:before="200" w:line="280"/>
      </w:pPr>
      <w:r>
        <w:rPr>
          <w:b/>
          <w:bCs/>
          <w:color w:val="14453A"/>
          <w:sz w:val="22"/>
          <w:szCs w:val="22"/>
        </w:rPr>
        <w:t xml:space="preserve">4</w:t>
      </w:r>
      <w:r>
        <w:t xml:space="preserve">  </w:t>
      </w:r>
      <w:r>
        <w:rPr>
          <w:b/>
          <w:bCs/>
          <w:color w:val="333333"/>
          <w:sz w:val="22"/>
          <w:szCs w:val="22"/>
        </w:rPr>
        <w:t xml:space="preserve">Facharzt wird digital zugeschaltet</w:t>
      </w:r>
      <w:r>
        <w:rPr>
          <w:color w:val="1F6F5C"/>
          <w:sz w:val="18"/>
          <w:szCs w:val="18"/>
        </w:rPr>
        <w:t xml:space="preserve">
Bei Bedarf per Videosprechstunde – ohne dass der Patient die Praxis verlassen muss.</w:t>
      </w:r>
    </w:p>
    <w:p>
      <w:pPr>
        <w:spacing w:after="100" w:before="200" w:line="280"/>
      </w:pPr>
      <w:r>
        <w:rPr>
          <w:b/>
          <w:bCs/>
          <w:color w:val="14453A"/>
          <w:sz w:val="22"/>
          <w:szCs w:val="22"/>
        </w:rPr>
        <w:t xml:space="preserve">5</w:t>
      </w:r>
      <w:r>
        <w:t xml:space="preserve">  </w:t>
      </w:r>
      <w:r>
        <w:rPr>
          <w:b/>
          <w:bCs/>
          <w:color w:val="333333"/>
          <w:sz w:val="22"/>
          <w:szCs w:val="22"/>
        </w:rPr>
        <w:t xml:space="preserve">Therapieanpassung &amp; Weiterbetreuung</w:t>
      </w:r>
      <w:r>
        <w:rPr>
          <w:color w:val="1F6F5C"/>
          <w:sz w:val="18"/>
          <w:szCs w:val="18"/>
        </w:rPr>
        <w:t xml:space="preserve">
Rezept, Überweisung und weitere Schritte laufen zurück über die Hausarztpraxis als feste Anlaufstelle.</w:t>
      </w:r>
    </w:p>
    <w:p>
      <w:pPr>
        <w:spacing w:after="600" w:before="400" w:line="300"/>
        <w:rPr>
          <w:i/>
          <w:iCs/>
          <w:color w:val="333333"/>
          <w:sz w:val="20"/>
          <w:szCs w:val="20"/>
        </w:rPr>
      </w:pPr>
      <w:r>
        <w:t xml:space="preserve">Die Hausarztpraxis bleibt die Anlaufstelle – nicht die Plattform. Alle Akteure sind real, die Plattform ist Dokumentation und Kommunikationsschicht.</w:t>
      </w:r>
    </w:p>
    <w:p>
      <w:r>
        <w:br w:type="page"/>
      </w:r>
    </w:p>
    <w:p>
      <w:pPr>
        <w:pStyle w:val="Heading1"/>
        <w:spacing w:after="200" w:before="400"/>
        <w:rPr>
          <w:b/>
          <w:bCs/>
          <w:color w:val="14453A"/>
          <w:sz w:val="32"/>
          <w:szCs w:val="32"/>
        </w:rPr>
      </w:pPr>
      <w:r>
        <w:t xml:space="preserve">Standorte &amp; Kennzahlen</w:t>
      </w:r>
    </w:p>
    <w:p>
      <w:pPr>
        <w:pStyle w:val="Heading2"/>
        <w:spacing w:after="400"/>
        <w:rPr>
          <w:b/>
          <w:bCs/>
          <w:color w:val="333333"/>
          <w:sz w:val="24"/>
          <w:szCs w:val="24"/>
        </w:rPr>
      </w:pPr>
      <w:r>
        <w:t xml:space="preserve">Fünf aktive Standorte, zwei in Vorbereitung.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3744"/>
        <w:gridCol w:w="1872"/>
      </w:tblGrid>
      <w:tr>
        <w:tc>
          <w:tcPr>
            <w:tcW w:type="dxa" w:w="3744"/>
            <w:tcBorders>
              <w:bottom w:val="single" w:color="14453A" w:sz="12"/>
            </w:tcBorders>
            <w:shd w:fill="FFFFFF" w:val="clear"/>
          </w:tcPr>
          <w:p>
            <w:pPr>
              <w:rPr>
                <w:b/>
                <w:bCs/>
                <w:color w:val="14453A"/>
              </w:rPr>
            </w:pPr>
            <w:r>
              <w:t xml:space="preserve">Standort</w:t>
            </w:r>
          </w:p>
        </w:tc>
        <w:tc>
          <w:tcPr>
            <w:tcW w:type="dxa" w:w="3744"/>
            <w:tcBorders>
              <w:bottom w:val="single" w:color="14453A" w:sz="12"/>
            </w:tcBorders>
            <w:shd w:fill="FFFFFF" w:val="clear"/>
          </w:tcPr>
          <w:p>
            <w:pPr>
              <w:rPr>
                <w:b/>
                <w:bCs/>
                <w:color w:val="14453A"/>
              </w:rPr>
            </w:pPr>
            <w:r>
              <w:t xml:space="preserve">Region</w:t>
            </w:r>
          </w:p>
        </w:tc>
        <w:tc>
          <w:tcPr>
            <w:tcW w:type="dxa" w:w="1872"/>
            <w:tcBorders>
              <w:bottom w:val="single" w:color="14453A" w:sz="12"/>
            </w:tcBorders>
            <w:shd w:fill="FFFFFF" w:val="clear"/>
          </w:tcPr>
          <w:p>
            <w:pPr>
              <w:rPr>
                <w:b/>
                <w:bCs/>
                <w:color w:val="14453A"/>
              </w:rPr>
            </w:pPr>
            <w:r>
              <w:t xml:space="preserve">Status</w:t>
            </w:r>
          </w:p>
        </w:tc>
      </w:tr>
      <w:tr>
        <w:tc>
          <w:tcPr>
            <w:tcW w:type="dxa" w:w="3744"/>
            <w:shd w:fill="FFFFFF" w:val="clear"/>
          </w:tcPr>
          <w:p>
            <w:pPr>
              <w:rPr>
                <w:color w:val="333333"/>
                <w:sz w:val="18"/>
                <w:szCs w:val="18"/>
              </w:rPr>
            </w:pPr>
            <w:r>
              <w:t xml:space="preserve">Neustadt-Glewe</w:t>
            </w:r>
          </w:p>
        </w:tc>
        <w:tc>
          <w:tcPr>
            <w:tcW w:type="dxa" w:w="3744"/>
            <w:shd w:fill="FFFFFF" w:val="clear"/>
          </w:tcPr>
          <w:p>
            <w:pPr>
              <w:rPr>
                <w:color w:val="333333"/>
                <w:sz w:val="18"/>
                <w:szCs w:val="18"/>
              </w:rPr>
            </w:pPr>
            <w:r>
              <w:t xml:space="preserve">Mecklenburg-Vorpommern</w:t>
            </w:r>
          </w:p>
        </w:tc>
        <w:tc>
          <w:tcPr>
            <w:tcW w:type="dxa" w:w="1872"/>
            <w:shd w:fill="FFFFFF" w:val="clear"/>
          </w:tcPr>
          <w:p>
            <w:pPr>
              <w:rPr>
                <w:b/>
                <w:bCs/>
                <w:color w:val="1F6F5C"/>
                <w:sz w:val="18"/>
                <w:szCs w:val="18"/>
              </w:rPr>
            </w:pPr>
            <w:r>
              <w:t xml:space="preserve">Aktiv</w:t>
            </w:r>
          </w:p>
        </w:tc>
      </w:tr>
      <w:tr>
        <w:tc>
          <w:tcPr>
            <w:tcW w:type="dxa" w:w="3744"/>
            <w:shd w:fill="FFFFFF" w:val="clear"/>
          </w:tcPr>
          <w:p>
            <w:pPr>
              <w:rPr>
                <w:color w:val="333333"/>
                <w:sz w:val="18"/>
                <w:szCs w:val="18"/>
              </w:rPr>
            </w:pPr>
            <w:r>
              <w:t xml:space="preserve">Ludwigslust</w:t>
            </w:r>
          </w:p>
        </w:tc>
        <w:tc>
          <w:tcPr>
            <w:tcW w:type="dxa" w:w="3744"/>
            <w:shd w:fill="FFFFFF" w:val="clear"/>
          </w:tcPr>
          <w:p>
            <w:pPr>
              <w:rPr>
                <w:color w:val="333333"/>
                <w:sz w:val="18"/>
                <w:szCs w:val="18"/>
              </w:rPr>
            </w:pPr>
            <w:r>
              <w:t xml:space="preserve">Mecklenburg-Vorpommern</w:t>
            </w:r>
          </w:p>
        </w:tc>
        <w:tc>
          <w:tcPr>
            <w:tcW w:type="dxa" w:w="1872"/>
            <w:shd w:fill="FFFFFF" w:val="clear"/>
          </w:tcPr>
          <w:p>
            <w:pPr>
              <w:rPr>
                <w:b/>
                <w:bCs/>
                <w:color w:val="1F6F5C"/>
                <w:sz w:val="18"/>
                <w:szCs w:val="18"/>
              </w:rPr>
            </w:pPr>
            <w:r>
              <w:t xml:space="preserve">Aktiv</w:t>
            </w:r>
          </w:p>
        </w:tc>
      </w:tr>
      <w:tr>
        <w:tc>
          <w:tcPr>
            <w:tcW w:type="dxa" w:w="3744"/>
            <w:shd w:fill="FFFFFF" w:val="clear"/>
          </w:tcPr>
          <w:p>
            <w:pPr>
              <w:rPr>
                <w:color w:val="333333"/>
                <w:sz w:val="18"/>
                <w:szCs w:val="18"/>
              </w:rPr>
            </w:pPr>
            <w:r>
              <w:t xml:space="preserve">Heidenau</w:t>
            </w:r>
          </w:p>
        </w:tc>
        <w:tc>
          <w:tcPr>
            <w:tcW w:type="dxa" w:w="3744"/>
            <w:shd w:fill="FFFFFF" w:val="clear"/>
          </w:tcPr>
          <w:p>
            <w:pPr>
              <w:rPr>
                <w:color w:val="333333"/>
                <w:sz w:val="18"/>
                <w:szCs w:val="18"/>
              </w:rPr>
            </w:pPr>
            <w:r>
              <w:t xml:space="preserve">Sachsen</w:t>
            </w:r>
          </w:p>
        </w:tc>
        <w:tc>
          <w:tcPr>
            <w:tcW w:type="dxa" w:w="1872"/>
            <w:shd w:fill="FFFFFF" w:val="clear"/>
          </w:tcPr>
          <w:p>
            <w:pPr>
              <w:rPr>
                <w:b/>
                <w:bCs/>
                <w:color w:val="1F6F5C"/>
                <w:sz w:val="18"/>
                <w:szCs w:val="18"/>
              </w:rPr>
            </w:pPr>
            <w:r>
              <w:t xml:space="preserve">Aktiv</w:t>
            </w:r>
          </w:p>
        </w:tc>
      </w:tr>
      <w:tr>
        <w:tc>
          <w:tcPr>
            <w:tcW w:type="dxa" w:w="3744"/>
            <w:shd w:fill="FFFFFF" w:val="clear"/>
          </w:tcPr>
          <w:p>
            <w:pPr>
              <w:rPr>
                <w:color w:val="333333"/>
                <w:sz w:val="18"/>
                <w:szCs w:val="18"/>
              </w:rPr>
            </w:pPr>
            <w:r>
              <w:t xml:space="preserve">Ludwigsfelde I</w:t>
            </w:r>
          </w:p>
        </w:tc>
        <w:tc>
          <w:tcPr>
            <w:tcW w:type="dxa" w:w="3744"/>
            <w:shd w:fill="FFFFFF" w:val="clear"/>
          </w:tcPr>
          <w:p>
            <w:pPr>
              <w:rPr>
                <w:color w:val="333333"/>
                <w:sz w:val="18"/>
                <w:szCs w:val="18"/>
              </w:rPr>
            </w:pPr>
            <w:r>
              <w:t xml:space="preserve">Brandenburg</w:t>
            </w:r>
          </w:p>
        </w:tc>
        <w:tc>
          <w:tcPr>
            <w:tcW w:type="dxa" w:w="1872"/>
            <w:shd w:fill="FFFFFF" w:val="clear"/>
          </w:tcPr>
          <w:p>
            <w:pPr>
              <w:rPr>
                <w:b/>
                <w:bCs/>
                <w:color w:val="1F6F5C"/>
                <w:sz w:val="18"/>
                <w:szCs w:val="18"/>
              </w:rPr>
            </w:pPr>
            <w:r>
              <w:t xml:space="preserve">Aktiv</w:t>
            </w:r>
          </w:p>
        </w:tc>
      </w:tr>
      <w:tr>
        <w:tc>
          <w:tcPr>
            <w:tcW w:type="dxa" w:w="3744"/>
            <w:shd w:fill="FFFFFF" w:val="clear"/>
          </w:tcPr>
          <w:p>
            <w:pPr>
              <w:rPr>
                <w:color w:val="333333"/>
                <w:sz w:val="18"/>
                <w:szCs w:val="18"/>
              </w:rPr>
            </w:pPr>
            <w:r>
              <w:t xml:space="preserve">Ludwigsfelde II</w:t>
            </w:r>
          </w:p>
        </w:tc>
        <w:tc>
          <w:tcPr>
            <w:tcW w:type="dxa" w:w="3744"/>
            <w:shd w:fill="FFFFFF" w:val="clear"/>
          </w:tcPr>
          <w:p>
            <w:pPr>
              <w:rPr>
                <w:color w:val="333333"/>
                <w:sz w:val="18"/>
                <w:szCs w:val="18"/>
              </w:rPr>
            </w:pPr>
            <w:r>
              <w:t xml:space="preserve">Brandenburg</w:t>
            </w:r>
          </w:p>
        </w:tc>
        <w:tc>
          <w:tcPr>
            <w:tcW w:type="dxa" w:w="1872"/>
            <w:shd w:fill="FFFFFF" w:val="clear"/>
          </w:tcPr>
          <w:p>
            <w:pPr>
              <w:rPr>
                <w:b/>
                <w:bCs/>
                <w:color w:val="1F6F5C"/>
                <w:sz w:val="18"/>
                <w:szCs w:val="18"/>
              </w:rPr>
            </w:pPr>
            <w:r>
              <w:t xml:space="preserve">Aktiv</w:t>
            </w:r>
          </w:p>
        </w:tc>
      </w:tr>
      <w:tr>
        <w:tc>
          <w:tcPr>
            <w:tcW w:type="dxa" w:w="3744"/>
            <w:shd w:fill="FFFFFF" w:val="clear"/>
          </w:tcPr>
          <w:p>
            <w:pPr>
              <w:rPr>
                <w:color w:val="333333"/>
                <w:sz w:val="18"/>
                <w:szCs w:val="18"/>
              </w:rPr>
            </w:pPr>
            <w:r>
              <w:t xml:space="preserve">Pulmologie Schwerin</w:t>
            </w:r>
          </w:p>
        </w:tc>
        <w:tc>
          <w:tcPr>
            <w:tcW w:type="dxa" w:w="3744"/>
            <w:shd w:fill="FFFFFF" w:val="clear"/>
          </w:tcPr>
          <w:p>
            <w:pPr>
              <w:rPr>
                <w:color w:val="333333"/>
                <w:sz w:val="18"/>
                <w:szCs w:val="18"/>
              </w:rPr>
            </w:pPr>
            <w:r>
              <w:t xml:space="preserve">Mecklenburg-Vorpommern</w:t>
            </w:r>
          </w:p>
        </w:tc>
        <w:tc>
          <w:tcPr>
            <w:tcW w:type="dxa" w:w="1872"/>
            <w:shd w:fill="FFFFFF" w:val="clear"/>
          </w:tcPr>
          <w:p>
            <w:pPr>
              <w:rPr>
                <w:b/>
                <w:bCs/>
                <w:color w:val="1F6F5C"/>
                <w:sz w:val="18"/>
                <w:szCs w:val="18"/>
              </w:rPr>
            </w:pPr>
            <w:r>
              <w:t xml:space="preserve">In Aufbau</w:t>
            </w:r>
          </w:p>
        </w:tc>
      </w:tr>
      <w:tr>
        <w:tc>
          <w:tcPr>
            <w:tcW w:type="dxa" w:w="3744"/>
            <w:shd w:fill="FFFFFF" w:val="clear"/>
          </w:tcPr>
          <w:p>
            <w:pPr>
              <w:rPr>
                <w:color w:val="333333"/>
                <w:sz w:val="18"/>
                <w:szCs w:val="18"/>
              </w:rPr>
            </w:pPr>
            <w:r>
              <w:t xml:space="preserve">Hellersdorf</w:t>
            </w:r>
          </w:p>
        </w:tc>
        <w:tc>
          <w:tcPr>
            <w:tcW w:type="dxa" w:w="3744"/>
            <w:shd w:fill="FFFFFF" w:val="clear"/>
          </w:tcPr>
          <w:p>
            <w:pPr>
              <w:rPr>
                <w:color w:val="333333"/>
                <w:sz w:val="18"/>
                <w:szCs w:val="18"/>
              </w:rPr>
            </w:pPr>
            <w:r>
              <w:t xml:space="preserve">Berlin-nah</w:t>
            </w:r>
          </w:p>
        </w:tc>
        <w:tc>
          <w:tcPr>
            <w:tcW w:type="dxa" w:w="1872"/>
            <w:shd w:fill="FFFFFF" w:val="clear"/>
          </w:tcPr>
          <w:p>
            <w:pPr>
              <w:rPr>
                <w:b/>
                <w:bCs/>
                <w:color w:val="1F6F5C"/>
                <w:sz w:val="18"/>
                <w:szCs w:val="18"/>
              </w:rPr>
            </w:pPr>
            <w:r>
              <w:t xml:space="preserve">Geplant</w:t>
            </w:r>
          </w:p>
        </w:tc>
      </w:tr>
    </w:tbl>
    <w:p>
      <w:pPr>
        <w:pStyle w:val="Heading3"/>
        <w:spacing w:after="300" w:before="400"/>
        <w:rPr>
          <w:b/>
          <w:bCs/>
          <w:color w:val="14453A"/>
          <w:sz w:val="22"/>
          <w:szCs w:val="22"/>
        </w:rPr>
      </w:pPr>
      <w:r>
        <w:t xml:space="preserve">Kernkennzahlen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6F5C" w:sz="12"/>
              <w:left w:val="none"/>
              <w:bottom w:val="none"/>
              <w:right w:val="none"/>
            </w:tcBorders>
            <w:shd w:fill="FFFFFF" w:val="clear"/>
            <w:tcMar>
              <w:top w:type="dxa" w:w="200"/>
              <w:left w:type="dxa" w:w="200"/>
              <w:bottom w:type="dxa" w:w="200"/>
              <w:right w:type="dxa" w:w="200"/>
            </w:tcMar>
          </w:tcPr>
          <w:p>
            <w:pPr>
              <w:rPr>
                <w:b/>
                <w:bCs/>
                <w:color w:val="1F6F5C"/>
                <w:sz w:val="24"/>
                <w:szCs w:val="24"/>
              </w:rPr>
            </w:pPr>
            <w:r>
              <w:t xml:space="preserve">&gt;15k</w:t>
            </w:r>
          </w:p>
          <w:p>
            <w:pPr>
              <w:rPr>
                <w:color w:val="333333"/>
                <w:sz w:val="16"/>
                <w:szCs w:val="16"/>
              </w:rPr>
            </w:pPr>
            <w:r>
              <w:t xml:space="preserve">Patientenkontakte/Jahr</w:t>
            </w:r>
          </w:p>
        </w:tc>
        <w:tc>
          <w:tcPr>
            <w:tcW w:type="dxa" w:w="2340"/>
            <w:tcBorders>
              <w:top w:val="single" w:color="14453A" w:sz="12"/>
              <w:left w:val="none"/>
              <w:bottom w:val="none"/>
              <w:right w:val="none"/>
            </w:tcBorders>
            <w:shd w:fill="FFFFFF" w:val="clear"/>
            <w:tcMar>
              <w:top w:type="dxa" w:w="200"/>
              <w:left w:type="dxa" w:w="200"/>
              <w:bottom w:type="dxa" w:w="200"/>
              <w:right w:type="dxa" w:w="200"/>
            </w:tcMar>
          </w:tcPr>
          <w:p>
            <w:pPr>
              <w:rPr>
                <w:b/>
                <w:bCs/>
                <w:color w:val="14453A"/>
                <w:sz w:val="24"/>
                <w:szCs w:val="24"/>
              </w:rPr>
            </w:pPr>
            <w:r>
              <w:t xml:space="preserve">25+</w:t>
            </w:r>
          </w:p>
          <w:p>
            <w:pPr>
              <w:rPr>
                <w:color w:val="333333"/>
                <w:sz w:val="16"/>
                <w:szCs w:val="16"/>
              </w:rPr>
            </w:pPr>
            <w:r>
              <w:t xml:space="preserve">Mitarbeitende</w:t>
            </w:r>
          </w:p>
        </w:tc>
        <w:tc>
          <w:tcPr>
            <w:tcW w:type="dxa" w:w="2340"/>
            <w:tcBorders>
              <w:top w:val="single" w:color="1F6F5C" w:sz="12"/>
              <w:left w:val="none"/>
              <w:bottom w:val="none"/>
              <w:right w:val="none"/>
            </w:tcBorders>
            <w:shd w:fill="FFFFFF" w:val="clear"/>
            <w:tcMar>
              <w:top w:type="dxa" w:w="200"/>
              <w:left w:type="dxa" w:w="200"/>
              <w:bottom w:type="dxa" w:w="200"/>
              <w:right w:type="dxa" w:w="200"/>
            </w:tcMar>
          </w:tcPr>
          <w:p>
            <w:pPr>
              <w:rPr>
                <w:b/>
                <w:bCs/>
                <w:color w:val="1F6F5C"/>
                <w:sz w:val="24"/>
                <w:szCs w:val="24"/>
              </w:rPr>
            </w:pPr>
            <w:r>
              <w:t xml:space="preserve">20+</w:t>
            </w:r>
          </w:p>
          <w:p>
            <w:pPr>
              <w:rPr>
                <w:color w:val="333333"/>
                <w:sz w:val="16"/>
                <w:szCs w:val="16"/>
              </w:rPr>
            </w:pPr>
            <w:r>
              <w:t xml:space="preserve">Partner Häusliche Versorgung</w:t>
            </w:r>
          </w:p>
        </w:tc>
        <w:tc>
          <w:tcPr>
            <w:tcW w:type="dxa" w:w="2340"/>
            <w:tcBorders>
              <w:top w:val="single" w:color="14453A" w:sz="12"/>
              <w:left w:val="none"/>
              <w:bottom w:val="none"/>
              <w:right w:val="none"/>
            </w:tcBorders>
            <w:shd w:fill="FFFFFF" w:val="clear"/>
            <w:tcMar>
              <w:top w:type="dxa" w:w="200"/>
              <w:left w:type="dxa" w:w="200"/>
              <w:bottom w:type="dxa" w:w="200"/>
              <w:right w:type="dxa" w:w="200"/>
            </w:tcMar>
          </w:tcPr>
          <w:p>
            <w:pPr>
              <w:rPr>
                <w:b/>
                <w:bCs/>
                <w:color w:val="14453A"/>
                <w:sz w:val="24"/>
                <w:szCs w:val="24"/>
              </w:rPr>
            </w:pPr>
            <w:r>
              <w:t xml:space="preserve">3</w:t>
            </w:r>
          </w:p>
          <w:p>
            <w:pPr>
              <w:rPr>
                <w:color w:val="333333"/>
                <w:sz w:val="16"/>
                <w:szCs w:val="16"/>
              </w:rPr>
            </w:pPr>
            <w:r>
              <w:t xml:space="preserve">Bundesländer</w:t>
            </w:r>
          </w:p>
        </w:tc>
      </w:tr>
    </w:tbl>
    <w:p>
      <w:r>
        <w:br w:type="page"/>
      </w:r>
    </w:p>
    <w:p>
      <w:pPr>
        <w:spacing w:after="100" w:before="800"/>
        <w:jc w:val="center"/>
        <w:rPr>
          <w:b/>
          <w:bCs/>
          <w:color w:val="14453A"/>
          <w:sz w:val="22"/>
          <w:szCs w:val="22"/>
        </w:rPr>
      </w:pPr>
      <w:r>
        <w:t xml:space="preserve">Smart Care GmbH</w:t>
      </w:r>
    </w:p>
    <w:p>
      <w:pPr>
        <w:spacing w:after="400"/>
        <w:jc w:val="center"/>
        <w:rPr>
          <w:color w:val="1F6F5C"/>
          <w:sz w:val="20"/>
          <w:szCs w:val="20"/>
        </w:rPr>
      </w:pPr>
      <w:r>
        <w:t xml:space="preserve">smartcarehealth.de</w:t>
      </w:r>
    </w:p>
    <w:p>
      <w:pPr>
        <w:spacing w:after="200"/>
        <w:jc w:val="center"/>
        <w:rPr>
          <w:color w:val="676767"/>
          <w:sz w:val="16"/>
          <w:szCs w:val="16"/>
        </w:rPr>
      </w:pPr>
      <w:r>
        <w:t xml:space="preserve">Friedrich-Naumann-Allee 1 · 19288 Ludwigslust</w:t>
      </w:r>
    </w:p>
    <w:p>
      <w:pPr>
        <w:spacing w:after="200"/>
        <w:jc w:val="center"/>
        <w:rPr>
          <w:i/>
          <w:iCs/>
          <w:color w:val="676767"/>
          <w:sz w:val="16"/>
          <w:szCs w:val="16"/>
        </w:rPr>
      </w:pPr>
      <w:r>
        <w:t xml:space="preserve">Vertraulich · Vorbereitet als Einstieg vor Finanzunterlagen, BWA und Strukturübersicht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2b7e7fc833d5786b962ac1ffcc0cbe82bf368f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2026-08-07T09:51:49.339Z</dcterms:created>
  <dcterms:modified xsi:type="dcterms:W3CDTF">2026-08-07T09:51:49.344Z</dcterms:modified>
</cp:coreProperties>
</file>

<file path=docProps/custom.xml><?xml version="1.0" encoding="utf-8"?>
<Properties xmlns="http://schemas.openxmlformats.org/officeDocument/2006/custom-properties" xmlns:vt="http://schemas.openxmlformats.org/officeDocument/2006/docPropsVTypes"/>
</file>