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utoevaluación-fase-2-camilo-fuenzalida"/>
    <w:p>
      <w:pPr>
        <w:pStyle w:val="Heading1"/>
      </w:pPr>
      <w:r>
        <w:t xml:space="preserve">Autoevaluación Fase 2 – Camilo Fuenzalida</w:t>
      </w:r>
    </w:p>
    <w:bookmarkStart w:id="20" w:name="datos"/>
    <w:p>
      <w:pPr>
        <w:pStyle w:val="Heading2"/>
      </w:pPr>
      <w:r>
        <w:t xml:space="preserve">Datos</w:t>
      </w:r>
    </w:p>
    <w:tbl>
      <w:tblPr>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592"/>
        <w:gridCol w:w="6768"/>
      </w:tblGrid>
      <w:tr>
        <w:trPr>
          <w:tblHeader w:val="true"/>
        </w:trPr>
        <w:tc>
          <w:tcPr>
            <w:tcW w:type="dxa" w:w="2592"/>
          </w:tcPr>
          <w:p>
            <w:pPr>
              <w:pStyle w:val="Compact"/>
              <w:jc w:val="left"/>
            </w:pPr>
            <w:r>
              <w:t xml:space="preserve">Campo</w:t>
            </w:r>
          </w:p>
        </w:tc>
        <w:tc>
          <w:tcPr>
            <w:tcW w:type="dxa" w:w="6768"/>
          </w:tcPr>
          <w:p>
            <w:pPr>
              <w:pStyle w:val="Compact"/>
              <w:jc w:val="left"/>
            </w:pPr>
            <w:r>
              <w:t xml:space="preserve">Detalle</w:t>
            </w:r>
          </w:p>
        </w:tc>
      </w:tr>
      <w:tr>
        <w:tc>
          <w:tcPr>
            <w:tcW w:type="dxa" w:w="2592"/>
          </w:tcPr>
          <w:p>
            <w:pPr>
              <w:pStyle w:val="Compact"/>
              <w:jc w:val="left"/>
            </w:pPr>
            <w:r>
              <w:t xml:space="preserve">Asignatura</w:t>
            </w:r>
          </w:p>
        </w:tc>
        <w:tc>
          <w:tcPr>
            <w:tcW w:type="dxa" w:w="6768"/>
          </w:tcPr>
          <w:p>
            <w:pPr>
              <w:pStyle w:val="Compact"/>
              <w:jc w:val="left"/>
            </w:pPr>
            <w:r>
              <w:t xml:space="preserve">PTY4614 Capstone</w:t>
            </w:r>
          </w:p>
        </w:tc>
      </w:tr>
      <w:tr>
        <w:tc>
          <w:tcPr>
            <w:tcW w:type="dxa" w:w="2592"/>
          </w:tcPr>
          <w:p>
            <w:pPr>
              <w:pStyle w:val="Compact"/>
              <w:jc w:val="left"/>
            </w:pPr>
            <w:r>
              <w:t xml:space="preserve">Evaluación</w:t>
            </w:r>
          </w:p>
        </w:tc>
        <w:tc>
          <w:tcPr>
            <w:tcW w:type="dxa" w:w="6768"/>
          </w:tcPr>
          <w:p>
            <w:pPr>
              <w:pStyle w:val="Compact"/>
              <w:jc w:val="left"/>
            </w:pPr>
            <w:r>
              <w:t xml:space="preserve">Autoevaluación Informe de avance Proyecto APT (Fase 2, semana 9)</w:t>
            </w:r>
          </w:p>
        </w:tc>
      </w:tr>
      <w:tr>
        <w:tc>
          <w:tcPr>
            <w:tcW w:type="dxa" w:w="2592"/>
          </w:tcPr>
          <w:p>
            <w:pPr>
              <w:pStyle w:val="Compact"/>
              <w:jc w:val="left"/>
            </w:pPr>
            <w:r>
              <w:t xml:space="preserve">Proyecto</w:t>
            </w:r>
          </w:p>
        </w:tc>
        <w:tc>
          <w:tcPr>
            <w:tcW w:type="dxa" w:w="6768"/>
          </w:tcPr>
          <w:p>
            <w:pPr>
              <w:pStyle w:val="Compact"/>
              <w:jc w:val="left"/>
            </w:pPr>
            <w:r>
              <w:t xml:space="preserve">K-Secure: sistema de clasificación de datos sensibles</w:t>
            </w:r>
          </w:p>
        </w:tc>
      </w:tr>
      <w:tr>
        <w:tc>
          <w:tcPr>
            <w:tcW w:type="dxa" w:w="2592"/>
          </w:tcPr>
          <w:p>
            <w:pPr>
              <w:pStyle w:val="Compact"/>
              <w:jc w:val="left"/>
            </w:pPr>
            <w:r>
              <w:t xml:space="preserve">Estudiante</w:t>
            </w:r>
          </w:p>
        </w:tc>
        <w:tc>
          <w:tcPr>
            <w:tcW w:type="dxa" w:w="6768"/>
          </w:tcPr>
          <w:p>
            <w:pPr>
              <w:pStyle w:val="Compact"/>
              <w:jc w:val="left"/>
            </w:pPr>
            <w:r>
              <w:t xml:space="preserve">Camilo Fuenzalida</w:t>
            </w:r>
          </w:p>
        </w:tc>
      </w:tr>
      <w:tr>
        <w:tc>
          <w:tcPr>
            <w:tcW w:type="dxa" w:w="2592"/>
          </w:tcPr>
          <w:p>
            <w:pPr>
              <w:pStyle w:val="Compact"/>
              <w:jc w:val="left"/>
            </w:pPr>
            <w:r>
              <w:t xml:space="preserve">Equipo</w:t>
            </w:r>
          </w:p>
        </w:tc>
        <w:tc>
          <w:tcPr>
            <w:tcW w:type="dxa" w:w="6768"/>
          </w:tcPr>
          <w:p>
            <w:pPr>
              <w:pStyle w:val="Compact"/>
              <w:jc w:val="left"/>
            </w:pPr>
            <w:r>
              <w:t xml:space="preserve">Camilo Fuenzalida, Martín Campos, Emanuel Farías</w:t>
            </w:r>
          </w:p>
        </w:tc>
      </w:tr>
    </w:tbl>
    <w:bookmarkEnd w:id="20"/>
    <w:bookmarkStart w:id="21" w:name="autoevaluación-por-indicador"/>
    <w:p>
      <w:pPr>
        <w:pStyle w:val="Heading2"/>
      </w:pPr>
      <w:r>
        <w:t xml:space="preserve">Autoevaluación por indicador</w:t>
      </w:r>
    </w:p>
    <w:tbl>
      <w:tblPr>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304"/>
        <w:gridCol w:w="864"/>
        <w:gridCol w:w="1872"/>
        <w:gridCol w:w="4320"/>
      </w:tblGrid>
      <w:tr>
        <w:trPr>
          <w:tblHeader w:val="true"/>
        </w:trPr>
        <w:tc>
          <w:tcPr>
            <w:tcW w:type="dxa" w:w="2304"/>
          </w:tcPr>
          <w:p>
            <w:pPr>
              <w:pStyle w:val="Compact"/>
              <w:jc w:val="left"/>
            </w:pPr>
            <w:r>
              <w:t xml:space="preserve">Indicador</w:t>
            </w:r>
          </w:p>
        </w:tc>
        <w:tc>
          <w:tcPr>
            <w:tcW w:type="dxa" w:w="864"/>
          </w:tcPr>
          <w:p>
            <w:pPr>
              <w:pStyle w:val="Compact"/>
              <w:jc w:val="left"/>
            </w:pPr>
            <w:r>
              <w:t xml:space="preserve">Pond.</w:t>
            </w:r>
          </w:p>
        </w:tc>
        <w:tc>
          <w:tcPr>
            <w:tcW w:type="dxa" w:w="1872"/>
          </w:tcPr>
          <w:p>
            <w:pPr>
              <w:pStyle w:val="Compact"/>
              <w:jc w:val="left"/>
            </w:pPr>
            <w:r>
              <w:t xml:space="preserve">Nivel</w:t>
            </w:r>
          </w:p>
        </w:tc>
        <w:tc>
          <w:tcPr>
            <w:tcW w:type="dxa" w:w="4320"/>
          </w:tcPr>
          <w:p>
            <w:pPr>
              <w:pStyle w:val="Compact"/>
              <w:jc w:val="left"/>
            </w:pPr>
            <w:r>
              <w:t xml:space="preserve">Justificación</w:t>
            </w:r>
          </w:p>
        </w:tc>
      </w:tr>
      <w:tr>
        <w:tc>
          <w:tcPr>
            <w:tcW w:type="dxa" w:w="2304"/>
          </w:tcPr>
          <w:p>
            <w:pPr>
              <w:pStyle w:val="Compact"/>
              <w:jc w:val="left"/>
            </w:pPr>
            <w:r>
              <w:t xml:space="preserve">1. Propone ajustes al Proyecto APT</w:t>
            </w:r>
          </w:p>
        </w:tc>
        <w:tc>
          <w:tcPr>
            <w:tcW w:type="dxa" w:w="864"/>
          </w:tcPr>
          <w:p>
            <w:pPr>
              <w:pStyle w:val="Compact"/>
              <w:jc w:val="left"/>
            </w:pPr>
            <w:r>
              <w:t xml:space="preserve">20%</w:t>
            </w:r>
          </w:p>
        </w:tc>
        <w:tc>
          <w:tcPr>
            <w:tcW w:type="dxa" w:w="1872"/>
          </w:tcPr>
          <w:p>
            <w:pPr>
              <w:pStyle w:val="Compact"/>
              <w:jc w:val="left"/>
            </w:pPr>
            <w:r>
              <w:t xml:space="preserve">Completamente logrado (100%)</w:t>
            </w:r>
          </w:p>
        </w:tc>
        <w:tc>
          <w:tcPr>
            <w:tcW w:type="dxa" w:w="4320"/>
          </w:tcPr>
          <w:p>
            <w:pPr>
              <w:pStyle w:val="Compact"/>
              <w:jc w:val="left"/>
            </w:pPr>
            <w:r>
              <w:t xml:space="preserve">Rehicimos K-Secure desde cero en Python, siguiendo la arquitectura de ferret-scan, por la retroalimentación del docente y porque el código anterior era difícil de mantener. También acotamos el alcance a la capa de clasificación que alimenta a un DLP.</w:t>
            </w:r>
          </w:p>
        </w:tc>
      </w:tr>
      <w:tr>
        <w:tc>
          <w:tcPr>
            <w:tcW w:type="dxa" w:w="2304"/>
          </w:tcPr>
          <w:p>
            <w:pPr>
              <w:pStyle w:val="Compact"/>
              <w:jc w:val="left"/>
            </w:pPr>
            <w:r>
              <w:t xml:space="preserve">2. Aplica una metodología</w:t>
            </w:r>
          </w:p>
        </w:tc>
        <w:tc>
          <w:tcPr>
            <w:tcW w:type="dxa" w:w="864"/>
          </w:tcPr>
          <w:p>
            <w:pPr>
              <w:pStyle w:val="Compact"/>
              <w:jc w:val="left"/>
            </w:pPr>
            <w:r>
              <w:t xml:space="preserve">20%</w:t>
            </w:r>
          </w:p>
        </w:tc>
        <w:tc>
          <w:tcPr>
            <w:tcW w:type="dxa" w:w="1872"/>
          </w:tcPr>
          <w:p>
            <w:pPr>
              <w:pStyle w:val="Compact"/>
              <w:jc w:val="left"/>
            </w:pPr>
            <w:r>
              <w:t xml:space="preserve">Logrado (60%)</w:t>
            </w:r>
          </w:p>
        </w:tc>
        <w:tc>
          <w:tcPr>
            <w:tcW w:type="dxa" w:w="4320"/>
          </w:tcPr>
          <w:p>
            <w:pPr>
              <w:pStyle w:val="Compact"/>
              <w:jc w:val="left"/>
            </w:pPr>
            <w:r>
              <w:t xml:space="preserve">Seguimos la metodología definida, pero el reinicio del desarrollo retrasó parte de los objetivos planificados para este avance.</w:t>
            </w:r>
          </w:p>
        </w:tc>
      </w:tr>
      <w:tr>
        <w:tc>
          <w:tcPr>
            <w:tcW w:type="dxa" w:w="2304"/>
          </w:tcPr>
          <w:p>
            <w:pPr>
              <w:pStyle w:val="Compact"/>
              <w:jc w:val="left"/>
            </w:pPr>
            <w:r>
              <w:t xml:space="preserve">3. Genera evidencias del avance</w:t>
            </w:r>
          </w:p>
        </w:tc>
        <w:tc>
          <w:tcPr>
            <w:tcW w:type="dxa" w:w="864"/>
          </w:tcPr>
          <w:p>
            <w:pPr>
              <w:pStyle w:val="Compact"/>
              <w:jc w:val="left"/>
            </w:pPr>
            <w:r>
              <w:t xml:space="preserve">25%</w:t>
            </w:r>
          </w:p>
        </w:tc>
        <w:tc>
          <w:tcPr>
            <w:tcW w:type="dxa" w:w="1872"/>
          </w:tcPr>
          <w:p>
            <w:pPr>
              <w:pStyle w:val="Compact"/>
              <w:jc w:val="left"/>
            </w:pPr>
            <w:r>
              <w:t xml:space="preserve">Logrado (60%)</w:t>
            </w:r>
          </w:p>
        </w:tc>
        <w:tc>
          <w:tcPr>
            <w:tcW w:type="dxa" w:w="4320"/>
          </w:tcPr>
          <w:p>
            <w:pPr>
              <w:pStyle w:val="Compact"/>
              <w:jc w:val="left"/>
            </w:pPr>
            <w:r>
              <w:t xml:space="preserve">El motor de escaneo procesa CSV, DOCX, XLSX y PDF, clasifica RUT (validación Módulo 11), correos, teléfonos y tarjetas por nivel de criticidad, y funciona con una API REST en FastAPI conectada a PostgreSQL y pruebas unitarias con pytest. Faltan capturas, reportes generados y commits como evidencia formal.</w:t>
            </w:r>
          </w:p>
        </w:tc>
      </w:tr>
      <w:tr>
        <w:tc>
          <w:tcPr>
            <w:tcW w:type="dxa" w:w="2304"/>
          </w:tcPr>
          <w:p>
            <w:pPr>
              <w:pStyle w:val="Compact"/>
              <w:jc w:val="left"/>
            </w:pPr>
            <w:r>
              <w:t xml:space="preserve">4. Lenguaje técnico</w:t>
            </w:r>
          </w:p>
        </w:tc>
        <w:tc>
          <w:tcPr>
            <w:tcW w:type="dxa" w:w="864"/>
          </w:tcPr>
          <w:p>
            <w:pPr>
              <w:pStyle w:val="Compact"/>
              <w:jc w:val="left"/>
            </w:pPr>
            <w:r>
              <w:t xml:space="preserve">5%</w:t>
            </w:r>
          </w:p>
        </w:tc>
        <w:tc>
          <w:tcPr>
            <w:tcW w:type="dxa" w:w="1872"/>
          </w:tcPr>
          <w:p>
            <w:pPr>
              <w:pStyle w:val="Compact"/>
              <w:jc w:val="left"/>
            </w:pPr>
            <w:r>
              <w:t xml:space="preserve">Completamente logrado (100%)</w:t>
            </w:r>
          </w:p>
        </w:tc>
        <w:tc>
          <w:tcPr>
            <w:tcW w:type="dxa" w:w="4320"/>
          </w:tcPr>
          <w:p>
            <w:pPr>
              <w:pStyle w:val="Compact"/>
              <w:jc w:val="left"/>
            </w:pPr>
            <w:r>
              <w:t xml:space="preserve">Uso términos propios de la disciplina: DLP, clasificación de datos, expresiones regulares, Módulo 11, niveles de criticidad.</w:t>
            </w:r>
          </w:p>
        </w:tc>
      </w:tr>
      <w:tr>
        <w:tc>
          <w:tcPr>
            <w:tcW w:type="dxa" w:w="2304"/>
          </w:tcPr>
          <w:p>
            <w:pPr>
              <w:pStyle w:val="Compact"/>
              <w:jc w:val="left"/>
            </w:pPr>
            <w:r>
              <w:t xml:space="preserve">5. Redacción, ortografía y referencias</w:t>
            </w:r>
          </w:p>
        </w:tc>
        <w:tc>
          <w:tcPr>
            <w:tcW w:type="dxa" w:w="864"/>
          </w:tcPr>
          <w:p>
            <w:pPr>
              <w:pStyle w:val="Compact"/>
              <w:jc w:val="left"/>
            </w:pPr>
            <w:r>
              <w:t xml:space="preserve">5%</w:t>
            </w:r>
          </w:p>
        </w:tc>
        <w:tc>
          <w:tcPr>
            <w:tcW w:type="dxa" w:w="1872"/>
          </w:tcPr>
          <w:p>
            <w:pPr>
              <w:pStyle w:val="Compact"/>
              <w:jc w:val="left"/>
            </w:pPr>
            <w:r>
              <w:t xml:space="preserve">Logrado (60%)</w:t>
            </w:r>
          </w:p>
        </w:tc>
        <w:tc>
          <w:tcPr>
            <w:tcW w:type="dxa" w:w="4320"/>
          </w:tcPr>
          <w:p>
            <w:pPr>
              <w:pStyle w:val="Compact"/>
              <w:jc w:val="left"/>
            </w:pPr>
            <w:r>
              <w:t xml:space="preserve">Falta una revisión final de ortografía y del formato de citas.</w:t>
            </w:r>
          </w:p>
        </w:tc>
      </w:tr>
      <w:tr>
        <w:tc>
          <w:tcPr>
            <w:tcW w:type="dxa" w:w="2304"/>
          </w:tcPr>
          <w:p>
            <w:pPr>
              <w:pStyle w:val="Compact"/>
              <w:jc w:val="left"/>
            </w:pPr>
            <w:r>
              <w:t xml:space="preserve">6. Formato del informe de avance</w:t>
            </w:r>
          </w:p>
        </w:tc>
        <w:tc>
          <w:tcPr>
            <w:tcW w:type="dxa" w:w="864"/>
          </w:tcPr>
          <w:p>
            <w:pPr>
              <w:pStyle w:val="Compact"/>
              <w:jc w:val="left"/>
            </w:pPr>
            <w:r>
              <w:t xml:space="preserve">5%</w:t>
            </w:r>
          </w:p>
        </w:tc>
        <w:tc>
          <w:tcPr>
            <w:tcW w:type="dxa" w:w="1872"/>
          </w:tcPr>
          <w:p>
            <w:pPr>
              <w:pStyle w:val="Compact"/>
              <w:jc w:val="left"/>
            </w:pPr>
            <w:r>
              <w:t xml:space="preserve">Logrado (60%)</w:t>
            </w:r>
          </w:p>
        </w:tc>
        <w:tc>
          <w:tcPr>
            <w:tcW w:type="dxa" w:w="4320"/>
          </w:tcPr>
          <w:p>
            <w:pPr>
              <w:pStyle w:val="Compact"/>
              <w:jc w:val="left"/>
            </w:pPr>
            <w:r>
              <w:t xml:space="preserve">Hay que verificar portada, índice, numeración de páginas, fuente y anexos de evidencia.</w:t>
            </w:r>
          </w:p>
        </w:tc>
      </w:tr>
      <w:tr>
        <w:tc>
          <w:tcPr>
            <w:tcW w:type="dxa" w:w="2304"/>
          </w:tcPr>
          <w:p>
            <w:pPr>
              <w:pStyle w:val="Compact"/>
              <w:jc w:val="left"/>
            </w:pPr>
            <w:r>
              <w:t xml:space="preserve">7. Indicadores de calidad</w:t>
            </w:r>
          </w:p>
        </w:tc>
        <w:tc>
          <w:tcPr>
            <w:tcW w:type="dxa" w:w="864"/>
          </w:tcPr>
          <w:p>
            <w:pPr>
              <w:pStyle w:val="Compact"/>
              <w:jc w:val="left"/>
            </w:pPr>
            <w:r>
              <w:t xml:space="preserve">10%</w:t>
            </w:r>
          </w:p>
        </w:tc>
        <w:tc>
          <w:tcPr>
            <w:tcW w:type="dxa" w:w="1872"/>
          </w:tcPr>
          <w:p>
            <w:pPr>
              <w:pStyle w:val="Compact"/>
              <w:jc w:val="left"/>
            </w:pPr>
            <w:r>
              <w:t xml:space="preserve">Completamente logrado (100%)</w:t>
            </w:r>
          </w:p>
        </w:tc>
        <w:tc>
          <w:tcPr>
            <w:tcW w:type="dxa" w:w="4320"/>
          </w:tcPr>
          <w:p>
            <w:pPr>
              <w:pStyle w:val="Compact"/>
              <w:jc w:val="left"/>
            </w:pPr>
            <w:r>
              <w:t xml:space="preserve">Cumplimos 9 de 10 indicadores del perfil de egreso; solo falta implantar la solución (ver tabla siguiente).</w:t>
            </w:r>
          </w:p>
        </w:tc>
      </w:tr>
      <w:tr>
        <w:tc>
          <w:tcPr>
            <w:tcW w:type="dxa" w:w="2304"/>
          </w:tcPr>
          <w:p>
            <w:pPr>
              <w:pStyle w:val="Compact"/>
              <w:jc w:val="left"/>
            </w:pPr>
            <w:r>
              <w:t xml:space="preserve">8. Comunicación escrita en inglés</w:t>
            </w:r>
          </w:p>
        </w:tc>
        <w:tc>
          <w:tcPr>
            <w:tcW w:type="dxa" w:w="864"/>
          </w:tcPr>
          <w:p>
            <w:pPr>
              <w:pStyle w:val="Compact"/>
              <w:jc w:val="left"/>
            </w:pPr>
            <w:r>
              <w:t xml:space="preserve">10%</w:t>
            </w:r>
          </w:p>
        </w:tc>
        <w:tc>
          <w:tcPr>
            <w:tcW w:type="dxa" w:w="1872"/>
          </w:tcPr>
          <w:p>
            <w:pPr>
              <w:pStyle w:val="Compact"/>
              <w:jc w:val="left"/>
            </w:pPr>
            <w:r>
              <w:t xml:space="preserve">Logrado (60%)</w:t>
            </w:r>
          </w:p>
        </w:tc>
        <w:tc>
          <w:tcPr>
            <w:tcW w:type="dxa" w:w="4320"/>
          </w:tcPr>
          <w:p>
            <w:pPr>
              <w:pStyle w:val="Compact"/>
              <w:jc w:val="left"/>
            </w:pPr>
            <w:r>
              <w:t xml:space="preserve">El abstract, las conclusiones y la reflexión deben quedar en inglés y revisados antes de la entrega.</w:t>
            </w:r>
          </w:p>
        </w:tc>
      </w:tr>
    </w:tbl>
    <w:bookmarkEnd w:id="21"/>
    <w:bookmarkStart w:id="22" w:name="X8f977720c14bbc02fef1bf6123095b3e4237e6d"/>
    <w:p>
      <w:pPr>
        <w:pStyle w:val="Heading2"/>
      </w:pPr>
      <w:r>
        <w:t xml:space="preserve">Indicadores de calidad del perfil de egreso</w:t>
      </w:r>
    </w:p>
    <w:tbl>
      <w:tblPr>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1728"/>
        <w:gridCol w:w="4752"/>
      </w:tblGrid>
      <w:tr>
        <w:trPr>
          <w:tblHeader w:val="true"/>
        </w:trPr>
        <w:tc>
          <w:tcPr>
            <w:tcW w:type="dxa" w:w="2880"/>
          </w:tcPr>
          <w:p>
            <w:pPr>
              <w:pStyle w:val="Compact"/>
              <w:jc w:val="left"/>
            </w:pPr>
            <w:r>
              <w:t xml:space="preserve">Indicador</w:t>
            </w:r>
          </w:p>
        </w:tc>
        <w:tc>
          <w:tcPr>
            <w:tcW w:type="dxa" w:w="1728"/>
          </w:tcPr>
          <w:p>
            <w:pPr>
              <w:pStyle w:val="Compact"/>
              <w:jc w:val="left"/>
            </w:pPr>
            <w:r>
              <w:t xml:space="preserve">Estado</w:t>
            </w:r>
          </w:p>
        </w:tc>
        <w:tc>
          <w:tcPr>
            <w:tcW w:type="dxa" w:w="4752"/>
          </w:tcPr>
          <w:p>
            <w:pPr>
              <w:pStyle w:val="Compact"/>
              <w:jc w:val="left"/>
            </w:pPr>
            <w:r>
              <w:t xml:space="preserve">Evidencia o pendiente</w:t>
            </w:r>
          </w:p>
        </w:tc>
      </w:tr>
      <w:tr>
        <w:tc>
          <w:tcPr>
            <w:tcW w:type="dxa" w:w="2880"/>
          </w:tcPr>
          <w:p>
            <w:pPr>
              <w:pStyle w:val="Compact"/>
              <w:jc w:val="left"/>
            </w:pPr>
            <w:r>
              <w:t xml:space="preserve">1.1 Diseña pruebas de validación</w:t>
            </w:r>
          </w:p>
        </w:tc>
        <w:tc>
          <w:tcPr>
            <w:tcW w:type="dxa" w:w="1728"/>
          </w:tcPr>
          <w:p>
            <w:pPr>
              <w:pStyle w:val="Compact"/>
              <w:jc w:val="left"/>
            </w:pPr>
            <w:r>
              <w:t xml:space="preserve">Presente</w:t>
            </w:r>
          </w:p>
        </w:tc>
        <w:tc>
          <w:tcPr>
            <w:tcW w:type="dxa" w:w="4752"/>
          </w:tcPr>
          <w:p>
            <w:pPr>
              <w:pStyle w:val="Compact"/>
              <w:jc w:val="left"/>
            </w:pPr>
            <w:r>
              <w:t xml:space="preserve">Pruebas unitarias con pytest para los validadores (tests/test_rut.py, tests/test_phone.py)</w:t>
            </w:r>
          </w:p>
        </w:tc>
      </w:tr>
      <w:tr>
        <w:tc>
          <w:tcPr>
            <w:tcW w:type="dxa" w:w="2880"/>
          </w:tcPr>
          <w:p>
            <w:pPr>
              <w:pStyle w:val="Compact"/>
              <w:jc w:val="left"/>
            </w:pPr>
            <w:r>
              <w:t xml:space="preserve">1.2 Aplica pruebas de validación</w:t>
            </w:r>
          </w:p>
        </w:tc>
        <w:tc>
          <w:tcPr>
            <w:tcW w:type="dxa" w:w="1728"/>
          </w:tcPr>
          <w:p>
            <w:pPr>
              <w:pStyle w:val="Compact"/>
              <w:jc w:val="left"/>
            </w:pPr>
            <w:r>
              <w:t xml:space="preserve">Presente</w:t>
            </w:r>
          </w:p>
        </w:tc>
        <w:tc>
          <w:tcPr>
            <w:tcW w:type="dxa" w:w="4752"/>
          </w:tcPr>
          <w:p>
            <w:pPr>
              <w:pStyle w:val="Compact"/>
              <w:jc w:val="left"/>
            </w:pPr>
            <w:r>
              <w:t xml:space="preserve">Pruebas ejecutadas y escaneo en volumen con datos simulados (Faker, 800 registros)</w:t>
            </w:r>
          </w:p>
        </w:tc>
      </w:tr>
      <w:tr>
        <w:tc>
          <w:tcPr>
            <w:tcW w:type="dxa" w:w="2880"/>
          </w:tcPr>
          <w:p>
            <w:pPr>
              <w:pStyle w:val="Compact"/>
              <w:jc w:val="left"/>
            </w:pPr>
            <w:r>
              <w:t xml:space="preserve">1.3 Desarrolla mejoras según resultados</w:t>
            </w:r>
          </w:p>
        </w:tc>
        <w:tc>
          <w:tcPr>
            <w:tcW w:type="dxa" w:w="1728"/>
          </w:tcPr>
          <w:p>
            <w:pPr>
              <w:pStyle w:val="Compact"/>
              <w:jc w:val="left"/>
            </w:pPr>
            <w:r>
              <w:t xml:space="preserve">Presente</w:t>
            </w:r>
          </w:p>
        </w:tc>
        <w:tc>
          <w:tcPr>
            <w:tcW w:type="dxa" w:w="4752"/>
          </w:tcPr>
          <w:p>
            <w:pPr>
              <w:pStyle w:val="Compact"/>
              <w:jc w:val="left"/>
            </w:pPr>
            <w:r>
              <w:t xml:space="preserve">Reescritura del sistema tras evaluar la primera versión</w:t>
            </w:r>
          </w:p>
        </w:tc>
      </w:tr>
      <w:tr>
        <w:tc>
          <w:tcPr>
            <w:tcW w:type="dxa" w:w="2880"/>
          </w:tcPr>
          <w:p>
            <w:pPr>
              <w:pStyle w:val="Compact"/>
              <w:jc w:val="left"/>
            </w:pPr>
            <w:r>
              <w:t xml:space="preserve">2.1 Planifica proyectos informáticos</w:t>
            </w:r>
          </w:p>
        </w:tc>
        <w:tc>
          <w:tcPr>
            <w:tcW w:type="dxa" w:w="1728"/>
          </w:tcPr>
          <w:p>
            <w:pPr>
              <w:pStyle w:val="Compact"/>
              <w:jc w:val="left"/>
            </w:pPr>
            <w:r>
              <w:t xml:space="preserve">Presente</w:t>
            </w:r>
          </w:p>
        </w:tc>
        <w:tc>
          <w:tcPr>
            <w:tcW w:type="dxa" w:w="4752"/>
          </w:tcPr>
          <w:p>
            <w:pPr>
              <w:pStyle w:val="Compact"/>
              <w:jc w:val="left"/>
            </w:pPr>
            <w:r>
              <w:t xml:space="preserve">Plan de trabajo y carta Gantt de la Fase 1</w:t>
            </w:r>
          </w:p>
        </w:tc>
      </w:tr>
      <w:tr>
        <w:tc>
          <w:tcPr>
            <w:tcW w:type="dxa" w:w="2880"/>
          </w:tcPr>
          <w:p>
            <w:pPr>
              <w:pStyle w:val="Compact"/>
              <w:jc w:val="left"/>
            </w:pPr>
            <w:r>
              <w:t xml:space="preserve">2.2 Controla proyectos informáticos</w:t>
            </w:r>
          </w:p>
        </w:tc>
        <w:tc>
          <w:tcPr>
            <w:tcW w:type="dxa" w:w="1728"/>
          </w:tcPr>
          <w:p>
            <w:pPr>
              <w:pStyle w:val="Compact"/>
              <w:jc w:val="left"/>
            </w:pPr>
            <w:r>
              <w:t xml:space="preserve">Presente</w:t>
            </w:r>
          </w:p>
        </w:tc>
        <w:tc>
          <w:tcPr>
            <w:tcW w:type="dxa" w:w="4752"/>
          </w:tcPr>
          <w:p>
            <w:pPr>
              <w:pStyle w:val="Compact"/>
              <w:jc w:val="left"/>
            </w:pPr>
            <w:r>
              <w:t xml:space="preserve">Ajuste de alcance y replanificación del desarrollo</w:t>
            </w:r>
          </w:p>
        </w:tc>
      </w:tr>
      <w:tr>
        <w:tc>
          <w:tcPr>
            <w:tcW w:type="dxa" w:w="2880"/>
          </w:tcPr>
          <w:p>
            <w:pPr>
              <w:pStyle w:val="Compact"/>
              <w:jc w:val="left"/>
            </w:pPr>
            <w:r>
              <w:t xml:space="preserve">3.1 Diseña modelos de datos</w:t>
            </w:r>
          </w:p>
        </w:tc>
        <w:tc>
          <w:tcPr>
            <w:tcW w:type="dxa" w:w="1728"/>
          </w:tcPr>
          <w:p>
            <w:pPr>
              <w:pStyle w:val="Compact"/>
              <w:jc w:val="left"/>
            </w:pPr>
            <w:r>
              <w:t xml:space="preserve">Presente</w:t>
            </w:r>
          </w:p>
        </w:tc>
        <w:tc>
          <w:tcPr>
            <w:tcW w:type="dxa" w:w="4752"/>
          </w:tcPr>
          <w:p>
            <w:pPr>
              <w:pStyle w:val="Compact"/>
              <w:jc w:val="left"/>
            </w:pPr>
            <w:r>
              <w:t xml:space="preserve">Modelo de usuarios y resultados de clasificación</w:t>
            </w:r>
          </w:p>
        </w:tc>
      </w:tr>
      <w:tr>
        <w:tc>
          <w:tcPr>
            <w:tcW w:type="dxa" w:w="2880"/>
          </w:tcPr>
          <w:p>
            <w:pPr>
              <w:pStyle w:val="Compact"/>
              <w:jc w:val="left"/>
            </w:pPr>
            <w:r>
              <w:t xml:space="preserve">3.2 Implementa modelos de datos</w:t>
            </w:r>
          </w:p>
        </w:tc>
        <w:tc>
          <w:tcPr>
            <w:tcW w:type="dxa" w:w="1728"/>
          </w:tcPr>
          <w:p>
            <w:pPr>
              <w:pStyle w:val="Compact"/>
              <w:jc w:val="left"/>
            </w:pPr>
            <w:r>
              <w:t xml:space="preserve">Presente</w:t>
            </w:r>
          </w:p>
        </w:tc>
        <w:tc>
          <w:tcPr>
            <w:tcW w:type="dxa" w:w="4752"/>
          </w:tcPr>
          <w:p>
            <w:pPr>
              <w:pStyle w:val="Compact"/>
              <w:jc w:val="left"/>
            </w:pPr>
            <w:r>
              <w:t xml:space="preserve">Base de datos PostgreSQL con SQLAlchemy y script de instalación (setup_db.ps1)</w:t>
            </w:r>
          </w:p>
        </w:tc>
      </w:tr>
      <w:tr>
        <w:tc>
          <w:tcPr>
            <w:tcW w:type="dxa" w:w="2880"/>
          </w:tcPr>
          <w:p>
            <w:pPr>
              <w:pStyle w:val="Compact"/>
              <w:jc w:val="left"/>
            </w:pPr>
            <w:r>
              <w:t xml:space="preserve">4.1 Construye una solución de software</w:t>
            </w:r>
          </w:p>
        </w:tc>
        <w:tc>
          <w:tcPr>
            <w:tcW w:type="dxa" w:w="1728"/>
          </w:tcPr>
          <w:p>
            <w:pPr>
              <w:pStyle w:val="Compact"/>
              <w:jc w:val="left"/>
            </w:pPr>
            <w:r>
              <w:t xml:space="preserve">Presente</w:t>
            </w:r>
          </w:p>
        </w:tc>
        <w:tc>
          <w:tcPr>
            <w:tcW w:type="dxa" w:w="4752"/>
          </w:tcPr>
          <w:p>
            <w:pPr>
              <w:pStyle w:val="Compact"/>
              <w:jc w:val="left"/>
            </w:pPr>
            <w:r>
              <w:t xml:space="preserve">K-Secure en Python con detección y clasificación</w:t>
            </w:r>
          </w:p>
        </w:tc>
      </w:tr>
      <w:tr>
        <w:tc>
          <w:tcPr>
            <w:tcW w:type="dxa" w:w="2880"/>
          </w:tcPr>
          <w:p>
            <w:pPr>
              <w:pStyle w:val="Compact"/>
              <w:jc w:val="left"/>
            </w:pPr>
            <w:r>
              <w:t xml:space="preserve">4.2 Integra componentes</w:t>
            </w:r>
          </w:p>
        </w:tc>
        <w:tc>
          <w:tcPr>
            <w:tcW w:type="dxa" w:w="1728"/>
          </w:tcPr>
          <w:p>
            <w:pPr>
              <w:pStyle w:val="Compact"/>
              <w:jc w:val="left"/>
            </w:pPr>
            <w:r>
              <w:t xml:space="preserve">Presente</w:t>
            </w:r>
          </w:p>
        </w:tc>
        <w:tc>
          <w:tcPr>
            <w:tcW w:type="dxa" w:w="4752"/>
          </w:tcPr>
          <w:p>
            <w:pPr>
              <w:pStyle w:val="Compact"/>
              <w:jc w:val="left"/>
            </w:pPr>
            <w:r>
              <w:t xml:space="preserve">Motor de escaneo, validadores, API REST e interfaz web</w:t>
            </w:r>
          </w:p>
        </w:tc>
      </w:tr>
      <w:tr>
        <w:tc>
          <w:tcPr>
            <w:tcW w:type="dxa" w:w="2880"/>
          </w:tcPr>
          <w:p>
            <w:pPr>
              <w:pStyle w:val="Compact"/>
              <w:jc w:val="left"/>
            </w:pPr>
            <w:r>
              <w:t xml:space="preserve">4.3 Implanta la solución</w:t>
            </w:r>
          </w:p>
        </w:tc>
        <w:tc>
          <w:tcPr>
            <w:tcW w:type="dxa" w:w="1728"/>
          </w:tcPr>
          <w:p>
            <w:pPr>
              <w:pStyle w:val="Compact"/>
              <w:jc w:val="left"/>
            </w:pPr>
            <w:r>
              <w:t xml:space="preserve">No presente aún</w:t>
            </w:r>
          </w:p>
        </w:tc>
        <w:tc>
          <w:tcPr>
            <w:tcW w:type="dxa" w:w="4752"/>
          </w:tcPr>
          <w:p>
            <w:pPr>
              <w:pStyle w:val="Compact"/>
              <w:jc w:val="left"/>
            </w:pPr>
            <w:r>
              <w:t xml:space="preserve">Falta empaquetar como aplicación ejecutable</w:t>
            </w:r>
          </w:p>
        </w:tc>
      </w:tr>
    </w:tbl>
    <w:bookmarkEnd w:id="22"/>
    <w:bookmarkStart w:id="23" w:name="fortalezas-y-aspectos-por-mejorar"/>
    <w:p>
      <w:pPr>
        <w:pStyle w:val="Heading2"/>
      </w:pPr>
      <w:r>
        <w:t xml:space="preserve">Fortalezas y aspectos por mejorar</w:t>
      </w:r>
    </w:p>
    <w:p>
      <w:pPr>
        <w:pStyle w:val="FirstParagraph"/>
      </w:pPr>
      <w:r>
        <w:rPr>
          <w:bCs/>
          <w:b/>
        </w:rPr>
        <w:t xml:space="preserve">Fortalezas</w:t>
      </w:r>
    </w:p>
    <w:p>
      <w:pPr>
        <w:numPr>
          <w:ilvl w:val="0"/>
          <w:numId w:val="1001"/>
        </w:numPr>
        <w:pStyle w:val="Compact"/>
      </w:pPr>
      <w:r>
        <w:t xml:space="preserve">Supimos corregir el rumbo: reescribimos el sistema en vez de seguir sobre un código difícil de mantener.</w:t>
      </w:r>
    </w:p>
    <w:p>
      <w:pPr>
        <w:numPr>
          <w:ilvl w:val="0"/>
          <w:numId w:val="1001"/>
        </w:numPr>
        <w:pStyle w:val="Compact"/>
      </w:pPr>
      <w:r>
        <w:t xml:space="preserve">K-Secure ya detecta y clasifica datos sensibles por nivel de criticidad, con acceso protegido por login.</w:t>
      </w:r>
    </w:p>
    <w:p>
      <w:pPr>
        <w:pStyle w:val="FirstParagraph"/>
      </w:pPr>
      <w:r>
        <w:rPr>
          <w:bCs/>
          <w:b/>
        </w:rPr>
        <w:t xml:space="preserve">Aspectos por mejorar antes de la evaluación sumativa</w:t>
      </w:r>
    </w:p>
    <w:p>
      <w:pPr>
        <w:numPr>
          <w:ilvl w:val="0"/>
          <w:numId w:val="1002"/>
        </w:numPr>
        <w:pStyle w:val="Compact"/>
      </w:pPr>
      <w:r>
        <w:t xml:space="preserve">Ampliar las pruebas a casos límite y afinar falsos positivos y negativos.</w:t>
      </w:r>
    </w:p>
    <w:p>
      <w:pPr>
        <w:numPr>
          <w:ilvl w:val="0"/>
          <w:numId w:val="1002"/>
        </w:numPr>
        <w:pStyle w:val="Compact"/>
      </w:pPr>
      <w:r>
        <w:t xml:space="preserve">Agregar evidencias al anexo: capturas, reportes generados y commits del repositorio.</w:t>
      </w:r>
    </w:p>
    <w:p>
      <w:pPr>
        <w:numPr>
          <w:ilvl w:val="0"/>
          <w:numId w:val="1002"/>
        </w:numPr>
        <w:pStyle w:val="Compact"/>
      </w:pPr>
      <w:r>
        <w:t xml:space="preserve">Empaquetar K-Secure como aplicación ejecutable para el cliente.</w:t>
      </w:r>
    </w:p>
    <w:p>
      <w:pPr>
        <w:numPr>
          <w:ilvl w:val="0"/>
          <w:numId w:val="1002"/>
        </w:numPr>
        <w:pStyle w:val="Compact"/>
      </w:pPr>
      <w:r>
        <w:t xml:space="preserve">Revisar ortografía, formato del informe y apartados en inglés.</w:t>
      </w:r>
    </w:p>
    <w:bookmarkEnd w:id="23"/>
    <w:bookmarkStart w:id="24" w:name="individual-conclusions"/>
    <w:p>
      <w:pPr>
        <w:pStyle w:val="Heading2"/>
      </w:pPr>
      <w:r>
        <w:t xml:space="preserve">Individual Conclusions</w:t>
      </w:r>
    </w:p>
    <w:p>
      <w:pPr>
        <w:pStyle w:val="FirstParagraph"/>
      </w:pPr>
      <w:r>
        <w:t xml:space="preserve">This stage of the APT project was a real challenge for me, since I was mainly responsible for the technical development of K-Secure. Our first version worked, but its code was hard to maintain, so we decided to rebuild the system from scratch in Python, following the architecture of ferret-scan. Today, K-Secure can detect sensitive data such as Chilean RUT numbers (validated with the Module 11 algorithm), email addresses, phone numbers and credit card numbers, and classify them by criticality level. It also includes a login system without public registration, because the client should be able to use the tool without touching any code. The scanning engine supports CSV, DOCX, XLSX and PDF files, and it runs behind a REST API built with FastAPI and connected to a PostgreSQL database. We also wrote unit tests with pytest and used simulated data to test the scanner at scale. Our next goals are to cover edge cases, reduce false positives and package the system as a ready-to-use application.</w:t>
      </w:r>
    </w:p>
    <w:bookmarkEnd w:id="24"/>
    <w:bookmarkStart w:id="25" w:name="reflection"/>
    <w:p>
      <w:pPr>
        <w:pStyle w:val="Heading2"/>
      </w:pPr>
      <w:r>
        <w:t xml:space="preserve">Reflection</w:t>
      </w:r>
    </w:p>
    <w:p>
      <w:pPr>
        <w:pStyle w:val="FirstParagraph"/>
      </w:pPr>
      <w:r>
        <w:t xml:space="preserve">The biggest lesson from this stage was that it is better to stop and rebuild than to keep adding features to code that is hard to maintain. Listening to our professor’s feedback helped us narrow the scope and focus on what really matters: the classification layer that feeds a DLP solution. I also learned a lot about teamwork, dividing tasks and communicating progress clearly. In the future, I would like to work in cloud computing, cybersecurity and data analysis, and this project has given me practical experience in all of these areas. I want to keep improving K-Secure so that it is as complete as possible for the final presentation.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2026-10-16T00:41:51Z</dcterms:created>
  <dcterms:modified xsi:type="dcterms:W3CDTF">2026-10-16T00:41:51Z</dcterms:modified>
</cp:coreProperties>
</file>

<file path=docProps/custom.xml><?xml version="1.0" encoding="utf-8"?>
<Properties xmlns="http://schemas.openxmlformats.org/officeDocument/2006/custom-properties" xmlns:vt="http://schemas.openxmlformats.org/officeDocument/2006/docPropsVTypes"/>
</file>