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utoevaluación-fase-2-emanuel-farías"/>
    <w:p>
      <w:pPr>
        <w:pStyle w:val="Heading1"/>
      </w:pPr>
      <w:r>
        <w:t xml:space="preserve">Autoevaluación Fase 2 – Emanuel Farías</w:t>
      </w:r>
    </w:p>
    <w:bookmarkStart w:id="20" w:name="datos"/>
    <w:p>
      <w:pPr>
        <w:pStyle w:val="Heading2"/>
      </w:pPr>
      <w:r>
        <w:t xml:space="preserve">Datos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592"/>
        <w:gridCol w:w="6768"/>
      </w:tblGrid>
      <w:tr>
        <w:trPr>
          <w:tblHeader w:val="true"/>
        </w:trPr>
        <w:tc>
          <w:tcPr>
            <w:tcW w:type="dxa" w:w="2592"/>
          </w:tcPr>
          <w:p>
            <w:pPr>
              <w:pStyle w:val="Compact"/>
              <w:jc w:val="left"/>
            </w:pPr>
            <w:r>
              <w:t xml:space="preserve">Campo</w:t>
            </w:r>
          </w:p>
        </w:tc>
        <w:tc>
          <w:tcPr>
            <w:tcW w:type="dxa" w:w="6768"/>
          </w:tcPr>
          <w:p>
            <w:pPr>
              <w:pStyle w:val="Compact"/>
              <w:jc w:val="left"/>
            </w:pPr>
            <w:r>
              <w:t xml:space="preserve">Detalle</w:t>
            </w:r>
          </w:p>
        </w:tc>
      </w:tr>
      <w:tr>
        <w:tc>
          <w:tcPr>
            <w:tcW w:type="dxa" w:w="2592"/>
          </w:tcPr>
          <w:p>
            <w:pPr>
              <w:pStyle w:val="Compact"/>
              <w:jc w:val="left"/>
            </w:pPr>
            <w:r>
              <w:t xml:space="preserve">Asignatura</w:t>
            </w:r>
          </w:p>
        </w:tc>
        <w:tc>
          <w:tcPr>
            <w:tcW w:type="dxa" w:w="6768"/>
          </w:tcPr>
          <w:p>
            <w:pPr>
              <w:pStyle w:val="Compact"/>
              <w:jc w:val="left"/>
            </w:pPr>
            <w:r>
              <w:t xml:space="preserve">PTY4614 Capstone</w:t>
            </w:r>
          </w:p>
        </w:tc>
      </w:tr>
      <w:tr>
        <w:tc>
          <w:tcPr>
            <w:tcW w:type="dxa" w:w="2592"/>
          </w:tcPr>
          <w:p>
            <w:pPr>
              <w:pStyle w:val="Compact"/>
              <w:jc w:val="left"/>
            </w:pPr>
            <w:r>
              <w:t xml:space="preserve">Evaluación</w:t>
            </w:r>
          </w:p>
        </w:tc>
        <w:tc>
          <w:tcPr>
            <w:tcW w:type="dxa" w:w="6768"/>
          </w:tcPr>
          <w:p>
            <w:pPr>
              <w:pStyle w:val="Compact"/>
              <w:jc w:val="left"/>
            </w:pPr>
            <w:r>
              <w:t xml:space="preserve">Autoevaluación Informe de avance Proyecto APT (Fase 2, semana 9)</w:t>
            </w:r>
          </w:p>
        </w:tc>
      </w:tr>
      <w:tr>
        <w:tc>
          <w:tcPr>
            <w:tcW w:type="dxa" w:w="2592"/>
          </w:tcPr>
          <w:p>
            <w:pPr>
              <w:pStyle w:val="Compact"/>
              <w:jc w:val="left"/>
            </w:pPr>
            <w:r>
              <w:t xml:space="preserve">Proyecto</w:t>
            </w:r>
          </w:p>
        </w:tc>
        <w:tc>
          <w:tcPr>
            <w:tcW w:type="dxa" w:w="6768"/>
          </w:tcPr>
          <w:p>
            <w:pPr>
              <w:pStyle w:val="Compact"/>
              <w:jc w:val="left"/>
            </w:pPr>
            <w:r>
              <w:t xml:space="preserve">K-Secure: sistema de clasificación de datos sensibles</w:t>
            </w:r>
          </w:p>
        </w:tc>
      </w:tr>
      <w:tr>
        <w:tc>
          <w:tcPr>
            <w:tcW w:type="dxa" w:w="2592"/>
          </w:tcPr>
          <w:p>
            <w:pPr>
              <w:pStyle w:val="Compact"/>
              <w:jc w:val="left"/>
            </w:pPr>
            <w:r>
              <w:t xml:space="preserve">Estudiante</w:t>
            </w:r>
          </w:p>
        </w:tc>
        <w:tc>
          <w:tcPr>
            <w:tcW w:type="dxa" w:w="6768"/>
          </w:tcPr>
          <w:p>
            <w:pPr>
              <w:pStyle w:val="Compact"/>
              <w:jc w:val="left"/>
            </w:pPr>
            <w:r>
              <w:t xml:space="preserve">Emanuel Farías</w:t>
            </w:r>
          </w:p>
        </w:tc>
      </w:tr>
      <w:tr>
        <w:tc>
          <w:tcPr>
            <w:tcW w:type="dxa" w:w="2592"/>
          </w:tcPr>
          <w:p>
            <w:pPr>
              <w:pStyle w:val="Compact"/>
              <w:jc w:val="left"/>
            </w:pPr>
            <w:r>
              <w:t xml:space="preserve">Equipo</w:t>
            </w:r>
          </w:p>
        </w:tc>
        <w:tc>
          <w:tcPr>
            <w:tcW w:type="dxa" w:w="6768"/>
          </w:tcPr>
          <w:p>
            <w:pPr>
              <w:pStyle w:val="Compact"/>
              <w:jc w:val="left"/>
            </w:pPr>
            <w:r>
              <w:t xml:space="preserve">Camilo Fuenzalida, Martín Campos, Emanuel Farías</w:t>
            </w:r>
          </w:p>
        </w:tc>
      </w:tr>
    </w:tbl>
    <w:bookmarkEnd w:id="20"/>
    <w:bookmarkStart w:id="21" w:name="autoevaluación-por-indicador"/>
    <w:p>
      <w:pPr>
        <w:pStyle w:val="Heading2"/>
      </w:pPr>
      <w:r>
        <w:t xml:space="preserve">Autoevaluación por indicador</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304"/>
        <w:gridCol w:w="864"/>
        <w:gridCol w:w="1872"/>
        <w:gridCol w:w="4320"/>
      </w:tblGrid>
      <w:tr>
        <w:trPr>
          <w:tblHeader w:val="true"/>
        </w:trPr>
        <w:tc>
          <w:tcPr>
            <w:tcW w:type="dxa" w:w="2304"/>
          </w:tcPr>
          <w:p>
            <w:pPr>
              <w:pStyle w:val="Compact"/>
              <w:jc w:val="left"/>
            </w:pPr>
            <w:r>
              <w:t xml:space="preserve">Indicador</w:t>
            </w:r>
          </w:p>
        </w:tc>
        <w:tc>
          <w:tcPr>
            <w:tcW w:type="dxa" w:w="864"/>
          </w:tcPr>
          <w:p>
            <w:pPr>
              <w:pStyle w:val="Compact"/>
              <w:jc w:val="left"/>
            </w:pPr>
            <w:r>
              <w:t xml:space="preserve">Pond.</w:t>
            </w:r>
          </w:p>
        </w:tc>
        <w:tc>
          <w:tcPr>
            <w:tcW w:type="dxa" w:w="1872"/>
          </w:tcPr>
          <w:p>
            <w:pPr>
              <w:pStyle w:val="Compact"/>
              <w:jc w:val="left"/>
            </w:pPr>
            <w:r>
              <w:t xml:space="preserve">Nivel</w:t>
            </w:r>
          </w:p>
        </w:tc>
        <w:tc>
          <w:tcPr>
            <w:tcW w:type="dxa" w:w="4320"/>
          </w:tcPr>
          <w:p>
            <w:pPr>
              <w:pStyle w:val="Compact"/>
              <w:jc w:val="left"/>
            </w:pPr>
            <w:r>
              <w:t xml:space="preserve">Justificación</w:t>
            </w:r>
          </w:p>
        </w:tc>
      </w:tr>
      <w:tr>
        <w:tc>
          <w:tcPr>
            <w:tcW w:type="dxa" w:w="2304"/>
          </w:tcPr>
          <w:p>
            <w:pPr>
              <w:pStyle w:val="Compact"/>
              <w:jc w:val="left"/>
            </w:pPr>
            <w:r>
              <w:t xml:space="preserve">1. Propone ajustes al Proyecto APT</w:t>
            </w:r>
          </w:p>
        </w:tc>
        <w:tc>
          <w:tcPr>
            <w:tcW w:type="dxa" w:w="864"/>
          </w:tcPr>
          <w:p>
            <w:pPr>
              <w:pStyle w:val="Compact"/>
              <w:jc w:val="left"/>
            </w:pPr>
            <w:r>
              <w:t xml:space="preserve">20%</w:t>
            </w:r>
          </w:p>
        </w:tc>
        <w:tc>
          <w:tcPr>
            <w:tcW w:type="dxa" w:w="1872"/>
          </w:tcPr>
          <w:p>
            <w:pPr>
              <w:pStyle w:val="Compact"/>
              <w:jc w:val="left"/>
            </w:pPr>
            <w:r>
              <w:t xml:space="preserve">Completamente logrado (100%)</w:t>
            </w:r>
          </w:p>
        </w:tc>
        <w:tc>
          <w:tcPr>
            <w:tcW w:type="dxa" w:w="4320"/>
          </w:tcPr>
          <w:p>
            <w:pPr>
              <w:pStyle w:val="Compact"/>
              <w:jc w:val="left"/>
            </w:pPr>
            <w:r>
              <w:t xml:space="preserve">Ajustamos el proyecto según la retroalimentación del docente: acotamos el alcance a la capa de clasificación que alimenta a un DLP e incorporamos como nueva actividad el empaquetado de la aplicación, para que el cliente no tenga que tocar código.</w:t>
            </w:r>
          </w:p>
        </w:tc>
      </w:tr>
      <w:tr>
        <w:tc>
          <w:tcPr>
            <w:tcW w:type="dxa" w:w="2304"/>
          </w:tcPr>
          <w:p>
            <w:pPr>
              <w:pStyle w:val="Compact"/>
              <w:jc w:val="left"/>
            </w:pPr>
            <w:r>
              <w:t xml:space="preserve">2. Aplica una metodología</w:t>
            </w:r>
          </w:p>
        </w:tc>
        <w:tc>
          <w:tcPr>
            <w:tcW w:type="dxa" w:w="864"/>
          </w:tcPr>
          <w:p>
            <w:pPr>
              <w:pStyle w:val="Compact"/>
              <w:jc w:val="left"/>
            </w:pPr>
            <w:r>
              <w:t xml:space="preserve">20%</w:t>
            </w:r>
          </w:p>
        </w:tc>
        <w:tc>
          <w:tcPr>
            <w:tcW w:type="dxa" w:w="1872"/>
          </w:tcPr>
          <w:p>
            <w:pPr>
              <w:pStyle w:val="Compact"/>
              <w:jc w:val="left"/>
            </w:pPr>
            <w:r>
              <w:t xml:space="preserve">Logrado (60%)</w:t>
            </w:r>
          </w:p>
        </w:tc>
        <w:tc>
          <w:tcPr>
            <w:tcW w:type="dxa" w:w="4320"/>
          </w:tcPr>
          <w:p>
            <w:pPr>
              <w:pStyle w:val="Compact"/>
              <w:jc w:val="left"/>
            </w:pPr>
            <w:r>
              <w:t xml:space="preserve">Trabajamos por módulos independientes (validadores, motor, API, interfaz), pero la configuración del entorno y el aprendizaje de FastAPI y SQLAlchemy retrasaron parte de la integración planificada en la carta Gantt.</w:t>
            </w:r>
          </w:p>
        </w:tc>
      </w:tr>
      <w:tr>
        <w:tc>
          <w:tcPr>
            <w:tcW w:type="dxa" w:w="2304"/>
          </w:tcPr>
          <w:p>
            <w:pPr>
              <w:pStyle w:val="Compact"/>
              <w:jc w:val="left"/>
            </w:pPr>
            <w:r>
              <w:t xml:space="preserve">3. Genera evidencias del avance</w:t>
            </w:r>
          </w:p>
        </w:tc>
        <w:tc>
          <w:tcPr>
            <w:tcW w:type="dxa" w:w="864"/>
          </w:tcPr>
          <w:p>
            <w:pPr>
              <w:pStyle w:val="Compact"/>
              <w:jc w:val="left"/>
            </w:pPr>
            <w:r>
              <w:t xml:space="preserve">25%</w:t>
            </w:r>
          </w:p>
        </w:tc>
        <w:tc>
          <w:tcPr>
            <w:tcW w:type="dxa" w:w="1872"/>
          </w:tcPr>
          <w:p>
            <w:pPr>
              <w:pStyle w:val="Compact"/>
              <w:jc w:val="left"/>
            </w:pPr>
            <w:r>
              <w:t xml:space="preserve">Logrado (60%)</w:t>
            </w:r>
          </w:p>
        </w:tc>
        <w:tc>
          <w:tcPr>
            <w:tcW w:type="dxa" w:w="4320"/>
          </w:tcPr>
          <w:p>
            <w:pPr>
              <w:pStyle w:val="Compact"/>
              <w:jc w:val="left"/>
            </w:pPr>
            <w:r>
              <w:t xml:space="preserve">La aplicación funciona: recibe archivos desde la interfaz web, los escanea, guarda los hallazgos en PostgreSQL y muestra los datos sensibles enmascarados, que solo se revelan con contraseña. Faltan capturas y commits incrementales como evidencia formal.</w:t>
            </w:r>
          </w:p>
        </w:tc>
      </w:tr>
      <w:tr>
        <w:tc>
          <w:tcPr>
            <w:tcW w:type="dxa" w:w="2304"/>
          </w:tcPr>
          <w:p>
            <w:pPr>
              <w:pStyle w:val="Compact"/>
              <w:jc w:val="left"/>
            </w:pPr>
            <w:r>
              <w:t xml:space="preserve">4. Lenguaje técnico</w:t>
            </w:r>
          </w:p>
        </w:tc>
        <w:tc>
          <w:tcPr>
            <w:tcW w:type="dxa" w:w="864"/>
          </w:tcPr>
          <w:p>
            <w:pPr>
              <w:pStyle w:val="Compact"/>
              <w:jc w:val="left"/>
            </w:pPr>
            <w:r>
              <w:t xml:space="preserve">5%</w:t>
            </w:r>
          </w:p>
        </w:tc>
        <w:tc>
          <w:tcPr>
            <w:tcW w:type="dxa" w:w="1872"/>
          </w:tcPr>
          <w:p>
            <w:pPr>
              <w:pStyle w:val="Compact"/>
              <w:jc w:val="left"/>
            </w:pPr>
            <w:r>
              <w:t xml:space="preserve">Completamente logrado (100%)</w:t>
            </w:r>
          </w:p>
        </w:tc>
        <w:tc>
          <w:tcPr>
            <w:tcW w:type="dxa" w:w="4320"/>
          </w:tcPr>
          <w:p>
            <w:pPr>
              <w:pStyle w:val="Compact"/>
              <w:jc w:val="left"/>
            </w:pPr>
            <w:r>
              <w:t xml:space="preserve">Uso términos propios de la disciplina: API REST, endpoints, ORM, base de datos relacional, enmascaramiento de datos, DLP.</w:t>
            </w:r>
          </w:p>
        </w:tc>
      </w:tr>
      <w:tr>
        <w:tc>
          <w:tcPr>
            <w:tcW w:type="dxa" w:w="2304"/>
          </w:tcPr>
          <w:p>
            <w:pPr>
              <w:pStyle w:val="Compact"/>
              <w:jc w:val="left"/>
            </w:pPr>
            <w:r>
              <w:t xml:space="preserve">5. Redacción, ortografía y referencias</w:t>
            </w:r>
          </w:p>
        </w:tc>
        <w:tc>
          <w:tcPr>
            <w:tcW w:type="dxa" w:w="864"/>
          </w:tcPr>
          <w:p>
            <w:pPr>
              <w:pStyle w:val="Compact"/>
              <w:jc w:val="left"/>
            </w:pPr>
            <w:r>
              <w:t xml:space="preserve">5%</w:t>
            </w:r>
          </w:p>
        </w:tc>
        <w:tc>
          <w:tcPr>
            <w:tcW w:type="dxa" w:w="1872"/>
          </w:tcPr>
          <w:p>
            <w:pPr>
              <w:pStyle w:val="Compact"/>
              <w:jc w:val="left"/>
            </w:pPr>
            <w:r>
              <w:t xml:space="preserve">Logrado (60%)</w:t>
            </w:r>
          </w:p>
        </w:tc>
        <w:tc>
          <w:tcPr>
            <w:tcW w:type="dxa" w:w="4320"/>
          </w:tcPr>
          <w:p>
            <w:pPr>
              <w:pStyle w:val="Compact"/>
              <w:jc w:val="left"/>
            </w:pPr>
            <w:r>
              <w:t xml:space="preserve">Falta una revisión final de ortografía y del formato de citas.</w:t>
            </w:r>
          </w:p>
        </w:tc>
      </w:tr>
      <w:tr>
        <w:tc>
          <w:tcPr>
            <w:tcW w:type="dxa" w:w="2304"/>
          </w:tcPr>
          <w:p>
            <w:pPr>
              <w:pStyle w:val="Compact"/>
              <w:jc w:val="left"/>
            </w:pPr>
            <w:r>
              <w:t xml:space="preserve">6. Formato del informe de avance</w:t>
            </w:r>
          </w:p>
        </w:tc>
        <w:tc>
          <w:tcPr>
            <w:tcW w:type="dxa" w:w="864"/>
          </w:tcPr>
          <w:p>
            <w:pPr>
              <w:pStyle w:val="Compact"/>
              <w:jc w:val="left"/>
            </w:pPr>
            <w:r>
              <w:t xml:space="preserve">5%</w:t>
            </w:r>
          </w:p>
        </w:tc>
        <w:tc>
          <w:tcPr>
            <w:tcW w:type="dxa" w:w="1872"/>
          </w:tcPr>
          <w:p>
            <w:pPr>
              <w:pStyle w:val="Compact"/>
              <w:jc w:val="left"/>
            </w:pPr>
            <w:r>
              <w:t xml:space="preserve">Logrado (60%)</w:t>
            </w:r>
          </w:p>
        </w:tc>
        <w:tc>
          <w:tcPr>
            <w:tcW w:type="dxa" w:w="4320"/>
          </w:tcPr>
          <w:p>
            <w:pPr>
              <w:pStyle w:val="Compact"/>
              <w:jc w:val="left"/>
            </w:pPr>
            <w:r>
              <w:t xml:space="preserve">Hay que verificar portada, índice, numeración de páginas, fuente y anexos de evidencia.</w:t>
            </w:r>
          </w:p>
        </w:tc>
      </w:tr>
      <w:tr>
        <w:tc>
          <w:tcPr>
            <w:tcW w:type="dxa" w:w="2304"/>
          </w:tcPr>
          <w:p>
            <w:pPr>
              <w:pStyle w:val="Compact"/>
              <w:jc w:val="left"/>
            </w:pPr>
            <w:r>
              <w:t xml:space="preserve">7. Indicadores de calidad</w:t>
            </w:r>
          </w:p>
        </w:tc>
        <w:tc>
          <w:tcPr>
            <w:tcW w:type="dxa" w:w="864"/>
          </w:tcPr>
          <w:p>
            <w:pPr>
              <w:pStyle w:val="Compact"/>
              <w:jc w:val="left"/>
            </w:pPr>
            <w:r>
              <w:t xml:space="preserve">10%</w:t>
            </w:r>
          </w:p>
        </w:tc>
        <w:tc>
          <w:tcPr>
            <w:tcW w:type="dxa" w:w="1872"/>
          </w:tcPr>
          <w:p>
            <w:pPr>
              <w:pStyle w:val="Compact"/>
              <w:jc w:val="left"/>
            </w:pPr>
            <w:r>
              <w:t xml:space="preserve">Completamente logrado (100%)</w:t>
            </w:r>
          </w:p>
        </w:tc>
        <w:tc>
          <w:tcPr>
            <w:tcW w:type="dxa" w:w="4320"/>
          </w:tcPr>
          <w:p>
            <w:pPr>
              <w:pStyle w:val="Compact"/>
              <w:jc w:val="left"/>
            </w:pPr>
            <w:r>
              <w:t xml:space="preserve">Cumplimos 9 de 10 indicadores del perfil de egreso; solo falta implantar la solución (ver tabla siguiente).</w:t>
            </w:r>
          </w:p>
        </w:tc>
      </w:tr>
      <w:tr>
        <w:tc>
          <w:tcPr>
            <w:tcW w:type="dxa" w:w="2304"/>
          </w:tcPr>
          <w:p>
            <w:pPr>
              <w:pStyle w:val="Compact"/>
              <w:jc w:val="left"/>
            </w:pPr>
            <w:r>
              <w:t xml:space="preserve">8. Comunicación escrita en inglés</w:t>
            </w:r>
          </w:p>
        </w:tc>
        <w:tc>
          <w:tcPr>
            <w:tcW w:type="dxa" w:w="864"/>
          </w:tcPr>
          <w:p>
            <w:pPr>
              <w:pStyle w:val="Compact"/>
              <w:jc w:val="left"/>
            </w:pPr>
            <w:r>
              <w:t xml:space="preserve">10%</w:t>
            </w:r>
          </w:p>
        </w:tc>
        <w:tc>
          <w:tcPr>
            <w:tcW w:type="dxa" w:w="1872"/>
          </w:tcPr>
          <w:p>
            <w:pPr>
              <w:pStyle w:val="Compact"/>
              <w:jc w:val="left"/>
            </w:pPr>
            <w:r>
              <w:t xml:space="preserve">Logrado (60%)</w:t>
            </w:r>
          </w:p>
        </w:tc>
        <w:tc>
          <w:tcPr>
            <w:tcW w:type="dxa" w:w="4320"/>
          </w:tcPr>
          <w:p>
            <w:pPr>
              <w:pStyle w:val="Compact"/>
              <w:jc w:val="left"/>
            </w:pPr>
            <w:r>
              <w:t xml:space="preserve">El abstract, las conclusiones y la reflexión deben quedar en inglés y revisados antes de la entrega.</w:t>
            </w:r>
          </w:p>
        </w:tc>
      </w:tr>
    </w:tbl>
    <w:bookmarkEnd w:id="21"/>
    <w:bookmarkStart w:id="22" w:name="X8f977720c14bbc02fef1bf6123095b3e4237e6d"/>
    <w:p>
      <w:pPr>
        <w:pStyle w:val="Heading2"/>
      </w:pPr>
      <w:r>
        <w:t xml:space="preserve">Indicadores de calidad del perfil de egreso</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1728"/>
        <w:gridCol w:w="4752"/>
      </w:tblGrid>
      <w:tr>
        <w:trPr>
          <w:tblHeader w:val="true"/>
        </w:trPr>
        <w:tc>
          <w:tcPr>
            <w:tcW w:type="dxa" w:w="2880"/>
          </w:tcPr>
          <w:p>
            <w:pPr>
              <w:pStyle w:val="Compact"/>
              <w:jc w:val="left"/>
            </w:pPr>
            <w:r>
              <w:t xml:space="preserve">Indicador</w:t>
            </w:r>
          </w:p>
        </w:tc>
        <w:tc>
          <w:tcPr>
            <w:tcW w:type="dxa" w:w="1728"/>
          </w:tcPr>
          <w:p>
            <w:pPr>
              <w:pStyle w:val="Compact"/>
              <w:jc w:val="left"/>
            </w:pPr>
            <w:r>
              <w:t xml:space="preserve">Estado</w:t>
            </w:r>
          </w:p>
        </w:tc>
        <w:tc>
          <w:tcPr>
            <w:tcW w:type="dxa" w:w="4752"/>
          </w:tcPr>
          <w:p>
            <w:pPr>
              <w:pStyle w:val="Compact"/>
              <w:jc w:val="left"/>
            </w:pPr>
            <w:r>
              <w:t xml:space="preserve">Evidencia o pendiente</w:t>
            </w:r>
          </w:p>
        </w:tc>
      </w:tr>
      <w:tr>
        <w:tc>
          <w:tcPr>
            <w:tcW w:type="dxa" w:w="2880"/>
          </w:tcPr>
          <w:p>
            <w:pPr>
              <w:pStyle w:val="Compact"/>
              <w:jc w:val="left"/>
            </w:pPr>
            <w:r>
              <w:t xml:space="preserve">1.1 Diseña pruebas de validación</w:t>
            </w:r>
          </w:p>
        </w:tc>
        <w:tc>
          <w:tcPr>
            <w:tcW w:type="dxa" w:w="1728"/>
          </w:tcPr>
          <w:p>
            <w:pPr>
              <w:pStyle w:val="Compact"/>
              <w:jc w:val="left"/>
            </w:pPr>
            <w:r>
              <w:t xml:space="preserve">Presente</w:t>
            </w:r>
          </w:p>
        </w:tc>
        <w:tc>
          <w:tcPr>
            <w:tcW w:type="dxa" w:w="4752"/>
          </w:tcPr>
          <w:p>
            <w:pPr>
              <w:pStyle w:val="Compact"/>
              <w:jc w:val="left"/>
            </w:pPr>
            <w:r>
              <w:t xml:space="preserve">Pruebas unitarias con pytest para los validadores (tests/test_rut.py, tests/test_phone.py)</w:t>
            </w:r>
          </w:p>
        </w:tc>
      </w:tr>
      <w:tr>
        <w:tc>
          <w:tcPr>
            <w:tcW w:type="dxa" w:w="2880"/>
          </w:tcPr>
          <w:p>
            <w:pPr>
              <w:pStyle w:val="Compact"/>
              <w:jc w:val="left"/>
            </w:pPr>
            <w:r>
              <w:t xml:space="preserve">1.2 Aplica pruebas de validación</w:t>
            </w:r>
          </w:p>
        </w:tc>
        <w:tc>
          <w:tcPr>
            <w:tcW w:type="dxa" w:w="1728"/>
          </w:tcPr>
          <w:p>
            <w:pPr>
              <w:pStyle w:val="Compact"/>
              <w:jc w:val="left"/>
            </w:pPr>
            <w:r>
              <w:t xml:space="preserve">Presente</w:t>
            </w:r>
          </w:p>
        </w:tc>
        <w:tc>
          <w:tcPr>
            <w:tcW w:type="dxa" w:w="4752"/>
          </w:tcPr>
          <w:p>
            <w:pPr>
              <w:pStyle w:val="Compact"/>
              <w:jc w:val="left"/>
            </w:pPr>
            <w:r>
              <w:t xml:space="preserve">Pruebas ejecutadas y escaneo en volumen con datos simulados (Faker)</w:t>
            </w:r>
          </w:p>
        </w:tc>
      </w:tr>
      <w:tr>
        <w:tc>
          <w:tcPr>
            <w:tcW w:type="dxa" w:w="2880"/>
          </w:tcPr>
          <w:p>
            <w:pPr>
              <w:pStyle w:val="Compact"/>
              <w:jc w:val="left"/>
            </w:pPr>
            <w:r>
              <w:t xml:space="preserve">1.3 Desarrolla mejoras según resultados</w:t>
            </w:r>
          </w:p>
        </w:tc>
        <w:tc>
          <w:tcPr>
            <w:tcW w:type="dxa" w:w="1728"/>
          </w:tcPr>
          <w:p>
            <w:pPr>
              <w:pStyle w:val="Compact"/>
              <w:jc w:val="left"/>
            </w:pPr>
            <w:r>
              <w:t xml:space="preserve">Presente</w:t>
            </w:r>
          </w:p>
        </w:tc>
        <w:tc>
          <w:tcPr>
            <w:tcW w:type="dxa" w:w="4752"/>
          </w:tcPr>
          <w:p>
            <w:pPr>
              <w:pStyle w:val="Compact"/>
              <w:jc w:val="left"/>
            </w:pPr>
            <w:r>
              <w:t xml:space="preserve">Ajustes al motor y a la API tras probar la primera versión</w:t>
            </w:r>
          </w:p>
        </w:tc>
      </w:tr>
      <w:tr>
        <w:tc>
          <w:tcPr>
            <w:tcW w:type="dxa" w:w="2880"/>
          </w:tcPr>
          <w:p>
            <w:pPr>
              <w:pStyle w:val="Compact"/>
              <w:jc w:val="left"/>
            </w:pPr>
            <w:r>
              <w:t xml:space="preserve">2.1 Planifica proyectos informáticos</w:t>
            </w:r>
          </w:p>
        </w:tc>
        <w:tc>
          <w:tcPr>
            <w:tcW w:type="dxa" w:w="1728"/>
          </w:tcPr>
          <w:p>
            <w:pPr>
              <w:pStyle w:val="Compact"/>
              <w:jc w:val="left"/>
            </w:pPr>
            <w:r>
              <w:t xml:space="preserve">Presente</w:t>
            </w:r>
          </w:p>
        </w:tc>
        <w:tc>
          <w:tcPr>
            <w:tcW w:type="dxa" w:w="4752"/>
          </w:tcPr>
          <w:p>
            <w:pPr>
              <w:pStyle w:val="Compact"/>
              <w:jc w:val="left"/>
            </w:pPr>
            <w:r>
              <w:t xml:space="preserve">Plan de trabajo y carta Gantt de la Fase 1</w:t>
            </w:r>
          </w:p>
        </w:tc>
      </w:tr>
      <w:tr>
        <w:tc>
          <w:tcPr>
            <w:tcW w:type="dxa" w:w="2880"/>
          </w:tcPr>
          <w:p>
            <w:pPr>
              <w:pStyle w:val="Compact"/>
              <w:jc w:val="left"/>
            </w:pPr>
            <w:r>
              <w:t xml:space="preserve">2.2 Controla proyectos informáticos</w:t>
            </w:r>
          </w:p>
        </w:tc>
        <w:tc>
          <w:tcPr>
            <w:tcW w:type="dxa" w:w="1728"/>
          </w:tcPr>
          <w:p>
            <w:pPr>
              <w:pStyle w:val="Compact"/>
              <w:jc w:val="left"/>
            </w:pPr>
            <w:r>
              <w:t xml:space="preserve">Presente</w:t>
            </w:r>
          </w:p>
        </w:tc>
        <w:tc>
          <w:tcPr>
            <w:tcW w:type="dxa" w:w="4752"/>
          </w:tcPr>
          <w:p>
            <w:pPr>
              <w:pStyle w:val="Compact"/>
              <w:jc w:val="left"/>
            </w:pPr>
            <w:r>
              <w:t xml:space="preserve">Ajuste de alcance y nueva actividad de empaquetado</w:t>
            </w:r>
          </w:p>
        </w:tc>
      </w:tr>
      <w:tr>
        <w:tc>
          <w:tcPr>
            <w:tcW w:type="dxa" w:w="2880"/>
          </w:tcPr>
          <w:p>
            <w:pPr>
              <w:pStyle w:val="Compact"/>
              <w:jc w:val="left"/>
            </w:pPr>
            <w:r>
              <w:t xml:space="preserve">3.1 Diseña modelos de datos</w:t>
            </w:r>
          </w:p>
        </w:tc>
        <w:tc>
          <w:tcPr>
            <w:tcW w:type="dxa" w:w="1728"/>
          </w:tcPr>
          <w:p>
            <w:pPr>
              <w:pStyle w:val="Compact"/>
              <w:jc w:val="left"/>
            </w:pPr>
            <w:r>
              <w:t xml:space="preserve">Presente</w:t>
            </w:r>
          </w:p>
        </w:tc>
        <w:tc>
          <w:tcPr>
            <w:tcW w:type="dxa" w:w="4752"/>
          </w:tcPr>
          <w:p>
            <w:pPr>
              <w:pStyle w:val="Compact"/>
              <w:jc w:val="left"/>
            </w:pPr>
            <w:r>
              <w:t xml:space="preserve">Modelo de datos de los hallazgos (db_models.py)</w:t>
            </w:r>
          </w:p>
        </w:tc>
      </w:tr>
      <w:tr>
        <w:tc>
          <w:tcPr>
            <w:tcW w:type="dxa" w:w="2880"/>
          </w:tcPr>
          <w:p>
            <w:pPr>
              <w:pStyle w:val="Compact"/>
              <w:jc w:val="left"/>
            </w:pPr>
            <w:r>
              <w:t xml:space="preserve">3.2 Implementa modelos de datos</w:t>
            </w:r>
          </w:p>
        </w:tc>
        <w:tc>
          <w:tcPr>
            <w:tcW w:type="dxa" w:w="1728"/>
          </w:tcPr>
          <w:p>
            <w:pPr>
              <w:pStyle w:val="Compact"/>
              <w:jc w:val="left"/>
            </w:pPr>
            <w:r>
              <w:t xml:space="preserve">Presente</w:t>
            </w:r>
          </w:p>
        </w:tc>
        <w:tc>
          <w:tcPr>
            <w:tcW w:type="dxa" w:w="4752"/>
          </w:tcPr>
          <w:p>
            <w:pPr>
              <w:pStyle w:val="Compact"/>
              <w:jc w:val="left"/>
            </w:pPr>
            <w:r>
              <w:t xml:space="preserve">PostgreSQL con SQLAlchemy y script de instalación (setup_db.ps1)</w:t>
            </w:r>
          </w:p>
        </w:tc>
      </w:tr>
      <w:tr>
        <w:tc>
          <w:tcPr>
            <w:tcW w:type="dxa" w:w="2880"/>
          </w:tcPr>
          <w:p>
            <w:pPr>
              <w:pStyle w:val="Compact"/>
              <w:jc w:val="left"/>
            </w:pPr>
            <w:r>
              <w:t xml:space="preserve">4.1 Construye una solución de software</w:t>
            </w:r>
          </w:p>
        </w:tc>
        <w:tc>
          <w:tcPr>
            <w:tcW w:type="dxa" w:w="1728"/>
          </w:tcPr>
          <w:p>
            <w:pPr>
              <w:pStyle w:val="Compact"/>
              <w:jc w:val="left"/>
            </w:pPr>
            <w:r>
              <w:t xml:space="preserve">Presente</w:t>
            </w:r>
          </w:p>
        </w:tc>
        <w:tc>
          <w:tcPr>
            <w:tcW w:type="dxa" w:w="4752"/>
          </w:tcPr>
          <w:p>
            <w:pPr>
              <w:pStyle w:val="Compact"/>
              <w:jc w:val="left"/>
            </w:pPr>
            <w:r>
              <w:t xml:space="preserve">Aplicación K-Secure con API en FastAPI</w:t>
            </w:r>
          </w:p>
        </w:tc>
      </w:tr>
      <w:tr>
        <w:tc>
          <w:tcPr>
            <w:tcW w:type="dxa" w:w="2880"/>
          </w:tcPr>
          <w:p>
            <w:pPr>
              <w:pStyle w:val="Compact"/>
              <w:jc w:val="left"/>
            </w:pPr>
            <w:r>
              <w:t xml:space="preserve">4.2 Integra componentes</w:t>
            </w:r>
          </w:p>
        </w:tc>
        <w:tc>
          <w:tcPr>
            <w:tcW w:type="dxa" w:w="1728"/>
          </w:tcPr>
          <w:p>
            <w:pPr>
              <w:pStyle w:val="Compact"/>
              <w:jc w:val="left"/>
            </w:pPr>
            <w:r>
              <w:t xml:space="preserve">Presente</w:t>
            </w:r>
          </w:p>
        </w:tc>
        <w:tc>
          <w:tcPr>
            <w:tcW w:type="dxa" w:w="4752"/>
          </w:tcPr>
          <w:p>
            <w:pPr>
              <w:pStyle w:val="Compact"/>
              <w:jc w:val="left"/>
            </w:pPr>
            <w:r>
              <w:t xml:space="preserve">Interfaz web, API REST, motor de escaneo y base de datos conectados</w:t>
            </w:r>
          </w:p>
        </w:tc>
      </w:tr>
      <w:tr>
        <w:tc>
          <w:tcPr>
            <w:tcW w:type="dxa" w:w="2880"/>
          </w:tcPr>
          <w:p>
            <w:pPr>
              <w:pStyle w:val="Compact"/>
              <w:jc w:val="left"/>
            </w:pPr>
            <w:r>
              <w:t xml:space="preserve">4.3 Implanta la solución</w:t>
            </w:r>
          </w:p>
        </w:tc>
        <w:tc>
          <w:tcPr>
            <w:tcW w:type="dxa" w:w="1728"/>
          </w:tcPr>
          <w:p>
            <w:pPr>
              <w:pStyle w:val="Compact"/>
              <w:jc w:val="left"/>
            </w:pPr>
            <w:r>
              <w:t xml:space="preserve">No presente aún</w:t>
            </w:r>
          </w:p>
        </w:tc>
        <w:tc>
          <w:tcPr>
            <w:tcW w:type="dxa" w:w="4752"/>
          </w:tcPr>
          <w:p>
            <w:pPr>
              <w:pStyle w:val="Compact"/>
              <w:jc w:val="left"/>
            </w:pPr>
            <w:r>
              <w:t xml:space="preserve">Falta empaquetar como aplicación ejecutable</w:t>
            </w:r>
          </w:p>
        </w:tc>
      </w:tr>
    </w:tbl>
    <w:bookmarkEnd w:id="22"/>
    <w:bookmarkStart w:id="23" w:name="fortalezas-y-aspectos-por-mejorar"/>
    <w:p>
      <w:pPr>
        <w:pStyle w:val="Heading2"/>
      </w:pPr>
      <w:r>
        <w:t xml:space="preserve">Fortalezas y aspectos por mejorar</w:t>
      </w:r>
    </w:p>
    <w:p>
      <w:pPr>
        <w:pStyle w:val="FirstParagraph"/>
      </w:pPr>
      <w:r>
        <w:rPr>
          <w:bCs/>
          <w:b/>
        </w:rPr>
        <w:t xml:space="preserve">Fortalezas</w:t>
      </w:r>
    </w:p>
    <w:p>
      <w:pPr>
        <w:numPr>
          <w:ilvl w:val="0"/>
          <w:numId w:val="1001"/>
        </w:numPr>
        <w:pStyle w:val="Compact"/>
      </w:pPr>
      <w:r>
        <w:t xml:space="preserve">La aplicación ya funciona de punta a punta: carga de archivos, escaneo, almacenamiento y visualización de resultados.</w:t>
      </w:r>
    </w:p>
    <w:p>
      <w:pPr>
        <w:numPr>
          <w:ilvl w:val="0"/>
          <w:numId w:val="1001"/>
        </w:numPr>
        <w:pStyle w:val="Compact"/>
      </w:pPr>
      <w:r>
        <w:t xml:space="preserve">Los datos sensibles se muestran enmascarados y solo se revelan con contraseña, lo que protege la información incluso dentro de la herramienta.</w:t>
      </w:r>
    </w:p>
    <w:p>
      <w:pPr>
        <w:pStyle w:val="FirstParagraph"/>
      </w:pPr>
      <w:r>
        <w:rPr>
          <w:bCs/>
          <w:b/>
        </w:rPr>
        <w:t xml:space="preserve">Aspectos por mejorar antes de la evaluación sumativa</w:t>
      </w:r>
    </w:p>
    <w:p>
      <w:pPr>
        <w:numPr>
          <w:ilvl w:val="0"/>
          <w:numId w:val="1002"/>
        </w:numPr>
        <w:pStyle w:val="Compact"/>
      </w:pPr>
      <w:r>
        <w:t xml:space="preserve">Definir cómo empaquetar la aplicación (API + base de datos) para que el cliente no deba configurar nada.</w:t>
      </w:r>
    </w:p>
    <w:p>
      <w:pPr>
        <w:numPr>
          <w:ilvl w:val="0"/>
          <w:numId w:val="1002"/>
        </w:numPr>
        <w:pStyle w:val="Compact"/>
      </w:pPr>
      <w:r>
        <w:t xml:space="preserve">Registrar el avance con commits frecuentes en el repositorio, en vez de una sola subida.</w:t>
      </w:r>
    </w:p>
    <w:p>
      <w:pPr>
        <w:numPr>
          <w:ilvl w:val="0"/>
          <w:numId w:val="1002"/>
        </w:numPr>
        <w:pStyle w:val="Compact"/>
      </w:pPr>
      <w:r>
        <w:t xml:space="preserve">Agregar evidencias al anexo: capturas de la interfaz y reportes generados.</w:t>
      </w:r>
    </w:p>
    <w:p>
      <w:pPr>
        <w:numPr>
          <w:ilvl w:val="0"/>
          <w:numId w:val="1002"/>
        </w:numPr>
        <w:pStyle w:val="Compact"/>
      </w:pPr>
      <w:r>
        <w:t xml:space="preserve">Revisar ortografía, formato del informe y apartados en inglés.</w:t>
      </w:r>
    </w:p>
    <w:bookmarkEnd w:id="23"/>
    <w:bookmarkStart w:id="24" w:name="individual-conclusions"/>
    <w:p>
      <w:pPr>
        <w:pStyle w:val="Heading2"/>
      </w:pPr>
      <w:r>
        <w:t xml:space="preserve">Individual Conclusions</w:t>
      </w:r>
    </w:p>
    <w:p>
      <w:pPr>
        <w:pStyle w:val="FirstParagraph"/>
      </w:pPr>
      <w:r>
        <w:t xml:space="preserve">In this stage of the APT project, I worked on the K-Secure application, which turns our scanning engine into a tool that people can actually use. I built a REST API with FastAPI that receives files from a web interface, scans them for sensitive data and stores the findings in a PostgreSQL database using SQLAlchemy. The application supports several file formats, such as CSV, DOCX, XLSX, PPTX and PDF. To protect the information, sensitive values are shown masked and can only be revealed with a password. I also created a setup script to automate the database configuration, so any team member can run the project easily. Our next step is to package the application so the client can use it without touching any code.</w:t>
      </w:r>
    </w:p>
    <w:bookmarkEnd w:id="24"/>
    <w:bookmarkStart w:id="25" w:name="reflection"/>
    <w:p>
      <w:pPr>
        <w:pStyle w:val="Heading2"/>
      </w:pPr>
      <w:r>
        <w:t xml:space="preserve">Reflection</w:t>
      </w:r>
    </w:p>
    <w:p>
      <w:pPr>
        <w:pStyle w:val="FirstParagraph"/>
      </w:pPr>
      <w:r>
        <w:t xml:space="preserve">The most difficult part of this stage was setting up the environment and learning new tools, such as FastAPI and SQLAlchemy, which delayed some integration tasks. However, it taught me the value of documenting each step, so the whole team can run the project without depending on one person. I also learned that working in independent modules allowed us to make progress in parallel. For the final stage, I want to commit my work more often, so my contribution is easier to track, and help find the best way to deliver K-Secure as a ready-to-use application.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2026-10-16T00:52:43Z</dcterms:created>
  <dcterms:modified xsi:type="dcterms:W3CDTF">2026-10-16T00:52:43Z</dcterms:modified>
</cp:coreProperties>
</file>

<file path=docProps/custom.xml><?xml version="1.0" encoding="utf-8"?>
<Properties xmlns="http://schemas.openxmlformats.org/officeDocument/2006/custom-properties" xmlns:vt="http://schemas.openxmlformats.org/officeDocument/2006/docPropsVTypes"/>
</file>