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K-Secure — Especificación de Requerimientos de Software (ERS)</w:t>
      </w:r>
    </w:p>
    <w:p>
      <w:pPr/>
      <w:r>
        <w:t xml:space="preserve">Oct 15, 2026</w:t>
      </w:r>
      <w:r>
        <w:t xml:space="preserve"> · </w:t>
      </w:r>
      <w:r>
        <w:t xml:space="preserve">@Camilo Fuenzalida</w:t>
      </w:r>
    </w:p>
    <w:p>
      <w:pPr>
        <w:pStyle w:val="Heading2"/>
      </w:pPr>
      <w:r>
        <w:t xml:space="preserve">Propósito, alcance y usuarios</w:t>
      </w:r>
    </w:p>
    <w:p>
      <w:pPr/>
      <w:r>
        <w:t xml:space="preserve">K-Secure es una </w:t>
      </w:r>
      <w:r>
        <w:rPr>
          <w:b/>
        </w:rPr>
        <w:t xml:space="preserve">aplicación web</w:t>
      </w:r>
      <w:r>
        <w:t xml:space="preserve"> (servidor Python con FastAPI + páginas HTML) que detecta datos sensibles chilenos en documentos y bases de datos, y los clasifica por nivel de riesgo. Se usa desde el navegador: en un PC local (</w:t>
      </w:r>
      <w:r>
        <w:rPr>
          <w:rStyle w:val="CodeChar"/>
        </w:rPr>
        <w:t xml:space="preserve">uvicorn</w:t>
      </w:r>
      <w:r>
        <w:t xml:space="preserve">) o publicada en la nube (Render + Neon). Su salida sirve para alimentar a un DLP; K-Secure no bloquea ni modifica datos.</w:t>
      </w:r>
    </w:p>
    <w:p>
      <w:pPr/>
      <w:r>
        <w:rPr>
          <w:b/>
        </w:rPr>
        <w:t xml:space="preserve">Alcance de la versión actual (0.1.0):</w:t>
      </w:r>
      <w:r>
        <w:t xml:space="preserve"> escaneo de archivos y de bases PostgreSQL, MySQL, SQL Server, Oracle y SQLite; 7 validadores incluidos; reglas personalizadas desde pantalla; resultados enmascarados; bóveda con clave de auditor; historial. </w:t>
      </w:r>
      <w:r>
        <w:rPr>
          <w:b/>
        </w:rPr>
        <w:t xml:space="preserve">Siguiente iteración:</w:t>
      </w:r>
      <w:r>
        <w:t xml:space="preserve"> login con roles, recuperación de contraseña, exportación de reportes y bitácora.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Usuario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Estado en la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Admin</w:t>
            </w:r>
          </w:p>
        </w:tc>
        <w:tc>
          <w:tcPr>
            <w:tcW w:w="3120" w:type="dxa"/>
          </w:tcPr>
          <w:p>
            <w:pPr/>
            <w:r>
              <w:t xml:space="preserve">Crea cuentas, configura reglas y la clave de auditor</w:t>
            </w:r>
          </w:p>
        </w:tc>
        <w:tc>
          <w:tcPr>
            <w:tcW w:w="3120" w:type="dxa"/>
          </w:tcPr>
          <w:p>
            <w:pPr/>
            <w:r>
              <w:t xml:space="preserve">Hoy: un candado de acceso compartido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Auditor</w:t>
            </w:r>
          </w:p>
        </w:tc>
        <w:tc>
          <w:tcPr>
            <w:tcW w:w="3120" w:type="dxa"/>
          </w:tcPr>
          <w:p>
            <w:pPr/>
            <w:r>
              <w:t xml:space="preserve">Escanea y puede ver datos originales con la clave de auditor</w:t>
            </w:r>
          </w:p>
        </w:tc>
        <w:tc>
          <w:tcPr>
            <w:tcW w:w="3120" w:type="dxa"/>
          </w:tcPr>
          <w:p>
            <w:pPr/>
            <w:r>
              <w:t xml:space="preserve">Hoy: quien conoce la clave de auditor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Visor</w:t>
            </w:r>
          </w:p>
        </w:tc>
        <w:tc>
          <w:tcPr>
            <w:tcW w:w="3120" w:type="dxa"/>
          </w:tcPr>
          <w:p>
            <w:pPr/>
            <w:r>
              <w:t xml:space="preserve">Solo ve resultados enmascarados</w:t>
            </w:r>
          </w:p>
        </w:tc>
        <w:tc>
          <w:tcPr>
            <w:tcW w:w="3120" w:type="dxa"/>
          </w:tcPr>
          <w:p>
            <w:pPr/>
            <w:r>
              <w:t xml:space="preserve">Pendiente (requiere login con roles)</w:t>
            </w:r>
          </w:p>
        </w:tc>
      </w:tr>
    </w:tbl>
    <w:p>
      <w:pPr>
        <w:pStyle w:val="Heading2"/>
      </w:pPr>
      <w:r>
        <w:t xml:space="preserve">Requerimientos funcionales</w:t>
      </w:r>
    </w:p>
    <w:p>
      <w:pPr/>
      <w:r>
        <w:t xml:space="preserve">18 requerimientos: 11 implementados, 1 parcial y 6 pendientes. Los pendientes de prioridad Alta (login, recuperación y exportar) son el foco de la siguiente iteración.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Actor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Prioridad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RF-01</w:t>
            </w:r>
          </w:p>
        </w:tc>
        <w:tc>
          <w:tcPr>
            <w:tcW w:w="1872" w:type="dxa"/>
          </w:tcPr>
          <w:p>
            <w:pPr/>
            <w:r>
              <w:t xml:space="preserve">Escanear archivos subidos (docx, xlsx, xls, pptx, odt, ods, odp, pdf, csv, tsv, txt y bases .db), varios a la vez, hasta 100 MB cada uno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RF-02</w:t>
            </w:r>
          </w:p>
        </w:tc>
        <w:tc>
          <w:tcPr>
            <w:tcW w:w="1872" w:type="dxa"/>
          </w:tcPr>
          <w:p>
            <w:pPr/>
            <w:r>
              <w:t xml:space="preserve">Conectarse a una base PostgreSQL, MySQL/MariaDB, SQL Server u Oracle, probar la conexión y listar sus tablas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RF-03</w:t>
            </w:r>
          </w:p>
        </w:tc>
        <w:tc>
          <w:tcPr>
            <w:tcW w:w="1872" w:type="dxa"/>
          </w:tcPr>
          <w:p>
            <w:pPr/>
            <w:r>
              <w:t xml:space="preserve">Escanear las tablas elegidas con un límite de 1.000, 10.000 o 100.000 filas por tabla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RF-04</w:t>
            </w:r>
          </w:p>
        </w:tc>
        <w:tc>
          <w:tcPr>
            <w:tcW w:w="1872" w:type="dxa"/>
          </w:tcPr>
          <w:p>
            <w:pPr/>
            <w:r>
              <w:t xml:space="preserve">Clasificar cada valor encontrado con tipo, confianza (0-100, HIGH/MEDIUM/LOW) y riesgo (Restringido, Confidencial, Interno, Público)</w:t>
            </w:r>
          </w:p>
        </w:tc>
        <w:tc>
          <w:tcPr>
            <w:tcW w:w="1872" w:type="dxa"/>
          </w:tcPr>
          <w:p>
            <w:pPr/>
            <w:r>
              <w:t xml:space="preserve">Sistema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RF-05</w:t>
            </w:r>
          </w:p>
        </w:tc>
        <w:tc>
          <w:tcPr>
            <w:tcW w:w="1872" w:type="dxa"/>
          </w:tcPr>
          <w:p>
            <w:pPr/>
            <w:r>
              <w:t xml:space="preserve">Usar el nombre de la columna y las palabras cercanas como contexto para ajustar la confianza</w:t>
            </w:r>
          </w:p>
        </w:tc>
        <w:tc>
          <w:tcPr>
            <w:tcW w:w="1872" w:type="dxa"/>
          </w:tcPr>
          <w:p>
            <w:pPr/>
            <w:r>
              <w:t xml:space="preserve">Sistema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RF-06</w:t>
            </w:r>
          </w:p>
        </w:tc>
        <w:tc>
          <w:tcPr>
            <w:tcW w:w="1872" w:type="dxa"/>
          </w:tcPr>
          <w:p>
            <w:pPr/>
            <w:r>
              <w:t xml:space="preserve">Mostrar resultados: totales por riesgo y tipo, columnas sensibles con su %, y hallazgos paginados con filtros y orden</w:t>
            </w:r>
          </w:p>
        </w:tc>
        <w:tc>
          <w:tcPr>
            <w:tcW w:w="1872" w:type="dxa"/>
          </w:tcPr>
          <w:p>
            <w:pPr/>
            <w:r>
              <w:t xml:space="preserve">Auditor, Visor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RF-07</w:t>
            </w:r>
          </w:p>
        </w:tc>
        <w:tc>
          <w:tcPr>
            <w:tcW w:w="1872" w:type="dxa"/>
          </w:tcPr>
          <w:p>
            <w:pPr/>
            <w:r>
              <w:t xml:space="preserve">Mostrar siempre los valores enmascarados</w:t>
            </w:r>
          </w:p>
        </w:tc>
        <w:tc>
          <w:tcPr>
            <w:tcW w:w="1872" w:type="dxa"/>
          </w:tcPr>
          <w:p>
            <w:pPr/>
            <w:r>
              <w:t xml:space="preserve">Sistema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RF-08</w:t>
            </w:r>
          </w:p>
        </w:tc>
        <w:tc>
          <w:tcPr>
            <w:tcW w:w="1872" w:type="dxa"/>
          </w:tcPr>
          <w:p>
            <w:pPr/>
            <w:r>
              <w:t xml:space="preserve">Crear la clave de auditor y revelar un dato original solo con ella; 5 intentos fallidos bloquean 1 minuto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RF-09</w:t>
            </w:r>
          </w:p>
        </w:tc>
        <w:tc>
          <w:tcPr>
            <w:tcW w:w="1872" w:type="dxa"/>
          </w:tcPr>
          <w:p>
            <w:pPr/>
            <w:r>
              <w:t xml:space="preserve">Ver el historial de escaneos y borrar un escaneo con sus hallazgos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RF-10</w:t>
            </w:r>
          </w:p>
        </w:tc>
        <w:tc>
          <w:tcPr>
            <w:tcW w:w="1872" w:type="dxa"/>
          </w:tcPr>
          <w:p>
            <w:pPr/>
            <w:r>
              <w:t xml:space="preserve">Crear, editar, apagar y borrar reglas personalizadas a partir de ejemplos del dato, probándolas en vivo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RF-11</w:t>
            </w:r>
          </w:p>
        </w:tc>
        <w:tc>
          <w:tcPr>
            <w:tcW w:w="1872" w:type="dxa"/>
          </w:tcPr>
          <w:p>
            <w:pPr/>
            <w:r>
              <w:t xml:space="preserve">Apagar validadores incluidos y agregarles palabras de contexto</w:t>
            </w:r>
          </w:p>
        </w:tc>
        <w:tc>
          <w:tcPr>
            <w:tcW w:w="1872" w:type="dxa"/>
          </w:tcPr>
          <w:p>
            <w:pPr/>
            <w:r>
              <w:t xml:space="preserve">Admin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RF-12</w:t>
            </w:r>
          </w:p>
        </w:tc>
        <w:tc>
          <w:tcPr>
            <w:tcW w:w="1872" w:type="dxa"/>
          </w:tcPr>
          <w:p>
            <w:pPr/>
            <w:r>
              <w:t xml:space="preserve">Proteger el acceso a la web publicada con usuario y contraseña</w:t>
            </w:r>
          </w:p>
        </w:tc>
        <w:tc>
          <w:tcPr>
            <w:tcW w:w="1872" w:type="dxa"/>
          </w:tcPr>
          <w:p>
            <w:pPr/>
            <w:r>
              <w:t xml:space="preserve">Sistema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RF-13</w:t>
            </w:r>
          </w:p>
        </w:tc>
        <w:tc>
          <w:tcPr>
            <w:tcW w:w="1872" w:type="dxa"/>
          </w:tcPr>
          <w:p>
            <w:pPr/>
            <w:r>
              <w:t xml:space="preserve">Iniciar sesión con cuentas individuales y roles (Admin, Auditor, Visor); sin registro público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RF-14</w:t>
            </w:r>
          </w:p>
        </w:tc>
        <w:tc>
          <w:tcPr>
            <w:tcW w:w="1872" w:type="dxa"/>
          </w:tcPr>
          <w:p>
            <w:pPr/>
            <w:r>
              <w:t xml:space="preserve">Recuperar la contraseña con un código de 6 dígitos enviado al correo, válido 10 minutos</w:t>
            </w:r>
          </w:p>
        </w:tc>
        <w:tc>
          <w:tcPr>
            <w:tcW w:w="1872" w:type="dxa"/>
          </w:tcPr>
          <w:p>
            <w:pPr/>
            <w:r>
              <w:t xml:space="preserve">Todos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RF-15</w:t>
            </w:r>
          </w:p>
        </w:tc>
        <w:tc>
          <w:tcPr>
            <w:tcW w:w="1872" w:type="dxa"/>
          </w:tcPr>
          <w:p>
            <w:pPr/>
            <w:r>
              <w:t xml:space="preserve">Exportar el reporte de un escaneo a PDF, CSV y JSON (formato para el DLP)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Alta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RF-16</w:t>
            </w:r>
          </w:p>
        </w:tc>
        <w:tc>
          <w:tcPr>
            <w:tcW w:w="1872" w:type="dxa"/>
          </w:tcPr>
          <w:p>
            <w:pPr/>
            <w:r>
              <w:t xml:space="preserve">Confirmar o descartar hallazgos dudosos, indicando un motivo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RF-17</w:t>
            </w:r>
          </w:p>
        </w:tc>
        <w:tc>
          <w:tcPr>
            <w:tcW w:w="1872" w:type="dxa"/>
          </w:tcPr>
          <w:p>
            <w:pPr/>
            <w:r>
              <w:t xml:space="preserve">Registrar en una bitácora quién escaneó, quién reveló datos y quién cambió reglas</w:t>
            </w:r>
          </w:p>
        </w:tc>
        <w:tc>
          <w:tcPr>
            <w:tcW w:w="1872" w:type="dxa"/>
          </w:tcPr>
          <w:p>
            <w:pPr/>
            <w:r>
              <w:t xml:space="preserve">Sistema</w:t>
            </w:r>
          </w:p>
        </w:tc>
        <w:tc>
          <w:tcPr>
            <w:tcW w:w="1872" w:type="dxa"/>
          </w:tcPr>
          <w:p>
            <w:pPr/>
            <w:r>
              <w:t xml:space="preserve">Media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RF-18</w:t>
            </w:r>
          </w:p>
        </w:tc>
        <w:tc>
          <w:tcPr>
            <w:tcW w:w="1872" w:type="dxa"/>
          </w:tcPr>
          <w:p>
            <w:pPr/>
            <w:r>
              <w:t xml:space="preserve">Comparar dos escaneos de la misma fuente</w:t>
            </w:r>
          </w:p>
        </w:tc>
        <w:tc>
          <w:tcPr>
            <w:tcW w:w="1872" w:type="dxa"/>
          </w:tcPr>
          <w:p>
            <w:pPr/>
            <w:r>
              <w:t xml:space="preserve">Auditor</w:t>
            </w:r>
          </w:p>
        </w:tc>
        <w:tc>
          <w:tcPr>
            <w:tcW w:w="1872" w:type="dxa"/>
          </w:tcPr>
          <w:p>
            <w:pPr/>
            <w:r>
              <w:t xml:space="preserve">Baja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</w:tbl>
    <w:p>
      <w:pPr/>
      <w:r>
        <w:t xml:space="preserve">RF-12 es parcial: hoy existe un candado con un solo usuario compartido (variable </w:t>
      </w:r>
      <w:r>
        <w:rPr>
          <w:rStyle w:val="CodeChar"/>
        </w:rPr>
        <w:t xml:space="preserve">KSECURE_ACCESO</w:t>
      </w:r>
      <w:r>
        <w:t xml:space="preserve">), que RF-13 reemplazará.</w:t>
      </w:r>
    </w:p>
    <w:p>
      <w:pPr>
        <w:pStyle w:val="Heading2"/>
      </w:pPr>
      <w:r>
        <w:t xml:space="preserve">Requerimientos no funcionales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ID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Categoría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Requerimiento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Cómo se verifica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Estado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RNF-01</w:t>
            </w:r>
          </w:p>
        </w:tc>
        <w:tc>
          <w:tcPr>
            <w:tcW w:w="1872" w:type="dxa"/>
          </w:tcPr>
          <w:p>
            <w:pPr/>
            <w:r>
              <w:t xml:space="preserve">Seguridad</w:t>
            </w:r>
          </w:p>
        </w:tc>
        <w:tc>
          <w:tcPr>
            <w:tcW w:w="1872" w:type="dxa"/>
          </w:tcPr>
          <w:p>
            <w:pPr/>
            <w:r>
              <w:t xml:space="preserve">Solo lectura en las bases del cliente: solo </w:t>
            </w:r>
            <w:r>
              <w:rPr>
                <w:rStyle w:val="CodeChar"/>
              </w:rPr>
              <w:t xml:space="preserve">SELECT</w:t>
            </w:r>
            <w:r>
              <w:t xml:space="preserve">, transacciones READ ONLY en PostgreSQL y MySQL, SQLite en modo </w:t>
            </w:r>
            <w:r>
              <w:rPr>
                <w:rStyle w:val="CodeChar"/>
              </w:rPr>
              <w:t xml:space="preserve">ro</w:t>
            </w:r>
          </w:p>
        </w:tc>
        <w:tc>
          <w:tcPr>
            <w:tcW w:w="1872" w:type="dxa"/>
          </w:tcPr>
          <w:p>
            <w:pPr/>
            <w:r>
              <w:t xml:space="preserve">Revisión de </w:t>
            </w:r>
            <w:r>
              <w:rPr>
                <w:rStyle w:val="CodeChar"/>
              </w:rPr>
              <w:t xml:space="preserve">escaneo/bases_datos.py</w:t>
            </w:r>
            <w:r>
              <w:t xml:space="preserve"> + prueba CP-14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RNF-02</w:t>
            </w:r>
          </w:p>
        </w:tc>
        <w:tc>
          <w:tcPr>
            <w:tcW w:w="1872" w:type="dxa"/>
          </w:tcPr>
          <w:p>
            <w:pPr/>
            <w:r>
              <w:t xml:space="preserve">Seguridad</w:t>
            </w:r>
          </w:p>
        </w:tc>
        <w:tc>
          <w:tcPr>
            <w:tcW w:w="1872" w:type="dxa"/>
          </w:tcPr>
          <w:p>
            <w:pPr/>
            <w:r>
              <w:t xml:space="preserve">El dato original nunca se guarda en claro: enmascarado para mostrar y cifrado (RSA-2048 + Fernet/AES) para el auditor</w:t>
            </w:r>
          </w:p>
        </w:tc>
        <w:tc>
          <w:tcPr>
            <w:tcW w:w="1872" w:type="dxa"/>
          </w:tcPr>
          <w:p>
            <w:pPr/>
            <w:r>
              <w:t xml:space="preserve">Revisión de la base interna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RNF-03</w:t>
            </w:r>
          </w:p>
        </w:tc>
        <w:tc>
          <w:tcPr>
            <w:tcW w:w="1872" w:type="dxa"/>
          </w:tcPr>
          <w:p>
            <w:pPr/>
            <w:r>
              <w:t xml:space="preserve">Seguridad</w:t>
            </w:r>
          </w:p>
        </w:tc>
        <w:tc>
          <w:tcPr>
            <w:tcW w:w="1872" w:type="dxa"/>
          </w:tcPr>
          <w:p>
            <w:pPr/>
            <w:r>
              <w:t xml:space="preserve">Las credenciales de la base del cliente no se guardan; se usan solo durante el escaneo</w:t>
            </w:r>
          </w:p>
        </w:tc>
        <w:tc>
          <w:tcPr>
            <w:tcW w:w="1872" w:type="dxa"/>
          </w:tcPr>
          <w:p>
            <w:pPr/>
            <w:r>
              <w:t xml:space="preserve">Revisión de la base interna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RNF-04</w:t>
            </w:r>
          </w:p>
        </w:tc>
        <w:tc>
          <w:tcPr>
            <w:tcW w:w="1872" w:type="dxa"/>
          </w:tcPr>
          <w:p>
            <w:pPr/>
            <w:r>
              <w:t xml:space="preserve">Seguridad</w:t>
            </w:r>
          </w:p>
        </w:tc>
        <w:tc>
          <w:tcPr>
            <w:tcW w:w="1872" w:type="dxa"/>
          </w:tcPr>
          <w:p>
            <w:pPr/>
            <w:r>
              <w:t xml:space="preserve">Archivos subidos: máximo 100 MB, el nombre del usuario no decide la ruta en disco y se borran al terminar</w:t>
            </w:r>
          </w:p>
        </w:tc>
        <w:tc>
          <w:tcPr>
            <w:tcW w:w="1872" w:type="dxa"/>
          </w:tcPr>
          <w:p>
            <w:pPr/>
            <w:r>
              <w:t xml:space="preserve">Prueba CP-03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RNF-05</w:t>
            </w:r>
          </w:p>
        </w:tc>
        <w:tc>
          <w:tcPr>
            <w:tcW w:w="1872" w:type="dxa"/>
          </w:tcPr>
          <w:p>
            <w:pPr/>
            <w:r>
              <w:t xml:space="preserve">Rendimiento</w:t>
            </w:r>
          </w:p>
        </w:tc>
        <w:tc>
          <w:tcPr>
            <w:tcW w:w="1872" w:type="dxa"/>
          </w:tcPr>
          <w:p>
            <w:pPr/>
            <w:r>
              <w:t xml:space="preserve">Escanear 1.000 filas de una tabla en 1 s o menos</w:t>
            </w:r>
          </w:p>
        </w:tc>
        <w:tc>
          <w:tcPr>
            <w:tcW w:w="1872" w:type="dxa"/>
          </w:tcPr>
          <w:p>
            <w:pPr/>
            <w:r>
              <w:t xml:space="preserve">Medido: 0,3 s (5 columnas)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RNF-06</w:t>
            </w:r>
          </w:p>
        </w:tc>
        <w:tc>
          <w:tcPr>
            <w:tcW w:w="1872" w:type="dxa"/>
          </w:tcPr>
          <w:p>
            <w:pPr/>
            <w:r>
              <w:t xml:space="preserve">Rendimiento</w:t>
            </w:r>
          </w:p>
        </w:tc>
        <w:tc>
          <w:tcPr>
            <w:tcW w:w="1872" w:type="dxa"/>
          </w:tcPr>
          <w:p>
            <w:pPr/>
            <w:r>
              <w:t xml:space="preserve">Escanear 100.000 filas en 60 s o menos</w:t>
            </w:r>
          </w:p>
        </w:tc>
        <w:tc>
          <w:tcPr>
            <w:tcW w:w="1872" w:type="dxa"/>
          </w:tcPr>
          <w:p>
            <w:pPr/>
            <w:r>
              <w:t xml:space="preserve">Medido: 32 s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RNF-07</w:t>
            </w:r>
          </w:p>
        </w:tc>
        <w:tc>
          <w:tcPr>
            <w:tcW w:w="1872" w:type="dxa"/>
          </w:tcPr>
          <w:p>
            <w:pPr/>
            <w:r>
              <w:t xml:space="preserve">Exactitud</w:t>
            </w:r>
          </w:p>
        </w:tc>
        <w:tc>
          <w:tcPr>
            <w:tcW w:w="1872" w:type="dxa"/>
          </w:tcPr>
          <w:p>
            <w:pPr/>
            <w:r>
              <w:t xml:space="preserve">Detectar todas las columnas sensibles de la base demo sin falsos positivos</w:t>
            </w:r>
          </w:p>
        </w:tc>
        <w:tc>
          <w:tcPr>
            <w:tcW w:w="1872" w:type="dxa"/>
          </w:tcPr>
          <w:p>
            <w:pPr/>
            <w:r>
              <w:t xml:space="preserve">Medido: 9 de 9, 0 falsos positivos en 11 columnas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RNF-08</w:t>
            </w:r>
          </w:p>
        </w:tc>
        <w:tc>
          <w:tcPr>
            <w:tcW w:w="1872" w:type="dxa"/>
          </w:tcPr>
          <w:p>
            <w:pPr/>
            <w:r>
              <w:t xml:space="preserve">Determinismo</w:t>
            </w:r>
          </w:p>
        </w:tc>
        <w:tc>
          <w:tcPr>
            <w:tcW w:w="1872" w:type="dxa"/>
          </w:tcPr>
          <w:p>
            <w:pPr/>
            <w:r>
              <w:t xml:space="preserve">El mismo escaneo repetido produce el mismo resultado</w:t>
            </w:r>
          </w:p>
        </w:tc>
        <w:tc>
          <w:tcPr>
            <w:tcW w:w="1872" w:type="dxa"/>
          </w:tcPr>
          <w:p>
            <w:pPr/>
            <w:r>
              <w:t xml:space="preserve">Falta </w:t>
            </w:r>
            <w:r>
              <w:rPr>
                <w:rStyle w:val="CodeChar"/>
              </w:rPr>
              <w:t xml:space="preserve">ORDER BY</w:t>
            </w:r>
            <w:r>
              <w:t xml:space="preserve"> al leer tablas más grandes que el límite</w:t>
            </w:r>
          </w:p>
        </w:tc>
        <w:tc>
          <w:tcPr>
            <w:tcW w:w="1872" w:type="dxa"/>
          </w:tcPr>
          <w:p>
            <w:pPr/>
            <w:r>
              <w:t xml:space="preserve">Parcial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RNF-09</w:t>
            </w:r>
          </w:p>
        </w:tc>
        <w:tc>
          <w:tcPr>
            <w:tcW w:w="1872" w:type="dxa"/>
          </w:tcPr>
          <w:p>
            <w:pPr/>
            <w:r>
              <w:t xml:space="preserve">Usabilidad</w:t>
            </w:r>
          </w:p>
        </w:tc>
        <w:tc>
          <w:tcPr>
            <w:tcW w:w="1872" w:type="dxa"/>
          </w:tcPr>
          <w:p>
            <w:pPr/>
            <w:r>
              <w:t xml:space="preserve">Interfaz web en español; las reglas se crean con ejemplos, sin escribir expresiones regulares</w:t>
            </w:r>
          </w:p>
        </w:tc>
        <w:tc>
          <w:tcPr>
            <w:tcW w:w="1872" w:type="dxa"/>
          </w:tcPr>
          <w:p>
            <w:pPr/>
            <w:r>
              <w:t xml:space="preserve">Prueba con usuario CP-20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RNF-10</w:t>
            </w:r>
          </w:p>
        </w:tc>
        <w:tc>
          <w:tcPr>
            <w:tcW w:w="1872" w:type="dxa"/>
          </w:tcPr>
          <w:p>
            <w:pPr/>
            <w:r>
              <w:t xml:space="preserve">Portabilidad</w:t>
            </w:r>
          </w:p>
        </w:tc>
        <w:tc>
          <w:tcPr>
            <w:tcW w:w="1872" w:type="dxa"/>
          </w:tcPr>
          <w:p>
            <w:pPr/>
            <w:r>
              <w:t xml:space="preserve">Funciona en cualquier navegador; el servidor corre con Python 3.11+ en local o en la nube (Render + Neon)</w:t>
            </w:r>
          </w:p>
        </w:tc>
        <w:tc>
          <w:tcPr>
            <w:tcW w:w="1872" w:type="dxa"/>
          </w:tcPr>
          <w:p>
            <w:pPr/>
            <w:r>
              <w:t xml:space="preserve">Despliegue en Render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RNF-11</w:t>
            </w:r>
          </w:p>
        </w:tc>
        <w:tc>
          <w:tcPr>
            <w:tcW w:w="1872" w:type="dxa"/>
          </w:tcPr>
          <w:p>
            <w:pPr/>
            <w:r>
              <w:t xml:space="preserve">Mantenibilidad</w:t>
            </w:r>
          </w:p>
        </w:tc>
        <w:tc>
          <w:tcPr>
            <w:tcW w:w="1872" w:type="dxa"/>
          </w:tcPr>
          <w:p>
            <w:pPr/>
            <w:r>
              <w:t xml:space="preserve">Pruebas automáticas con </w:t>
            </w:r>
            <w:r>
              <w:rPr>
                <w:rStyle w:val="CodeChar"/>
              </w:rPr>
              <w:t xml:space="preserve">pytest</w:t>
            </w:r>
            <w:r>
              <w:t xml:space="preserve"> que cubren validadores, reglas, preprocesadores y API</w:t>
            </w:r>
          </w:p>
        </w:tc>
        <w:tc>
          <w:tcPr>
            <w:tcW w:w="1872" w:type="dxa"/>
          </w:tcPr>
          <w:p>
            <w:pPr/>
            <w:r>
              <w:t xml:space="preserve">137 pruebas, todas pasan</w:t>
            </w:r>
          </w:p>
        </w:tc>
        <w:tc>
          <w:tcPr>
            <w:tcW w:w="1872" w:type="dxa"/>
          </w:tcPr>
          <w:p>
            <w:pPr/>
            <w:r>
              <w:t xml:space="preserve">Implementado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RNF-12</w:t>
            </w:r>
          </w:p>
        </w:tc>
        <w:tc>
          <w:tcPr>
            <w:tcW w:w="1872" w:type="dxa"/>
          </w:tcPr>
          <w:p>
            <w:pPr/>
            <w:r>
              <w:t xml:space="preserve">Seguridad</w:t>
            </w:r>
          </w:p>
        </w:tc>
        <w:tc>
          <w:tcPr>
            <w:tcW w:w="1872" w:type="dxa"/>
          </w:tcPr>
          <w:p>
            <w:pPr/>
            <w:r>
              <w:t xml:space="preserve">Contraseñas de usuarios con hash bcrypt y sesiones que expiran por inactividad</w:t>
            </w:r>
          </w:p>
        </w:tc>
        <w:tc>
          <w:tcPr>
            <w:tcW w:w="1872" w:type="dxa"/>
          </w:tcPr>
          <w:p>
            <w:pPr/>
            <w:r>
              <w:t xml:space="preserve">Depende del login (RF-13)</w:t>
            </w:r>
          </w:p>
        </w:tc>
        <w:tc>
          <w:tcPr>
            <w:tcW w:w="1872" w:type="dxa"/>
          </w:tcPr>
          <w:p>
            <w:pPr/>
            <w:r>
              <w:t xml:space="preserve">Pendiente</w:t>
            </w:r>
          </w:p>
        </w:tc>
      </w:tr>
    </w:tbl>
    <w:p>
      <w:pPr>
        <w:pStyle w:val="Heading2"/>
      </w:pPr>
      <w:r>
        <w:t xml:space="preserve">Restricciones, supuestos y fuera de alcance</w:t>
      </w:r>
    </w:p>
    <w:p>
      <w:pPr/>
      <w:r>
        <w:rPr>
          <w:b/>
        </w:rPr>
        <w:t xml:space="preserve">Restricciones</w:t>
      </w:r>
    </w:p>
    <w:p>
      <w:pPr>
        <w:pStyle w:val="ListParagraph"/>
        <w:numPr>
          <w:ilvl w:val="0"/>
          <w:numId w:val="2"/>
        </w:numPr>
      </w:pPr>
      <w:r>
        <w:t xml:space="preserve">Python 3.11+, FastAPI, SQLAlchemy 2 y </w:t>
      </w:r>
      <w:r>
        <w:rPr>
          <w:rStyle w:val="CodeChar"/>
        </w:rPr>
        <w:t xml:space="preserve">cryptography</w:t>
      </w:r>
      <w:r>
        <w:t xml:space="preserve">; interfaz en HTML, CSS y JavaScript sin frameworks.</w:t>
      </w:r>
    </w:p>
    <w:p>
      <w:pPr>
        <w:pStyle w:val="ListParagraph"/>
        <w:numPr>
          <w:ilvl w:val="0"/>
          <w:numId w:val="2"/>
        </w:numPr>
      </w:pPr>
      <w:r>
        <w:t xml:space="preserve">Base interna: SQLite local por defecto o PostgreSQL (Neon) con la variable </w:t>
      </w:r>
      <w:r>
        <w:rPr>
          <w:rStyle w:val="CodeChar"/>
        </w:rPr>
        <w:t xml:space="preserve">KSECURE_DB_URL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Publicación gratuita en Render: la app se duerme tras 15 minutos sin uso y la primera visita tarda cerca de 1 minuto.</w:t>
      </w:r>
    </w:p>
    <w:p>
      <w:pPr>
        <w:pStyle w:val="ListParagraph"/>
        <w:numPr>
          <w:ilvl w:val="0"/>
          <w:numId w:val="2"/>
        </w:numPr>
      </w:pPr>
      <w:r>
        <w:t xml:space="preserve">Entrega final el 1 de diciembre de 2026; equipo de 3 personas.</w:t>
      </w:r>
    </w:p>
    <w:p>
      <w:pPr/>
      <w:r>
        <w:rPr>
          <w:b/>
        </w:rPr>
        <w:t xml:space="preserve">Supuestos</w:t>
      </w:r>
    </w:p>
    <w:p>
      <w:pPr>
        <w:pStyle w:val="ListParagraph"/>
        <w:numPr>
          <w:ilvl w:val="0"/>
          <w:numId w:val="3"/>
        </w:numPr>
      </w:pPr>
      <w:r>
        <w:t xml:space="preserve">El cliente entrega un usuario de base de datos con permiso de solo lectura.</w:t>
      </w:r>
    </w:p>
    <w:p>
      <w:pPr>
        <w:pStyle w:val="ListParagraph"/>
        <w:numPr>
          <w:ilvl w:val="0"/>
          <w:numId w:val="3"/>
        </w:numPr>
      </w:pPr>
      <w:r>
        <w:t xml:space="preserve">El servidor donde corre K-Secure tiene acceso de red a la base del cliente.</w:t>
      </w:r>
    </w:p>
    <w:p>
      <w:pPr>
        <w:pStyle w:val="ListParagraph"/>
        <w:numPr>
          <w:ilvl w:val="0"/>
          <w:numId w:val="3"/>
        </w:numPr>
      </w:pPr>
      <w:r>
        <w:t xml:space="preserve">Los datos de prueba son sintéticos (</w:t>
      </w:r>
      <w:r>
        <w:rPr>
          <w:rStyle w:val="CodeChar"/>
        </w:rPr>
        <w:t xml:space="preserve">demo/cliente_demo.sql</w:t>
      </w:r>
      <w:r>
        <w:t xml:space="preserve">); nunca se usan datos reales.</w:t>
      </w:r>
    </w:p>
    <w:p>
      <w:pPr/>
      <w:r>
        <w:rPr>
          <w:b/>
        </w:rPr>
        <w:t xml:space="preserve">Fuera de alcance</w:t>
      </w:r>
    </w:p>
    <w:p>
      <w:pPr>
        <w:pStyle w:val="ListParagraph"/>
        <w:numPr>
          <w:ilvl w:val="0"/>
          <w:numId w:val="4"/>
        </w:numPr>
      </w:pPr>
      <w:r>
        <w:t xml:space="preserve">Bloquear, cifrar o mover datos en la base del cliente (eso lo hace el DLP).</w:t>
      </w:r>
    </w:p>
    <w:p>
      <w:pPr>
        <w:pStyle w:val="ListParagraph"/>
        <w:numPr>
          <w:ilvl w:val="0"/>
          <w:numId w:val="4"/>
        </w:numPr>
      </w:pPr>
      <w:r>
        <w:t xml:space="preserve">Detectar datos en imágenes o documentos escaneados (sin OCR).</w:t>
      </w:r>
    </w:p>
    <w:p>
      <w:pPr>
        <w:pStyle w:val="ListParagraph"/>
        <w:numPr>
          <w:ilvl w:val="0"/>
          <w:numId w:val="4"/>
        </w:numPr>
      </w:pPr>
      <w:r>
        <w:t xml:space="preserve">Clasificación con modelos de machine learning.</w:t>
      </w:r>
    </w:p>
    <w:p>
      <w:pPr>
        <w:pStyle w:val="ListParagraph"/>
        <w:numPr>
          <w:ilvl w:val="0"/>
          <w:numId w:val="4"/>
        </w:numPr>
      </w:pPr>
      <w:r>
        <w:t xml:space="preserve">Aplicación de escritorio (</w:t>
      </w:r>
      <w:r>
        <w:rPr>
          <w:rStyle w:val="CodeChar"/>
        </w:rPr>
        <w:t xml:space="preserve">.exe</w:t>
      </w:r>
      <w:r>
        <w:t xml:space="preserve">): se reemplazó por la versión web, que el cliente usa sin instalar nada.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K-Secure — Especificación de Requerimientos de Software (ERS)</dc:title>
  <dc:description>Claude Docs node/5e8e4f57-abe1@9 docx-w6</dc:description>
  <cp:revision>9</cp:revision>
</cp:coreProperties>
</file>