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K-Secure — Catálogo de Reglas de Detección</w:t>
      </w:r>
    </w:p>
    <w:p>
      <w:pPr/>
      <w:r>
        <w:t xml:space="preserve">Oct 15, 2026</w:t>
      </w:r>
      <w:r>
        <w:t xml:space="preserve"> · </w:t>
      </w:r>
      <w:r>
        <w:t xml:space="preserve">@Camilo Fuenzalida</w:t>
      </w:r>
    </w:p>
    <w:p>
      <w:pPr>
        <w:pStyle w:val="Heading2"/>
      </w:pPr>
      <w:r>
        <w:t xml:space="preserve">Propósito y alcance</w:t>
      </w:r>
    </w:p>
    <w:p>
      <w:pPr/>
      <w:r>
        <w:t xml:space="preserve">K-Secure trae </w:t>
      </w:r>
      <w:r>
        <w:rPr>
          <w:b/>
        </w:rPr>
        <w:t xml:space="preserve">7 validadores incluidos</w:t>
      </w:r>
      <w:r>
        <w:t xml:space="preserve"> (programados en </w:t>
      </w:r>
      <w:r>
        <w:rPr>
          <w:rStyle w:val="CodeChar"/>
        </w:rPr>
        <w:t xml:space="preserve">ksecure/validators/</w:t>
      </w:r>
      <w:r>
        <w:t xml:space="preserve">) y permite crear </w:t>
      </w:r>
      <w:r>
        <w:rPr>
          <w:b/>
        </w:rPr>
        <w:t xml:space="preserve">reglas personalizadas desde la pantalla Reglas</w:t>
      </w:r>
      <w:r>
        <w:t xml:space="preserve">, sin programar. El diseño sigue a ferret-scan (AWS Labs): cada validador busca su dato, calcula una confianza de 0 a 100 y le asigna un nivel de riesgo.</w:t>
      </w:r>
    </w:p>
    <w:p>
      <w:pPr/>
      <w:r>
        <w:t xml:space="preserve">Cada validador trabaja en tres pasos: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Patrón (regex):</w:t>
      </w:r>
      <w:r>
        <w:t xml:space="preserve"> encuentra valores con la forma del dato (ej. </w:t>
      </w:r>
      <w:r>
        <w:rPr>
          <w:rStyle w:val="CodeChar"/>
        </w:rPr>
        <w:t xml:space="preserve">12.345.678-5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Validación:</w:t>
      </w:r>
      <w:r>
        <w:t xml:space="preserve"> confirma que el valor es real (Módulo 11 para RUT, Luhn para tarjetas) y descuenta datos de ejemplo conocidos.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Contexto:</w:t>
      </w:r>
      <w:r>
        <w:t xml:space="preserve"> las palabras cerca del dato, o el nombre de la columna en una base o planilla, suben o bajan la confianza.</w:t>
      </w:r>
    </w:p>
    <w:p>
      <w:pPr/>
      <w:r>
        <w:t xml:space="preserve">El catálogo se aplica igual a documentos (Word, Excel, PowerPoint, PDF, CSV, texto) y a bases de datos (PostgreSQL, MySQL, SQL Server, Oracle y SQLite).</w:t>
      </w:r>
    </w:p>
    <w:p>
      <w:pPr>
        <w:pStyle w:val="Heading2"/>
      </w:pPr>
      <w:r>
        <w:t xml:space="preserve">Niveles de confianza y de riesgo</w:t>
      </w:r>
    </w:p>
    <w:p>
      <w:pPr/>
      <w:r>
        <w:t xml:space="preserve">Cada hallazgo lleva dos etiquetas: </w:t>
      </w:r>
      <w:r>
        <w:rPr>
          <w:b/>
        </w:rPr>
        <w:t xml:space="preserve">qué tan seguro</w:t>
      </w:r>
      <w:r>
        <w:t xml:space="preserve"> está K-Secure (confianza, como ferret-scan) y </w:t>
      </w:r>
      <w:r>
        <w:rPr>
          <w:b/>
        </w:rPr>
        <w:t xml:space="preserve">qué tan grave</w:t>
      </w:r>
      <w:r>
        <w:t xml:space="preserve"> sería su fuga (riesgo, según la Política de Clasificación de Datos de Duoc UC).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Confianza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Rango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Lectura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90 a 100</w:t>
            </w:r>
          </w:p>
        </w:tc>
        <w:tc>
          <w:tcPr>
            <w:tcW w:w="3120" w:type="dxa"/>
          </w:tcPr>
          <w:p>
            <w:pPr/>
            <w:r>
              <w:t xml:space="preserve">Casi seguro que es el dato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60 a 89</w:t>
            </w:r>
          </w:p>
        </w:tc>
        <w:tc>
          <w:tcPr>
            <w:tcW w:w="3120" w:type="dxa"/>
          </w:tcPr>
          <w:p>
            <w:pPr/>
            <w:r>
              <w:t xml:space="preserve">Probable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LOW</w:t>
            </w:r>
          </w:p>
        </w:tc>
        <w:tc>
          <w:tcPr>
            <w:tcW w:w="3120" w:type="dxa"/>
          </w:tcPr>
          <w:p>
            <w:pPr/>
            <w:r>
              <w:t xml:space="preserve">0 a 59</w:t>
            </w:r>
          </w:p>
        </w:tc>
        <w:tc>
          <w:tcPr>
            <w:tcW w:w="3120" w:type="dxa"/>
          </w:tcPr>
          <w:p>
            <w:pPr/>
            <w:r>
              <w:t xml:space="preserve">Dudoso; el riesgo baja automáticamente un nivel o a Interno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Ejemplos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Restringido</w:t>
            </w:r>
          </w:p>
        </w:tc>
        <w:tc>
          <w:tcPr>
            <w:tcW w:w="3120" w:type="dxa"/>
          </w:tcPr>
          <w:p>
            <w:pPr/>
            <w:r>
              <w:t xml:space="preserve">Su fuga permite fraude o identifica a una persona</w:t>
            </w:r>
          </w:p>
        </w:tc>
        <w:tc>
          <w:tcPr>
            <w:tcW w:w="3120" w:type="dxa"/>
          </w:tcPr>
          <w:p>
            <w:pPr/>
            <w:r>
              <w:t xml:space="preserve">RUT de persona, tarjeta, cuenta bancaria, secretos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Confidencial</w:t>
            </w:r>
          </w:p>
        </w:tc>
        <w:tc>
          <w:tcPr>
            <w:tcW w:w="3120" w:type="dxa"/>
          </w:tcPr>
          <w:p>
            <w:pPr/>
            <w:r>
              <w:t xml:space="preserve">Permite contactar o ubicar a una persona</w:t>
            </w:r>
          </w:p>
        </w:tc>
        <w:tc>
          <w:tcPr>
            <w:tcW w:w="3120" w:type="dxa"/>
          </w:tcPr>
          <w:p>
            <w:pPr/>
            <w:r>
              <w:t xml:space="preserve">Celular, email personal, patente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Interno</w:t>
            </w:r>
          </w:p>
        </w:tc>
        <w:tc>
          <w:tcPr>
            <w:tcW w:w="3120" w:type="dxa"/>
          </w:tcPr>
          <w:p>
            <w:pPr/>
            <w:r>
              <w:t xml:space="preserve">Uso interno, bajo impacto</w:t>
            </w:r>
          </w:p>
        </w:tc>
        <w:tc>
          <w:tcPr>
            <w:tcW w:w="3120" w:type="dxa"/>
          </w:tcPr>
          <w:p>
            <w:pPr/>
            <w:r>
              <w:t xml:space="preserve">RUT de empresa, teléfono fijo, hallazgos con confianza 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Público</w:t>
            </w:r>
          </w:p>
        </w:tc>
        <w:tc>
          <w:tcPr>
            <w:tcW w:w="3120" w:type="dxa"/>
          </w:tcPr>
          <w:p>
            <w:pPr/>
            <w:r>
              <w:t xml:space="preserve">Se puede publicar</w:t>
            </w:r>
          </w:p>
        </w:tc>
        <w:tc>
          <w:tcPr>
            <w:tcW w:w="3120" w:type="dxa"/>
          </w:tcPr>
          <w:p>
            <w:pPr/>
            <w:r>
              <w:t xml:space="preserve">Casillas de área como </w:t>
            </w:r>
            <w:r>
              <w:rPr>
                <w:rStyle w:val="CodeChar"/>
              </w:rPr>
              <w:t xml:space="preserve">contacto@empresa.cl</w:t>
            </w:r>
          </w:p>
        </w:tc>
      </w:tr>
    </w:tbl>
    <w:p>
      <w:pPr>
        <w:pStyle w:val="Heading2"/>
      </w:pPr>
      <w:r>
        <w:t xml:space="preserve">Validadores incluidos</w:t>
      </w:r>
    </w:p>
    <w:p>
      <w:pPr/>
      <w:r>
        <w:t xml:space="preserve">Los 7 validadores de la versión actual (0.1.0), ordenados por riesgo. "Confianza base" es la que tiene el dato antes de mirar el contexto; "Riesgo" es el que se asigna cuando la confianza final es MEDIUM o HIGH.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Validador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Qué detecta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Validación y descuentos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Confianza base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Enmascarado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RUT</w:t>
            </w:r>
          </w:p>
        </w:tc>
        <w:tc>
          <w:tcPr>
            <w:tcW w:w="1560" w:type="dxa"/>
          </w:tcPr>
          <w:p>
            <w:pPr/>
            <w:r>
              <w:t xml:space="preserve">RUT y RUN chilenos, con o sin puntos; guion obligatorio</w:t>
            </w:r>
          </w:p>
        </w:tc>
        <w:tc>
          <w:tcPr>
            <w:tcW w:w="1560" w:type="dxa"/>
          </w:tcPr>
          <w:p>
            <w:pPr/>
            <w:r>
              <w:t xml:space="preserve">Módulo 11 (−40 si falla); RUT de ejemplo como 12.345.678 (−40); bajo 1 millón solo con contexto</w:t>
            </w:r>
          </w:p>
        </w:tc>
        <w:tc>
          <w:tcPr>
            <w:tcW w:w="1560" w:type="dxa"/>
          </w:tcPr>
          <w:p>
            <w:pPr/>
            <w:r>
              <w:t xml:space="preserve">90 con puntos, 75 sin puntos</w:t>
            </w:r>
          </w:p>
        </w:tc>
        <w:tc>
          <w:tcPr>
            <w:tcW w:w="1560" w:type="dxa"/>
          </w:tcPr>
          <w:p>
            <w:pPr/>
            <w:r>
              <w:t xml:space="preserve">Restringido (RUT ≥ 50 millones = empresa → Interno)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**.***.678-5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TARJETA_PAGO</w:t>
            </w:r>
          </w:p>
        </w:tc>
        <w:tc>
          <w:tcPr>
            <w:tcW w:w="1560" w:type="dxa"/>
          </w:tcPr>
          <w:p>
            <w:pPr/>
            <w:r>
              <w:t xml:space="preserve">Tarjetas de crédito y débito de 13 a 19 dígitos</w:t>
            </w:r>
          </w:p>
        </w:tc>
        <w:tc>
          <w:tcPr>
            <w:tcW w:w="1560" w:type="dxa"/>
          </w:tcPr>
          <w:p>
            <w:pPr/>
            <w:r>
              <w:t xml:space="preserve">Luhn + marca; tarjetas de prueba de Transbank/Webpay (−40); 16 dígitos sin Luhn = "posible tarjeta" (35, solo con contexto)</w:t>
            </w:r>
          </w:p>
        </w:tc>
        <w:tc>
          <w:tcPr>
            <w:tcW w:w="1560" w:type="dxa"/>
          </w:tcPr>
          <w:p>
            <w:pPr/>
            <w:r>
              <w:t xml:space="preserve">80</w:t>
            </w:r>
          </w:p>
        </w:tc>
        <w:tc>
          <w:tcPr>
            <w:tcW w:w="1560" w:type="dxa"/>
          </w:tcPr>
          <w:p>
            <w:pPr/>
            <w:r>
              <w:t xml:space="preserve">Restringido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****-****-****-1111</w:t>
            </w:r>
            <w:r>
              <w:t xml:space="preserve"> (PCI-DSS)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CUENTA_BANCARIA</w:t>
            </w:r>
          </w:p>
        </w:tc>
        <w:tc>
          <w:tcPr>
            <w:tcW w:w="1560" w:type="dxa"/>
          </w:tcPr>
          <w:p>
            <w:pPr/>
            <w:r>
              <w:t xml:space="preserve">Números de 7 a 14 dígitos</w:t>
            </w:r>
          </w:p>
        </w:tc>
        <w:tc>
          <w:tcPr>
            <w:tcW w:w="1560" w:type="dxa"/>
          </w:tcPr>
          <w:p>
            <w:pPr/>
            <w:r>
              <w:t xml:space="preserve">Siempre exige contexto bancario (banco, cuenta, cta...); descarta formas de RUT y fecha</w:t>
            </w:r>
          </w:p>
        </w:tc>
        <w:tc>
          <w:tcPr>
            <w:tcW w:w="1560" w:type="dxa"/>
          </w:tcPr>
          <w:p>
            <w:pPr/>
            <w:r>
              <w:t xml:space="preserve">55</w:t>
            </w:r>
          </w:p>
        </w:tc>
        <w:tc>
          <w:tcPr>
            <w:tcW w:w="1560" w:type="dxa"/>
          </w:tcPr>
          <w:p>
            <w:pPr/>
            <w:r>
              <w:t xml:space="preserve">Restringido</w:t>
            </w:r>
          </w:p>
        </w:tc>
        <w:tc>
          <w:tcPr>
            <w:tcW w:w="1560" w:type="dxa"/>
          </w:tcPr>
          <w:p>
            <w:pPr/>
            <w:r>
              <w:t xml:space="preserve">Últimos 4 dígitos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SECRETO</w:t>
            </w:r>
          </w:p>
        </w:tc>
        <w:tc>
          <w:tcPr>
            <w:tcW w:w="1560" w:type="dxa"/>
          </w:tcPr>
          <w:p>
            <w:pPr/>
            <w:r>
              <w:t xml:space="preserve">Claves de AWS, tokens de GitHub, llaves privadas</w:t>
            </w:r>
          </w:p>
        </w:tc>
        <w:tc>
          <w:tcPr>
            <w:tcW w:w="1560" w:type="dxa"/>
          </w:tcPr>
          <w:p>
            <w:pPr/>
            <w:r>
              <w:t xml:space="preserve">Claves de documentación que terminan en EXAMPLE (−50)</w:t>
            </w:r>
          </w:p>
        </w:tc>
        <w:tc>
          <w:tcPr>
            <w:tcW w:w="1560" w:type="dxa"/>
          </w:tcPr>
          <w:p>
            <w:pPr/>
            <w:r>
              <w:t xml:space="preserve">95 (llave privada 100)</w:t>
            </w:r>
          </w:p>
        </w:tc>
        <w:tc>
          <w:tcPr>
            <w:tcW w:w="1560" w:type="dxa"/>
          </w:tcPr>
          <w:p>
            <w:pPr/>
            <w:r>
              <w:t xml:space="preserve">Restringido</w:t>
            </w:r>
          </w:p>
        </w:tc>
        <w:tc>
          <w:tcPr>
            <w:tcW w:w="1560" w:type="dxa"/>
          </w:tcPr>
          <w:p>
            <w:pPr/>
            <w:r>
              <w:t xml:space="preserve">Primeros 4 caracteres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TELEFONO</w:t>
            </w:r>
          </w:p>
        </w:tc>
        <w:tc>
          <w:tcPr>
            <w:tcW w:w="1560" w:type="dxa"/>
          </w:tcPr>
          <w:p>
            <w:pPr/>
            <w:r>
              <w:t xml:space="preserve">Celulares +56 9 y fijos con código de área</w:t>
            </w:r>
          </w:p>
        </w:tc>
        <w:tc>
          <w:tcPr>
            <w:tcW w:w="1560" w:type="dxa"/>
          </w:tcPr>
          <w:p>
            <w:pPr/>
            <w:r>
              <w:t xml:space="preserve">Números de ejemplo como 912345678 (−40); +15 si trae prefijo +56</w:t>
            </w:r>
          </w:p>
        </w:tc>
        <w:tc>
          <w:tcPr>
            <w:tcW w:w="1560" w:type="dxa"/>
          </w:tcPr>
          <w:p>
            <w:pPr/>
            <w:r>
              <w:t xml:space="preserve">70 móvil, 60 fijo</w:t>
            </w:r>
          </w:p>
        </w:tc>
        <w:tc>
          <w:tcPr>
            <w:tcW w:w="1560" w:type="dxa"/>
          </w:tcPr>
          <w:p>
            <w:pPr/>
            <w:r>
              <w:t xml:space="preserve">Confidencial (fijo → Interno)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+56 9 **** 5678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EMAIL</w:t>
            </w:r>
          </w:p>
        </w:tc>
        <w:tc>
          <w:tcPr>
            <w:tcW w:w="1560" w:type="dxa"/>
          </w:tcPr>
          <w:p>
            <w:pPr/>
            <w:r>
              <w:t xml:space="preserve">Correos electrónicos</w:t>
            </w:r>
          </w:p>
        </w:tc>
        <w:tc>
          <w:tcPr>
            <w:tcW w:w="1560" w:type="dxa"/>
          </w:tcPr>
          <w:p>
            <w:pPr/>
            <w:r>
              <w:t xml:space="preserve">Dominios de ejemplo como example.com (−50); casillas de área (contacto@, ventas@)</w:t>
            </w:r>
          </w:p>
        </w:tc>
        <w:tc>
          <w:tcPr>
            <w:tcW w:w="1560" w:type="dxa"/>
          </w:tcPr>
          <w:p>
            <w:pPr/>
            <w:r>
              <w:t xml:space="preserve">90</w:t>
            </w:r>
          </w:p>
        </w:tc>
        <w:tc>
          <w:tcPr>
            <w:tcW w:w="1560" w:type="dxa"/>
          </w:tcPr>
          <w:p>
            <w:pPr/>
            <w:r>
              <w:t xml:space="preserve">Confidencial (casilla de área → Público)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lu****@gmail.com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PATENTE</w:t>
            </w:r>
          </w:p>
        </w:tc>
        <w:tc>
          <w:tcPr>
            <w:tcW w:w="1560" w:type="dxa"/>
          </w:tcPr>
          <w:p>
            <w:pPr/>
            <w:r>
              <w:t xml:space="preserve">Patentes nuevas (BBBB·12) y antiguas (AB·12·34)</w:t>
            </w:r>
          </w:p>
        </w:tc>
        <w:tc>
          <w:tcPr>
            <w:tcW w:w="1560" w:type="dxa"/>
          </w:tcPr>
          <w:p>
            <w:pPr/>
            <w:r>
              <w:t xml:space="preserve">Formato antiguo tiene menos confianza</w:t>
            </w:r>
          </w:p>
        </w:tc>
        <w:tc>
          <w:tcPr>
            <w:tcW w:w="1560" w:type="dxa"/>
          </w:tcPr>
          <w:p>
            <w:pPr/>
            <w:r>
              <w:t xml:space="preserve">75 nueva, 45 antigua</w:t>
            </w:r>
          </w:p>
        </w:tc>
        <w:tc>
          <w:tcPr>
            <w:tcW w:w="1560" w:type="dxa"/>
          </w:tcPr>
          <w:p>
            <w:pPr/>
            <w:r>
              <w:t xml:space="preserve">Confidencial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**·**·12</w:t>
            </w:r>
          </w:p>
        </w:tc>
      </w:tr>
    </w:tbl>
    <w:p>
      <w:pPr/>
      <w:r>
        <w:t xml:space="preserve">Cualquier validador se puede apagar o recibir palabras de contexto extra desde la pantalla Reglas, sin tocar código.</w:t>
      </w:r>
    </w:p>
    <w:p>
      <w:pPr>
        <w:pStyle w:val="Heading2"/>
      </w:pPr>
      <w:r>
        <w:t xml:space="preserve">Detalle de validadores clave</w:t>
      </w:r>
    </w:p>
    <w:p>
      <w:pPr>
        <w:pStyle w:val="Heading3"/>
      </w:pPr>
      <w:r>
        <w:t xml:space="preserve">RUT (</w:t>
      </w:r>
      <w:r>
        <w:rPr>
          <w:rStyle w:val="CodeChar"/>
        </w:rPr>
        <w:t xml:space="preserve">validators/rut.py</w:t>
      </w:r>
      <w:r>
        <w:t xml:space="preserve">)</w:t>
      </w:r>
    </w:p>
    <w:p>
      <w:pPr/>
      <w:r>
        <w:t xml:space="preserve">Patrón (acepta guion normal o el "–" que Word pone solo):</w:t>
      </w:r>
    </w:p>
    <w:p>
      <w:pPr>
        <w:pStyle w:val="Code"/>
      </w:pPr>
      <w:r>
        <w:t xml:space="preserve">(\d{1,2}(?:\.\d{3}){2}|\d{1,3}\.\d{3}|\d{1,8})\s?[-‐–]\s?([0-9kK])</w:t>
      </w:r>
    </w:p>
    <w:p>
      <w:pPr/>
      <w:r>
        <w:t xml:space="preserve">Cálculo de confianza:</w:t>
      </w:r>
    </w:p>
    <w:p>
      <w:pPr>
        <w:pStyle w:val="ListParagraph"/>
        <w:numPr>
          <w:ilvl w:val="0"/>
          <w:numId w:val="3"/>
        </w:numPr>
      </w:pPr>
      <w:r>
        <w:t xml:space="preserve">Base: 90 si viene con puntos, 75 si no.</w:t>
      </w:r>
    </w:p>
    <w:p>
      <w:pPr>
        <w:pStyle w:val="ListParagraph"/>
        <w:numPr>
          <w:ilvl w:val="0"/>
          <w:numId w:val="3"/>
        </w:numPr>
      </w:pPr>
      <w:r>
        <w:t xml:space="preserve">Dígito verificador incorrecto (Módulo 11): −40.</w:t>
      </w:r>
    </w:p>
    <w:p>
      <w:pPr>
        <w:pStyle w:val="ListParagraph"/>
        <w:numPr>
          <w:ilvl w:val="0"/>
          <w:numId w:val="3"/>
        </w:numPr>
      </w:pPr>
      <w:r>
        <w:t xml:space="preserve">RUT de ejemplo (12345678, 87654321 o todos los dígitos iguales): −40.</w:t>
      </w:r>
    </w:p>
    <w:p>
      <w:pPr>
        <w:pStyle w:val="ListParagraph"/>
        <w:numPr>
          <w:ilvl w:val="0"/>
          <w:numId w:val="3"/>
        </w:numPr>
      </w:pPr>
      <w:r>
        <w:t xml:space="preserve">Bajo 1.000.000: tope 35 y solo se reporta si alrededor se habla de RUT (es demasiado parecido a cualquier código).</w:t>
      </w:r>
    </w:p>
    <w:p>
      <w:pPr>
        <w:pStyle w:val="ListParagraph"/>
        <w:numPr>
          <w:ilvl w:val="0"/>
          <w:numId w:val="3"/>
        </w:numPr>
      </w:pPr>
      <w:r>
        <w:t xml:space="preserve">Desde 50.000.000 es persona jurídica: riesgo Interno, porque aparece en cada factura.</w:t>
      </w:r>
    </w:p>
    <w:p>
      <w:pPr>
        <w:pStyle w:val="Code"/>
      </w:pPr>
      <w:bookmarkStart w:id="1" w:name="bongo_lang_python_1"/>
      <w:bookmarkEnd w:id="1"/>
      <w:r>
        <w:t xml:space="preserve">def calcular_dv(cuerpo: int) -&gt; str:</w:t>
        <w:br/>
        <w:t xml:space="preserve">    factores = itertools.cycle([2, 3, 4, 5, 6, 7])</w:t>
        <w:br/>
        <w:t xml:space="preserve">    suma = sum(int(d) * f for d, f in zip(reversed(str(cuerpo)), factores))</w:t>
        <w:br/>
        <w:t xml:space="preserve">    resto = 11 - suma % 11</w:t>
        <w:br/>
        <w:t xml:space="preserve">    return {11: "0", 10: "K"}.get(resto, str(resto))</w:t>
      </w:r>
    </w:p>
    <w:p>
      <w:pPr>
        <w:pStyle w:val="Heading3"/>
      </w:pPr>
      <w:r>
        <w:t xml:space="preserve">Tarjeta de pago (</w:t>
      </w:r>
      <w:r>
        <w:rPr>
          <w:rStyle w:val="CodeChar"/>
        </w:rPr>
        <w:t xml:space="preserve">validators/tarjeta.py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t xml:space="preserve">Patrón: 13 a 19 dígitos, con espacios o guiones en agrupaciones válidas (ej. 4-4-4-4).</w:t>
      </w:r>
    </w:p>
    <w:p>
      <w:pPr>
        <w:pStyle w:val="ListParagraph"/>
        <w:numPr>
          <w:ilvl w:val="0"/>
          <w:numId w:val="4"/>
        </w:numPr>
      </w:pPr>
      <w:r>
        <w:t xml:space="preserve">Luhn + marca (Visa, Mastercard, Amex, etc.): confianza 80.</w:t>
      </w:r>
    </w:p>
    <w:p>
      <w:pPr>
        <w:pStyle w:val="ListParagraph"/>
        <w:numPr>
          <w:ilvl w:val="0"/>
          <w:numId w:val="4"/>
        </w:numPr>
      </w:pPr>
      <w:r>
        <w:t xml:space="preserve">Tarjetas de prueba conocidas (incluidas las de Transbank/Webpay): −40.</w:t>
      </w:r>
    </w:p>
    <w:p>
      <w:pPr>
        <w:pStyle w:val="ListParagraph"/>
        <w:numPr>
          <w:ilvl w:val="0"/>
          <w:numId w:val="4"/>
        </w:numPr>
      </w:pPr>
      <w:r>
        <w:t xml:space="preserve">16 dígitos que no pasan Luhn: "posible tarjeta" con 35, solo si alrededor dice tarjeta, crédito, CVV, etc.</w:t>
      </w:r>
    </w:p>
    <w:p>
      <w:pPr>
        <w:pStyle w:val="ListParagraph"/>
        <w:numPr>
          <w:ilvl w:val="0"/>
          <w:numId w:val="4"/>
        </w:numPr>
      </w:pPr>
      <w:r>
        <w:t xml:space="preserve">Se guarda truncada según PCI-DSS (BIN + últimos 4).</w:t>
      </w:r>
    </w:p>
    <w:p>
      <w:pPr>
        <w:pStyle w:val="Heading3"/>
      </w:pPr>
      <w:r>
        <w:t xml:space="preserve">Teléfono (</w:t>
      </w:r>
      <w:r>
        <w:rPr>
          <w:rStyle w:val="CodeChar"/>
        </w:rPr>
        <w:t xml:space="preserve">validators/telefono.py</w:t>
      </w:r>
      <w:r>
        <w:t xml:space="preserve">)</w:t>
      </w:r>
    </w:p>
    <w:p>
      <w:pPr/>
      <w:r>
        <w:t xml:space="preserve">Desde 2016 todos los números chilenos tienen 9 dígitos: móvil </w:t>
      </w:r>
      <w:r>
        <w:rPr>
          <w:rStyle w:val="CodeChar"/>
        </w:rPr>
        <w:t xml:space="preserve">9 XXXX XXXX</w:t>
      </w:r>
      <w:r>
        <w:t xml:space="preserve">, fijo Santiago </w:t>
      </w:r>
      <w:r>
        <w:rPr>
          <w:rStyle w:val="CodeChar"/>
        </w:rPr>
        <w:t xml:space="preserve">2 2XXX XXXX</w:t>
      </w:r>
      <w:r>
        <w:t xml:space="preserve">, fijo regiones con código de área (32-35, 41-45, 51-58, 61-67, 71-75). Móvil parte en 70 y fijo en 60; con prefijo +56 suma 15.</w:t>
      </w:r>
    </w:p>
    <w:p>
      <w:pPr>
        <w:pStyle w:val="Heading3"/>
      </w:pPr>
      <w:r>
        <w:t xml:space="preserve">Email (</w:t>
      </w:r>
      <w:r>
        <w:rPr>
          <w:rStyle w:val="CodeChar"/>
        </w:rPr>
        <w:t xml:space="preserve">validators/email.py</w:t>
      </w:r>
      <w:r>
        <w:t xml:space="preserve">)</w:t>
      </w:r>
    </w:p>
    <w:p>
      <w:pPr/>
      <w:r>
        <w:t xml:space="preserve">Confianza 90, o 40 si el dominio es de ejemplo (example, test, prueba, localhost). Las casillas de área (contacto, ventas, soporte, rrhh, etc.) se clasifican como Público, porque las empresas las publican.</w:t>
      </w:r>
    </w:p>
    <w:p>
      <w:pPr>
        <w:pStyle w:val="Heading3"/>
      </w:pPr>
      <w:r>
        <w:t xml:space="preserve">Secretos (</w:t>
      </w:r>
      <w:r>
        <w:rPr>
          <w:rStyle w:val="CodeChar"/>
        </w:rPr>
        <w:t xml:space="preserve">validators/secreto.py</w:t>
      </w:r>
      <w:r>
        <w:t xml:space="preserve">)</w:t>
      </w:r>
    </w:p>
    <w:p>
      <w:pPr/>
      <w:r>
        <w:t xml:space="preserve">Detecta claves de acceso AWS (</w:t>
      </w:r>
      <w:r>
        <w:rPr>
          <w:rStyle w:val="CodeChar"/>
        </w:rPr>
        <w:t xml:space="preserve">AKIA...</w:t>
      </w:r>
      <w:r>
        <w:t xml:space="preserve">), claves secretas AWS, tokens de GitHub (</w:t>
      </w:r>
      <w:r>
        <w:rPr>
          <w:rStyle w:val="CodeChar"/>
        </w:rPr>
        <w:t xml:space="preserve">ghp_...</w:t>
      </w:r>
      <w:r>
        <w:t xml:space="preserve">) y llaves privadas PEM. Es el equivalente al validador secrets de ferret-scan.</w:t>
      </w:r>
    </w:p>
    <w:p>
      <w:pPr>
        <w:pStyle w:val="Heading2"/>
      </w:pPr>
      <w:r>
        <w:t xml:space="preserve">Contexto y nombre de columna</w:t>
      </w:r>
    </w:p>
    <w:p>
      <w:pPr/>
      <w:r>
        <w:t xml:space="preserve">El contexto ajusta la confianza según las palabras que aparecen hasta 50 caracteres antes o después del dato. En bases de datos y planillas, el nombre de la columna cuenta como contexto (</w:t>
      </w:r>
      <w:r>
        <w:rPr>
          <w:rStyle w:val="CodeChar"/>
        </w:rPr>
        <w:t xml:space="preserve">rut_cliente</w:t>
      </w:r>
      <w:r>
        <w:t xml:space="preserve"> se lee "rut cliente"); un nombre críptico como </w:t>
      </w:r>
      <w:r>
        <w:rPr>
          <w:rStyle w:val="CodeChar"/>
        </w:rPr>
        <w:t xml:space="preserve">STCD1</w:t>
      </w:r>
      <w:r>
        <w:t xml:space="preserve"> no suma ni resta, y el dato se detecta igual por su contenido.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Ajuste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Máximo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Cada palabra clave positiva cerca</w:t>
            </w:r>
          </w:p>
        </w:tc>
        <w:tc>
          <w:tcPr>
            <w:tcW w:w="3120" w:type="dxa"/>
          </w:tcPr>
          <w:p>
            <w:pPr/>
            <w:r>
              <w:t xml:space="preserve">+10</w:t>
            </w:r>
          </w:p>
        </w:tc>
        <w:tc>
          <w:tcPr>
            <w:tcW w:w="3120" w:type="dxa"/>
          </w:tcPr>
          <w:p>
            <w:pPr/>
            <w:r>
              <w:t xml:space="preserve">+20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Cada palabra clave negativa cerca</w:t>
            </w:r>
          </w:p>
        </w:tc>
        <w:tc>
          <w:tcPr>
            <w:tcW w:w="3120" w:type="dxa"/>
          </w:tcPr>
          <w:p>
            <w:pPr/>
            <w:r>
              <w:t xml:space="preserve">−20</w:t>
            </w:r>
          </w:p>
        </w:tc>
        <w:tc>
          <w:tcPr>
            <w:tcW w:w="3120" w:type="dxa"/>
          </w:tcPr>
          <w:p>
            <w:pPr/>
            <w:r>
              <w:t xml:space="preserve">−40</w:t>
            </w:r>
          </w:p>
        </w:tc>
      </w:tr>
    </w:tbl>
    <w:p>
      <w:pPr/>
      <w:r>
        <w:t xml:space="preserve">Ejemplos de palabras clave por validador: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Validador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Positivas (suben)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Negativas (bajan)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RUT</w:t>
            </w:r>
          </w:p>
        </w:tc>
        <w:tc>
          <w:tcPr>
            <w:tcW w:w="3120" w:type="dxa"/>
          </w:tcPr>
          <w:p>
            <w:pPr/>
            <w:r>
              <w:t xml:space="preserve">rut, run, cédula, cliente, paciente, titular, empleado, proveedor</w:t>
            </w:r>
          </w:p>
        </w:tc>
        <w:tc>
          <w:tcPr>
            <w:tcW w:w="3120" w:type="dxa"/>
          </w:tcPr>
          <w:p>
            <w:pPr/>
            <w:r>
              <w:t xml:space="preserve">factura, folio, boleta, ticket, pedido, teléfono, serie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TELEFONO</w:t>
            </w:r>
          </w:p>
        </w:tc>
        <w:tc>
          <w:tcPr>
            <w:tcW w:w="3120" w:type="dxa"/>
          </w:tcPr>
          <w:p>
            <w:pPr/>
            <w:r>
              <w:t xml:space="preserve">teléfono, fono, celular, móvil, whatsapp, contacto</w:t>
            </w:r>
          </w:p>
        </w:tc>
        <w:tc>
          <w:tcPr>
            <w:tcW w:w="3120" w:type="dxa"/>
          </w:tcPr>
          <w:p>
            <w:pPr/>
            <w:r>
              <w:t xml:space="preserve">rut, folio, monto, total, precio, código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TARJETA_PAGO</w:t>
            </w:r>
          </w:p>
        </w:tc>
        <w:tc>
          <w:tcPr>
            <w:tcW w:w="3120" w:type="dxa"/>
          </w:tcPr>
          <w:p>
            <w:pPr/>
            <w:r>
              <w:t xml:space="preserve">tarjeta, crédito, débito, visa, mastercard, cvv, vencimiento</w:t>
            </w:r>
          </w:p>
        </w:tc>
        <w:tc>
          <w:tcPr>
            <w:tcW w:w="3120" w:type="dxa"/>
          </w:tcPr>
          <w:p>
            <w:pPr/>
            <w:r>
              <w:t xml:space="preserve">folio, factura, tracking, imei, código de barras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CUENTA_BANCARIA</w:t>
            </w:r>
          </w:p>
        </w:tc>
        <w:tc>
          <w:tcPr>
            <w:tcW w:w="3120" w:type="dxa"/>
          </w:tcPr>
          <w:p>
            <w:pPr/>
            <w:r>
              <w:t xml:space="preserve">cuenta, cta, corriente, vista, banco, bancoestado, transferencia</w:t>
            </w:r>
          </w:p>
        </w:tc>
        <w:tc>
          <w:tcPr>
            <w:tcW w:w="3120" w:type="dxa"/>
          </w:tcPr>
          <w:p>
            <w:pPr/>
            <w:r>
              <w:t xml:space="preserve">monto, total, pesos, saldo, factura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PATENTE</w:t>
            </w:r>
          </w:p>
        </w:tc>
        <w:tc>
          <w:tcPr>
            <w:tcW w:w="3120" w:type="dxa"/>
          </w:tcPr>
          <w:p>
            <w:pPr/>
            <w:r>
              <w:t xml:space="preserve">patente, ppu, placa, vehículo, permiso de circulación</w:t>
            </w:r>
          </w:p>
        </w:tc>
        <w:tc>
          <w:tcPr>
            <w:tcW w:w="3120" w:type="dxa"/>
          </w:tcPr>
          <w:p>
            <w:pPr/>
            <w:r>
              <w:t xml:space="preserve">código, sku, modelo, versión, norma</w:t>
            </w:r>
          </w:p>
        </w:tc>
      </w:tr>
    </w:tbl>
    <w:p>
      <w:pPr/>
      <w:r>
        <w:t xml:space="preserve">La comparación ignora mayúsculas y tildes, y exige palabra completa ("rut" no calza dentro de "Ruta").</w:t>
      </w:r>
    </w:p>
    <w:p>
      <w:pPr>
        <w:pStyle w:val="Heading2"/>
      </w:pPr>
      <w:r>
        <w:t xml:space="preserve">Reglas personalizadas (pantalla Reglas)</w:t>
      </w:r>
    </w:p>
    <w:p>
      <w:pPr/>
      <w:r>
        <w:t xml:space="preserve">Un asistente de 3 pasos crea detectores nuevos sin escribir expresiones regulares; se guardan en la tabla </w:t>
      </w:r>
      <w:r>
        <w:rPr>
          <w:rStyle w:val="CodeChar"/>
        </w:rPr>
        <w:t xml:space="preserve">reglas</w:t>
      </w:r>
      <w:r>
        <w:t xml:space="preserve"> de la base interna y se aplican desde el siguiente escaneo.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Qué dato:</w:t>
      </w:r>
      <w:r>
        <w:t xml:space="preserve"> nombre (ej. Ficha clínica → </w:t>
      </w:r>
      <w:r>
        <w:rPr>
          <w:rStyle w:val="CodeChar"/>
        </w:rPr>
        <w:t xml:space="preserve">FICHA_CLINICA</w:t>
      </w:r>
      <w:r>
        <w:t xml:space="preserve">) y descripción. Hay plantillas listas: Pasaporte, Ficha clínica, N° de socio y Código de empleado.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Cómo se ve:</w:t>
      </w:r>
      <w:r>
        <w:t xml:space="preserve"> se escriben hasta 10 ejemplos y K-Secure arma el patrón (</w:t>
      </w:r>
      <w:r>
        <w:rPr>
          <w:rStyle w:val="CodeChar"/>
        </w:rPr>
        <w:t xml:space="preserve">validators/patron.py</w:t>
      </w:r>
      <w:r>
        <w:t xml:space="preserve">). Ej.: </w:t>
      </w:r>
      <w:r>
        <w:rPr>
          <w:rStyle w:val="CodeChar"/>
        </w:rPr>
        <w:t xml:space="preserve">FC-123456</w:t>
      </w:r>
      <w:r>
        <w:t xml:space="preserve"> y </w:t>
      </w:r>
      <w:r>
        <w:rPr>
          <w:rStyle w:val="CodeChar"/>
        </w:rPr>
        <w:t xml:space="preserve">FC-9876543</w:t>
      </w:r>
      <w:r>
        <w:t xml:space="preserve"> → «FC» + guion + 6 a 7 números. Opcionalmente se exige dígito verificador (Módulo 11) o Luhn.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Riesgo y prueba:</w:t>
      </w:r>
      <w:r>
        <w:t xml:space="preserve"> se elige el riesgo, la certeza y cuántos caracteres quedan visibles al enmascarar, y se prueba la regla en vivo antes de guardarla.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Certeza en 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Confianza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Cuándo usarla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Muy seguro</w:t>
            </w:r>
          </w:p>
        </w:tc>
        <w:tc>
          <w:tcPr>
            <w:tcW w:w="3120" w:type="dxa"/>
          </w:tcPr>
          <w:p>
            <w:pPr/>
            <w:r>
              <w:t xml:space="preserve">90</w:t>
            </w:r>
          </w:p>
        </w:tc>
        <w:tc>
          <w:tcPr>
            <w:tcW w:w="3120" w:type="dxa"/>
          </w:tcPr>
          <w:p>
            <w:pPr/>
            <w:r>
              <w:t xml:space="preserve">Algo con esta forma casi siempre es este dato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Probable</w:t>
            </w:r>
          </w:p>
        </w:tc>
        <w:tc>
          <w:tcPr>
            <w:tcW w:w="3120" w:type="dxa"/>
          </w:tcPr>
          <w:p>
            <w:pPr/>
            <w:r>
              <w:t xml:space="preserve">70</w:t>
            </w:r>
          </w:p>
        </w:tc>
        <w:tc>
          <w:tcPr>
            <w:tcW w:w="3120" w:type="dxa"/>
          </w:tcPr>
          <w:p>
            <w:pPr/>
            <w:r>
              <w:t xml:space="preserve">Suele serlo, pero a veces es otra cosa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Dudoso</w:t>
            </w:r>
          </w:p>
        </w:tc>
        <w:tc>
          <w:tcPr>
            <w:tcW w:w="3120" w:type="dxa"/>
          </w:tcPr>
          <w:p>
            <w:pPr/>
            <w:r>
              <w:t xml:space="preserve">45</w:t>
            </w:r>
          </w:p>
        </w:tc>
        <w:tc>
          <w:tcPr>
            <w:tcW w:w="3120" w:type="dxa"/>
          </w:tcPr>
          <w:p>
            <w:pPr/>
            <w:r>
              <w:t xml:space="preserve">Se parece a otros números o códigos</w:t>
            </w:r>
          </w:p>
        </w:tc>
      </w:tr>
    </w:tbl>
    <w:p>
      <w:pPr/>
      <w:r>
        <w:t xml:space="preserve">Si un valor no pasa la validación elegida, se reporta igual pero con 40 puntos menos. Las reglas se pueden editar, apagar o borrar; los escaneos anteriores no cambian.</w:t>
      </w:r>
    </w:p>
    <w:p>
      <w:pPr/>
      <w:r>
        <w:rPr>
          <w:b/>
        </w:rPr>
        <w:t xml:space="preserve">Pendiente:</w:t>
      </w:r>
      <w:r>
        <w:t xml:space="preserve"> tipos que el catálogo anterior consideraba y aún no tienen validador (fecha de nacimiento, dirección, IP, nombres de personas). Pasaporte y ficha clínica se cubren con plantillas.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K-Secure — Catálogo de Reglas de Detección</dc:title>
  <dc:description>Claude Docs node/c2c2c3cd-fbf0@13 docx-w6</dc:description>
  <cp:revision>13</cp:revision>
</cp:coreProperties>
</file>