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144" w:lineRule="auto"/>
        <w:rPr/>
      </w:pPr>
      <w:bookmarkStart w:colFirst="0" w:colLast="0" w:name="_heading=h.f9tsmrr7gh1e" w:id="0"/>
      <w:bookmarkEnd w:id="0"/>
      <w:r w:rsidDel="00000000" w:rsidR="00000000" w:rsidRPr="00000000">
        <w:rPr>
          <w:rtl w:val="0"/>
        </w:rPr>
        <w:t xml:space="preserve">Fáze prodeje </w:t>
      </w:r>
      <w:r w:rsidDel="00000000" w:rsidR="00000000" w:rsidRPr="00000000">
        <w:rPr>
          <w:rtl w:val="0"/>
        </w:rPr>
        <w:t xml:space="preserve">NFTs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spacing w:after="144" w:lineRule="auto"/>
        <w:rPr/>
      </w:pPr>
      <w:bookmarkStart w:colFirst="0" w:colLast="0" w:name="_heading=h.qotx8mi2az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spacing w:after="144" w:lineRule="auto"/>
        <w:rPr/>
      </w:pPr>
      <w:bookmarkStart w:colFirst="0" w:colLast="0" w:name="_heading=h.67a4cnts017d" w:id="2"/>
      <w:bookmarkEnd w:id="2"/>
      <w:r w:rsidDel="00000000" w:rsidR="00000000" w:rsidRPr="00000000">
        <w:rPr>
          <w:rtl w:val="0"/>
        </w:rPr>
        <w:t xml:space="preserve">Mint</w:t>
      </w:r>
    </w:p>
    <w:p w:rsidR="00000000" w:rsidDel="00000000" w:rsidP="00000000" w:rsidRDefault="00000000" w:rsidRPr="00000000" w14:paraId="00000004">
      <w:pPr>
        <w:spacing w:after="144" w:lineRule="auto"/>
        <w:rPr/>
      </w:pPr>
      <w:r w:rsidDel="00000000" w:rsidR="00000000" w:rsidRPr="00000000">
        <w:rPr>
          <w:rtl w:val="0"/>
        </w:rPr>
        <w:t xml:space="preserve">Mint je první fáze prodeje </w:t>
      </w:r>
      <w:r w:rsidDel="00000000" w:rsidR="00000000" w:rsidRPr="00000000">
        <w:rPr>
          <w:rtl w:val="0"/>
        </w:rPr>
        <w:t xml:space="preserve">NFTs</w:t>
      </w:r>
      <w:r w:rsidDel="00000000" w:rsidR="00000000" w:rsidRPr="00000000">
        <w:rPr>
          <w:rtl w:val="0"/>
        </w:rPr>
        <w:t xml:space="preserve">. Při Mintování NFT je člověk nejenže nakupuje, ale zároveň vytváří. Zájemce nenakupuje </w:t>
      </w:r>
      <w:r w:rsidDel="00000000" w:rsidR="00000000" w:rsidRPr="00000000">
        <w:rPr>
          <w:rtl w:val="0"/>
        </w:rPr>
        <w:t xml:space="preserve">NFTs</w:t>
      </w:r>
      <w:r w:rsidDel="00000000" w:rsidR="00000000" w:rsidRPr="00000000">
        <w:rPr>
          <w:rtl w:val="0"/>
        </w:rPr>
        <w:t xml:space="preserve"> jako produkt, který by si předtím prohlédl, protože produkt ještě neexistuje. Zaplatí, a když je mint nastavený například na 0.5 ETH za jedno NFT, tak za cenu 2 ETH budou vygenerovány 4 NFT, které se hned pošlou na </w:t>
      </w:r>
      <w:r w:rsidDel="00000000" w:rsidR="00000000" w:rsidRPr="00000000">
        <w:rPr>
          <w:rtl w:val="0"/>
        </w:rPr>
        <w:t xml:space="preserve">kupcovu</w:t>
      </w:r>
      <w:r w:rsidDel="00000000" w:rsidR="00000000" w:rsidRPr="00000000">
        <w:rPr>
          <w:rtl w:val="0"/>
        </w:rPr>
        <w:t xml:space="preserve"> peněženku. Mint se občas rozděluje na whitelist mint a public mint. White list mintu se můžou zúčastnit jen vybrané osoby, zpravidla je to odměna za aktivitu v komunitě. V takovém případě bývá whitelist mint levnější než mint veřejný. S minty se občas dějí akce jako mint 4 get 1 free, jako jsem zaznamenal u projektu </w:t>
      </w:r>
      <w:r w:rsidDel="00000000" w:rsidR="00000000" w:rsidRPr="00000000">
        <w:rPr>
          <w:i w:val="1"/>
          <w:rtl w:val="0"/>
        </w:rPr>
        <w:t xml:space="preserve">GOOPDOODS.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44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44" w:lineRule="auto"/>
        <w:rPr/>
      </w:pPr>
      <w:r w:rsidDel="00000000" w:rsidR="00000000" w:rsidRPr="00000000">
        <w:rPr>
          <w:rtl w:val="0"/>
        </w:rPr>
        <w:t xml:space="preserve">Shrnutí: Mint je forma nabytí prostředků NFT, kdy kupec zaplatí za to, aby byli NFT vygenerovány a poslány do jeho peněženky.</w:t>
      </w:r>
    </w:p>
    <w:p w:rsidR="00000000" w:rsidDel="00000000" w:rsidP="00000000" w:rsidRDefault="00000000" w:rsidRPr="00000000" w14:paraId="00000007">
      <w:pPr>
        <w:pStyle w:val="Heading4"/>
        <w:spacing w:after="144" w:lineRule="auto"/>
        <w:rPr/>
      </w:pPr>
      <w:bookmarkStart w:colFirst="0" w:colLast="0" w:name="_heading=h.8pga2y7pjtrf" w:id="3"/>
      <w:bookmarkEnd w:id="3"/>
      <w:r w:rsidDel="00000000" w:rsidR="00000000" w:rsidRPr="00000000">
        <w:rPr>
          <w:rtl w:val="0"/>
        </w:rPr>
        <w:t xml:space="preserve">Pre-sale</w:t>
      </w:r>
    </w:p>
    <w:p w:rsidR="00000000" w:rsidDel="00000000" w:rsidP="00000000" w:rsidRDefault="00000000" w:rsidRPr="00000000" w14:paraId="00000008">
      <w:pPr>
        <w:spacing w:after="144" w:lineRule="auto"/>
        <w:rPr/>
      </w:pPr>
      <w:r w:rsidDel="00000000" w:rsidR="00000000" w:rsidRPr="00000000">
        <w:rPr>
          <w:rtl w:val="0"/>
        </w:rPr>
        <w:t xml:space="preserve">Mint tradičně odměňuje rané kupce (tím, že je levnější, než je sekundární prodej), ale po jednu dobu byli na ETH blockchainu tak velké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gas fees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, že minter platil více za 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tl w:val="0"/>
        </w:rPr>
        <w:t xml:space="preserve">gas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než za NFT. Proto se v NFT kruzích etablovala praktika pre-sales, kdy whitelisted uživatelé nakupují </w:t>
      </w:r>
      <w:r w:rsidDel="00000000" w:rsidR="00000000" w:rsidRPr="00000000">
        <w:rPr>
          <w:i w:val="1"/>
          <w:rtl w:val="0"/>
        </w:rPr>
        <w:t xml:space="preserve">už vygenerované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NFTs</w:t>
      </w:r>
      <w:r w:rsidDel="00000000" w:rsidR="00000000" w:rsidRPr="00000000">
        <w:rPr>
          <w:rtl w:val="0"/>
        </w:rPr>
        <w:t xml:space="preserve">, ale za méně a dříve než veřejnost.</w:t>
      </w:r>
    </w:p>
    <w:p w:rsidR="00000000" w:rsidDel="00000000" w:rsidP="00000000" w:rsidRDefault="00000000" w:rsidRPr="00000000" w14:paraId="00000009">
      <w:pPr>
        <w:pStyle w:val="Heading4"/>
        <w:spacing w:after="144" w:lineRule="auto"/>
        <w:rPr/>
      </w:pPr>
      <w:bookmarkStart w:colFirst="0" w:colLast="0" w:name="_heading=h.zhfuomc8a239" w:id="4"/>
      <w:bookmarkEnd w:id="4"/>
      <w:r w:rsidDel="00000000" w:rsidR="00000000" w:rsidRPr="00000000">
        <w:rPr>
          <w:rtl w:val="0"/>
        </w:rPr>
        <w:t xml:space="preserve">Secondary sale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Jedná se asi o nejmainstreamovější způsob nabytí </w:t>
      </w:r>
      <w:r w:rsidDel="00000000" w:rsidR="00000000" w:rsidRPr="00000000">
        <w:rPr>
          <w:rtl w:val="0"/>
        </w:rPr>
        <w:t xml:space="preserve">NFTs</w:t>
      </w:r>
      <w:r w:rsidDel="00000000" w:rsidR="00000000" w:rsidRPr="00000000">
        <w:rPr>
          <w:rtl w:val="0"/>
        </w:rPr>
        <w:t xml:space="preserve">. Největší tržiště, které v současnosti provozuje sekundární prodej je OpenSea (eth). Kupci zde kupují již vygenerované </w:t>
      </w:r>
      <w:r w:rsidDel="00000000" w:rsidR="00000000" w:rsidRPr="00000000">
        <w:rPr>
          <w:rtl w:val="0"/>
        </w:rPr>
        <w:t xml:space="preserve">NFTs</w:t>
      </w:r>
      <w:r w:rsidDel="00000000" w:rsidR="00000000" w:rsidRPr="00000000">
        <w:rPr>
          <w:rtl w:val="0"/>
        </w:rPr>
        <w:t xml:space="preserve">, které si před koupí mohou prohlédnout a zhodnotit.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18" w:top="1843" w:left="1418" w:right="1416" w:header="567" w:footer="454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akub Machát" w:id="0" w:date="2022-03-27T19:46:36Z"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Poplatek za "palivo" je peněžní částka potřebná k potvrzení transakce v blockchainové síti Ethereum. Zjednodušeně řečeno je to transakční poplatek. Uživatelé platí poplatky za "palivo", aby kompenzovali výpočetní výkon potřebný ke zpracování a potvrzení transakcí v blockchainu Ethereum.</w:t>
      </w:r>
    </w:p>
  </w:comment>
  <w:comment w:author="Jakub Machát" w:id="1" w:date="2022-03-27T19:47:12Z"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Více do hloubky o gas fees: https://allthings.how/what-are-gas-fees-for-nfts/#:~:text=The%20miners%20won%27t%20pay,known%20as%20the%20gas%20fee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D" w15:done="0"/>
  <w15:commentEx w15:paraId="0000000E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Libre Franklin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-106679</wp:posOffset>
              </wp:positionV>
              <wp:extent cx="3952875" cy="1423670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379088" y="3077690"/>
                        <a:ext cx="393382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highlight w:val="white"/>
                              <w:vertAlign w:val="baseline"/>
                            </w:rPr>
                            <w:t xml:space="preserve">CRYFIN a.s., Burzovní palác, Rybná 682, 110 00 Praha, </w:t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highlight w:val="white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highlight w:val="white"/>
                              <w:vertAlign w:val="baseline"/>
                            </w:rPr>
                            <w:t xml:space="preserve">IČO: 07880596, DIČ: CZ07880596, www.cryfin.com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-106679</wp:posOffset>
              </wp:positionV>
              <wp:extent cx="3952875" cy="1423670"/>
              <wp:effectExtent b="0" l="0" r="0" t="0"/>
              <wp:wrapNone/>
              <wp:docPr id="1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52875" cy="14236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-215899</wp:posOffset>
              </wp:positionV>
              <wp:extent cx="6193050" cy="65850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259000" y="3756600"/>
                        <a:ext cx="6174000" cy="46800"/>
                      </a:xfrm>
                      <a:prstGeom prst="rect">
                        <a:avLst/>
                      </a:prstGeom>
                      <a:solidFill>
                        <a:srgbClr val="1A1E4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-215899</wp:posOffset>
              </wp:positionV>
              <wp:extent cx="6193050" cy="65850"/>
              <wp:effectExtent b="0" l="0" r="0" t="0"/>
              <wp:wrapNone/>
              <wp:docPr id="1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93050" cy="65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-72489</wp:posOffset>
          </wp:positionH>
          <wp:positionV relativeFrom="paragraph">
            <wp:posOffset>-47527</wp:posOffset>
          </wp:positionV>
          <wp:extent cx="1319219" cy="433785"/>
          <wp:effectExtent b="0" l="0" r="0" t="0"/>
          <wp:wrapNone/>
          <wp:docPr id="1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19219" cy="43378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19"/>
        <w:szCs w:val="19"/>
        <w:lang w:val="cs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Libre Franklin Medium" w:cs="Libre Franklin Medium" w:eastAsia="Libre Franklin Medium" w:hAnsi="Libre Franklin Medium"/>
      <w:color w:val="1f3864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Libre Franklin Medium" w:cs="Libre Franklin Medium" w:eastAsia="Libre Franklin Medium" w:hAnsi="Libre Franklin Medium"/>
      <w:color w:val="2f549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Libre Franklin Medium" w:cs="Libre Franklin Medium" w:eastAsia="Libre Franklin Medium" w:hAnsi="Libre Franklin Medium"/>
      <w:color w:val="1f3864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Libre Franklin Medium" w:cs="Libre Franklin Medium" w:eastAsia="Libre Franklin Medium" w:hAnsi="Libre Franklin Medium"/>
      <w:color w:val="2f549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n" w:default="1">
    <w:name w:val="Normal"/>
    <w:qFormat w:val="1"/>
    <w:rsid w:val="00E55899"/>
  </w:style>
  <w:style w:type="paragraph" w:styleId="Nadpis1">
    <w:name w:val="heading 1"/>
    <w:basedOn w:val="Normln"/>
    <w:next w:val="Normln"/>
    <w:link w:val="Nadpis1Char"/>
    <w:uiPriority w:val="9"/>
    <w:qFormat w:val="1"/>
    <w:rsid w:val="00671491"/>
    <w:pPr>
      <w:keepNext w:val="1"/>
      <w:keepLines w:val="1"/>
      <w:spacing w:before="240"/>
      <w:outlineLvl w:val="0"/>
    </w:pPr>
    <w:rPr>
      <w:rFonts w:ascii="Franklin Gothic Medium" w:hAnsi="Franklin Gothic Medium" w:cstheme="majorBidi" w:eastAsiaTheme="majorEastAsia"/>
      <w:color w:val="1f3864" w:themeColor="accent1" w:themeShade="000080"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 w:val="1"/>
    <w:qFormat w:val="1"/>
    <w:rsid w:val="00671491"/>
    <w:pPr>
      <w:keepNext w:val="1"/>
      <w:keepLines w:val="1"/>
      <w:spacing w:before="40"/>
      <w:outlineLvl w:val="1"/>
    </w:pPr>
    <w:rPr>
      <w:rFonts w:ascii="Franklin Gothic Medium" w:hAnsi="Franklin Gothic Medium" w:cstheme="majorBidi" w:eastAsiaTheme="majorEastAsia"/>
      <w:color w:val="2f5496" w:themeColor="accent1" w:themeShade="0000BF"/>
      <w:sz w:val="28"/>
      <w:szCs w:val="26"/>
    </w:rPr>
  </w:style>
  <w:style w:type="character" w:styleId="Standardnpsmoodstavce" w:default="1">
    <w:name w:val="Default Paragraph Font"/>
    <w:uiPriority w:val="1"/>
    <w:semiHidden w:val="1"/>
    <w:unhideWhenUsed w:val="1"/>
  </w:style>
  <w:style w:type="table" w:styleId="Normlntabul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paragraph" w:styleId="Zhlav">
    <w:name w:val="header"/>
    <w:basedOn w:val="Normln"/>
    <w:link w:val="ZhlavChar"/>
    <w:uiPriority w:val="99"/>
    <w:unhideWhenUsed w:val="1"/>
    <w:rsid w:val="00E03CAA"/>
    <w:pPr>
      <w:tabs>
        <w:tab w:val="center" w:pos="4536"/>
        <w:tab w:val="right" w:pos="9072"/>
      </w:tabs>
    </w:pPr>
  </w:style>
  <w:style w:type="character" w:styleId="ZhlavChar" w:customStyle="1">
    <w:name w:val="Záhlaví Char"/>
    <w:basedOn w:val="Standardnpsmoodstavce"/>
    <w:link w:val="Zhlav"/>
    <w:uiPriority w:val="99"/>
    <w:rsid w:val="00E03CAA"/>
  </w:style>
  <w:style w:type="paragraph" w:styleId="Zpat">
    <w:name w:val="footer"/>
    <w:basedOn w:val="Normln"/>
    <w:link w:val="ZpatChar"/>
    <w:uiPriority w:val="99"/>
    <w:unhideWhenUsed w:val="1"/>
    <w:rsid w:val="00E03CAA"/>
    <w:pPr>
      <w:tabs>
        <w:tab w:val="center" w:pos="4536"/>
        <w:tab w:val="right" w:pos="9072"/>
      </w:tabs>
    </w:pPr>
  </w:style>
  <w:style w:type="character" w:styleId="ZpatChar" w:customStyle="1">
    <w:name w:val="Zápatí Char"/>
    <w:basedOn w:val="Standardnpsmoodstavce"/>
    <w:link w:val="Zpat"/>
    <w:uiPriority w:val="99"/>
    <w:rsid w:val="00E03CAA"/>
  </w:style>
  <w:style w:type="paragraph" w:styleId="Zkladnodstavec" w:customStyle="1">
    <w:name w:val="[Základní odstavec]"/>
    <w:basedOn w:val="Normln"/>
    <w:uiPriority w:val="99"/>
    <w:rsid w:val="00FB453E"/>
    <w:pPr>
      <w:autoSpaceDE w:val="0"/>
      <w:autoSpaceDN w:val="0"/>
      <w:adjustRightInd w:val="0"/>
      <w:spacing w:line="288" w:lineRule="auto"/>
      <w:textAlignment w:val="center"/>
    </w:pPr>
    <w:rPr>
      <w:rFonts w:ascii="Minion Pro" w:cs="Minion Pro" w:hAnsi="Minion Pro"/>
      <w:color w:val="000000"/>
    </w:rPr>
  </w:style>
  <w:style w:type="paragraph" w:styleId="Odstavecseseznamem">
    <w:name w:val="List Paragraph"/>
    <w:basedOn w:val="Normln"/>
    <w:uiPriority w:val="34"/>
    <w:qFormat w:val="1"/>
    <w:rsid w:val="00DB69E5"/>
    <w:pPr>
      <w:ind w:left="720"/>
      <w:contextualSpacing w:val="1"/>
    </w:pPr>
  </w:style>
  <w:style w:type="paragraph" w:styleId="Textbubliny">
    <w:name w:val="Balloon Text"/>
    <w:basedOn w:val="Normln"/>
    <w:link w:val="TextbublinyChar"/>
    <w:uiPriority w:val="99"/>
    <w:semiHidden w:val="1"/>
    <w:unhideWhenUsed w:val="1"/>
    <w:rsid w:val="004822C4"/>
    <w:rPr>
      <w:rFonts w:ascii="Segoe UI" w:cs="Segoe UI" w:hAnsi="Segoe UI"/>
      <w:sz w:val="18"/>
      <w:szCs w:val="18"/>
    </w:rPr>
  </w:style>
  <w:style w:type="character" w:styleId="TextbublinyChar" w:customStyle="1">
    <w:name w:val="Text bubliny Char"/>
    <w:basedOn w:val="Standardnpsmoodstavce"/>
    <w:link w:val="Textbubliny"/>
    <w:uiPriority w:val="99"/>
    <w:semiHidden w:val="1"/>
    <w:rsid w:val="004822C4"/>
    <w:rPr>
      <w:rFonts w:ascii="Segoe UI" w:cs="Segoe UI" w:hAnsi="Segoe UI"/>
      <w:sz w:val="18"/>
      <w:szCs w:val="18"/>
    </w:rPr>
  </w:style>
  <w:style w:type="character" w:styleId="Hypertextovodkaz">
    <w:name w:val="Hyperlink"/>
    <w:basedOn w:val="Standardnpsmoodstavce"/>
    <w:uiPriority w:val="99"/>
    <w:unhideWhenUsed w:val="1"/>
    <w:rsid w:val="005D286A"/>
    <w:rPr>
      <w:color w:val="0563c1" w:themeColor="hyperlink"/>
      <w:u w:val="single"/>
    </w:rPr>
  </w:style>
  <w:style w:type="character" w:styleId="Nevyeenzmnka1" w:customStyle="1">
    <w:name w:val="Nevyřešená zmínka1"/>
    <w:basedOn w:val="Standardnpsmoodstavce"/>
    <w:uiPriority w:val="99"/>
    <w:semiHidden w:val="1"/>
    <w:unhideWhenUsed w:val="1"/>
    <w:rsid w:val="005D286A"/>
    <w:rPr>
      <w:color w:val="605e5c"/>
      <w:shd w:color="auto" w:fill="e1dfdd" w:val="clear"/>
    </w:rPr>
  </w:style>
  <w:style w:type="table" w:styleId="Mkatabulky">
    <w:name w:val="Table Grid"/>
    <w:basedOn w:val="Normlntabulka"/>
    <w:uiPriority w:val="39"/>
    <w:rsid w:val="00D455C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poznpodarou">
    <w:name w:val="footnote text"/>
    <w:basedOn w:val="Normln"/>
    <w:link w:val="TextpoznpodarouChar"/>
    <w:uiPriority w:val="99"/>
    <w:semiHidden w:val="1"/>
    <w:unhideWhenUsed w:val="1"/>
    <w:rsid w:val="00C14A6F"/>
    <w:rPr>
      <w:sz w:val="20"/>
      <w:szCs w:val="20"/>
    </w:rPr>
  </w:style>
  <w:style w:type="character" w:styleId="TextpoznpodarouChar" w:customStyle="1">
    <w:name w:val="Text pozn. pod čarou Char"/>
    <w:basedOn w:val="Standardnpsmoodstavce"/>
    <w:link w:val="Textpoznpodarou"/>
    <w:uiPriority w:val="99"/>
    <w:semiHidden w:val="1"/>
    <w:rsid w:val="00C14A6F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 w:val="1"/>
    <w:unhideWhenUsed w:val="1"/>
    <w:rsid w:val="00C14A6F"/>
    <w:rPr>
      <w:vertAlign w:val="superscript"/>
    </w:rPr>
  </w:style>
  <w:style w:type="character" w:styleId="Nadpis1Char" w:customStyle="1">
    <w:name w:val="Nadpis 1 Char"/>
    <w:basedOn w:val="Standardnpsmoodstavce"/>
    <w:link w:val="Nadpis1"/>
    <w:uiPriority w:val="9"/>
    <w:rsid w:val="00671491"/>
    <w:rPr>
      <w:rFonts w:ascii="Franklin Gothic Medium" w:hAnsi="Franklin Gothic Medium" w:cstheme="majorBidi" w:eastAsiaTheme="majorEastAsia"/>
      <w:color w:val="1f3864" w:themeColor="accent1" w:themeShade="000080"/>
      <w:sz w:val="36"/>
      <w:szCs w:val="32"/>
    </w:rPr>
  </w:style>
  <w:style w:type="character" w:styleId="Nadpis2Char" w:customStyle="1">
    <w:name w:val="Nadpis 2 Char"/>
    <w:basedOn w:val="Standardnpsmoodstavce"/>
    <w:link w:val="Nadpis2"/>
    <w:uiPriority w:val="9"/>
    <w:rsid w:val="00671491"/>
    <w:rPr>
      <w:rFonts w:ascii="Franklin Gothic Medium" w:hAnsi="Franklin Gothic Medium" w:cstheme="majorBidi" w:eastAsiaTheme="majorEastAsia"/>
      <w:color w:val="2f5496" w:themeColor="accent1" w:themeShade="0000BF"/>
      <w:sz w:val="28"/>
      <w:szCs w:val="26"/>
    </w:rPr>
  </w:style>
  <w:style w:type="character" w:styleId="Nevyeenzmnka">
    <w:name w:val="Unresolved Mention"/>
    <w:basedOn w:val="Standardnpsmoodstavce"/>
    <w:uiPriority w:val="99"/>
    <w:semiHidden w:val="1"/>
    <w:unhideWhenUsed w:val="1"/>
    <w:rsid w:val="00AD46D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Medium-regular.ttf"/><Relationship Id="rId2" Type="http://schemas.openxmlformats.org/officeDocument/2006/relationships/font" Target="fonts/LibreFranklinMedium-bold.ttf"/><Relationship Id="rId3" Type="http://schemas.openxmlformats.org/officeDocument/2006/relationships/font" Target="fonts/LibreFranklinMedium-italic.ttf"/><Relationship Id="rId4" Type="http://schemas.openxmlformats.org/officeDocument/2006/relationships/font" Target="fonts/LibreFranklinMedium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lExPJLEOwLIpHykTNkq3C7VAsw==">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2020-09-14T10:41:00Z</dcterms:created>
  <dc:creator>honza@olmerad.cz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0x01010046B4CBA8752D9E4DAB4BFA44C0B23516</vt:lpwstr>
  </property>
  <property fmtid="{D5CDD505-2E9C-101B-9397-08002B2CF9AE}" pid="3" name="Order">
    <vt:r8>8946900.0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