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pPr>
      <w:r>
        <w:drawing>
          <wp:inline distT="0" distB="0" distL="0" distR="0">
            <wp:extent cx="2857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942975"/>
                    </a:xfrm>
                    <a:prstGeom prst="rect">
                      <a:avLst/>
                    </a:prstGeom>
                  </pic:spPr>
                </pic:pic>
              </a:graphicData>
            </a:graphic>
          </wp:inline>
        </w:drawing>
      </w:r>
    </w:p>
    <w:p>
      <w:pPr>
        <w:spacing w:after="120" w:before="600"/>
      </w:pPr>
      <w:r>
        <w:rPr>
          <w:rFonts w:ascii="Aptos Display" w:cs="Aptos Display" w:eastAsia="Aptos Display" w:hAnsi="Aptos Display"/>
          <w:b/>
          <w:bCs/>
          <w:color w:val="313E72"/>
          <w:sz w:val="60"/>
          <w:szCs w:val="60"/>
        </w:rPr>
        <w:t xml:space="preserve">Corporate Design Handbuch</w:t>
      </w:r>
    </w:p>
    <w:p>
      <w:pPr>
        <w:spacing w:after="120"/>
      </w:pPr>
      <w:r>
        <w:rPr>
          <w:color w:val="1B2246"/>
          <w:sz w:val="26"/>
          <w:szCs w:val="26"/>
        </w:rPr>
        <w:t xml:space="preserve">Regeln und Grundlagen für Website, PowerPoint und alle Unterlagen der Copilotenschule</w:t>
      </w:r>
    </w:p>
    <w:p>
      <w:pPr>
        <w:spacing w:after="400"/>
      </w:pPr>
      <w:r>
        <w:rPr>
          <w:rFonts w:ascii="Aptos Narrow" w:cs="Aptos Narrow" w:eastAsia="Aptos Narrow" w:hAnsi="Aptos Narrow"/>
          <w:b/>
          <w:bCs/>
          <w:i/>
          <w:iCs/>
          <w:color w:val="CF2E2E"/>
          <w:spacing w:val="30"/>
          <w:sz w:val="22"/>
          <w:szCs w:val="22"/>
        </w:rPr>
        <w:t xml:space="preserve">STAND SEPTEMBER 2026</w:t>
      </w:r>
    </w:p>
    <w:p>
      <w:pPr>
        <w:spacing w:after="160" w:before="120"/>
      </w:pPr>
      <w:r>
        <w:drawing>
          <wp:inline distT="0" distB="0" distL="0" distR="0">
            <wp:extent cx="4000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419225"/>
                    </a:xfrm>
                    <a:prstGeom prst="rect">
                      <a:avLst/>
                    </a:prstGeom>
                  </pic:spPr>
                </pic:pic>
              </a:graphicData>
            </a:graphic>
          </wp:inline>
        </w:drawing>
      </w:r>
    </w:p>
    <w:p>
      <w:pPr>
        <w:pStyle w:val="Heading1"/>
      </w:pPr>
      <w:r>
        <w:t xml:space="preserve">Hinweise für die Präsentation zu diesem Dokument</w:t>
      </w:r>
    </w:p>
    <w:p>
      <w:pPr>
        <w:spacing w:after="120"/>
      </w:pPr>
      <w:r>
        <w:t xml:space="preserve">Dieses Dokument ist die Grundlage für eine Präsentation über das Corporate Design der Copilotenschule. Für die Umsetzung gilt:</w:t>
      </w:r>
    </w:p>
    <w:p>
      <w:pPr>
        <w:pStyle w:val="ListParagraph"/>
        <w:numPr>
          <w:ilvl w:val="0"/>
          <w:numId w:val="2"/>
        </w:numPr>
        <w:spacing w:after="60"/>
      </w:pPr>
      <w:r>
        <w:rPr>
          <w:b/>
          <w:bCs/>
        </w:rPr>
        <w:t xml:space="preserve">Vorlage: </w:t>
      </w:r>
      <w:r>
        <w:t xml:space="preserve">Die Präsentation entsteht ausschließlich mit der Vorlage „Copilotenschule_Vorlage1.potx“. Master, Farben, Schriften und Layouts werden nicht verändert.</w:t>
      </w:r>
    </w:p>
    <w:p>
      <w:pPr>
        <w:pStyle w:val="ListParagraph"/>
        <w:numPr>
          <w:ilvl w:val="0"/>
          <w:numId w:val="2"/>
        </w:numPr>
        <w:spacing w:after="60"/>
      </w:pPr>
      <w:r>
        <w:rPr>
          <w:b/>
          <w:bCs/>
        </w:rPr>
        <w:t xml:space="preserve">Struktur: </w:t>
      </w:r>
      <w:r>
        <w:t xml:space="preserve">Jede Hauptüberschrift dieses Dokuments ist ein Kapitel und bekommt einen Kapiteltrenner (blaue Folie mit Startnummer 01, 02, 03 …). Jede Unterüberschrift wird zu einer Inhaltsfolie.</w:t>
      </w:r>
    </w:p>
    <w:p>
      <w:pPr>
        <w:pStyle w:val="ListParagraph"/>
        <w:numPr>
          <w:ilvl w:val="0"/>
          <w:numId w:val="2"/>
        </w:numPr>
        <w:spacing w:after="60"/>
      </w:pPr>
      <w:r>
        <w:rPr>
          <w:b/>
          <w:bCs/>
        </w:rPr>
        <w:t xml:space="preserve">Umfang: </w:t>
      </w:r>
      <w:r>
        <w:t xml:space="preserve">Höchstens fünf Punkte pro Folie, jeder Punkt eine Zeile. Lieber eine Folie mehr als eine überladene.</w:t>
      </w:r>
    </w:p>
    <w:p>
      <w:pPr>
        <w:pStyle w:val="ListParagraph"/>
        <w:numPr>
          <w:ilvl w:val="0"/>
          <w:numId w:val="2"/>
        </w:numPr>
        <w:spacing w:after="60"/>
      </w:pPr>
      <w:r>
        <w:rPr>
          <w:b/>
          <w:bCs/>
        </w:rPr>
        <w:t xml:space="preserve">Keine </w:t>
      </w:r>
      <w:r>
        <w:t xml:space="preserve">Foliennummern, keine Fußzeile, keine Webadresse auf den Folien.</w:t>
      </w:r>
    </w:p>
    <w:p>
      <w:pPr>
        <w:pStyle w:val="ListParagraph"/>
        <w:numPr>
          <w:ilvl w:val="0"/>
          <w:numId w:val="2"/>
        </w:numPr>
        <w:spacing w:after="60"/>
      </w:pPr>
      <w:r>
        <w:rPr>
          <w:b/>
          <w:bCs/>
        </w:rPr>
        <w:t xml:space="preserve">Rot </w:t>
      </w:r>
      <w:r>
        <w:t xml:space="preserve">nur für die eine wichtigste Aussage oder Zahl einer Folie.</w:t>
      </w:r>
    </w:p>
    <w:p>
      <w:pPr>
        <w:pStyle w:val="Heading1"/>
      </w:pPr>
      <w:r>
        <w:t xml:space="preserve">Marke und Haltung</w:t>
      </w:r>
    </w:p>
    <w:p>
      <w:pPr>
        <w:pStyle w:val="Heading2"/>
      </w:pPr>
      <w:r>
        <w:t xml:space="preserve">Die Idee</w:t>
      </w:r>
    </w:p>
    <w:p>
      <w:pPr>
        <w:spacing w:after="120"/>
      </w:pPr>
      <w:r>
        <w:t xml:space="preserve">Copilotenschule trainiert Unternehmen im Umgang mit Microsoft Copilot. Der Name ist das Bild: Im Rallyesport sitzt der Copilot rechts, liest den Aufschrieb und sagt die nächste Kurve an – gefahren wird vom Fahrer. Genau so arbeitet Microsoft Copilot, und genau so arbeiten unsere Trainings.</w:t>
      </w:r>
    </w:p>
    <w:p>
      <w:pPr>
        <w:spacing w:after="120"/>
      </w:pPr>
      <w:r>
        <w:t xml:space="preserve">Die Gestaltung kommt aus der Welt des klassischen Rallye- und Tourenwagensports der 70er und 80er Jahre: weißer Grund, tiefes Blau, drei Streifen in Blau, Türkis und Rot, fette Startnummern, Tempo. Sie ist davon inspiriert, aber eigenständig.</w:t>
      </w:r>
    </w:p>
    <w:p>
      <w:pPr>
        <w:pStyle w:val="Heading2"/>
      </w:pPr>
      <w:r>
        <w:t xml:space="preserve">Haltung</w:t>
      </w:r>
    </w:p>
    <w:p>
      <w:pPr>
        <w:pStyle w:val="ListParagraph"/>
        <w:numPr>
          <w:ilvl w:val="0"/>
          <w:numId w:val="2"/>
        </w:numPr>
        <w:spacing w:after="60"/>
      </w:pPr>
      <w:r>
        <w:rPr>
          <w:b/>
          <w:bCs/>
        </w:rPr>
        <w:t xml:space="preserve">Präzise wie ein Aufschrieb: </w:t>
      </w:r>
      <w:r>
        <w:t xml:space="preserve">kurze Ansagen, klare Reihenfolge, nichts Überflüssiges.</w:t>
      </w:r>
    </w:p>
    <w:p>
      <w:pPr>
        <w:pStyle w:val="ListParagraph"/>
        <w:numPr>
          <w:ilvl w:val="0"/>
          <w:numId w:val="2"/>
        </w:numPr>
        <w:spacing w:after="60"/>
      </w:pPr>
      <w:r>
        <w:rPr>
          <w:b/>
          <w:bCs/>
        </w:rPr>
        <w:t xml:space="preserve">Bold statt verspielt: </w:t>
      </w:r>
      <w:r>
        <w:t xml:space="preserve">große Flächen, harte Kanten, wenige starke Farben.</w:t>
      </w:r>
    </w:p>
    <w:p>
      <w:pPr>
        <w:pStyle w:val="ListParagraph"/>
        <w:numPr>
          <w:ilvl w:val="0"/>
          <w:numId w:val="2"/>
        </w:numPr>
        <w:spacing w:after="60"/>
      </w:pPr>
      <w:r>
        <w:rPr>
          <w:b/>
          <w:bCs/>
        </w:rPr>
        <w:t xml:space="preserve">Bewegung nach vorn: </w:t>
      </w:r>
      <w:r>
        <w:t xml:space="preserve">Schrägen im Streifenwinkel (59°), kursive Dachzeilen, Motive, die aus der Fläche herauslaufen.</w:t>
      </w:r>
    </w:p>
    <w:p>
      <w:pPr>
        <w:pStyle w:val="ListParagraph"/>
        <w:numPr>
          <w:ilvl w:val="0"/>
          <w:numId w:val="2"/>
        </w:numPr>
        <w:spacing w:after="60"/>
      </w:pPr>
      <w:r>
        <w:rPr>
          <w:b/>
          <w:bCs/>
        </w:rPr>
        <w:t xml:space="preserve">Seriös für Entscheider: </w:t>
      </w:r>
      <w:r>
        <w:t xml:space="preserve">Die Rennsport-Anleihe ist Haltung, kein Kostüm.</w:t>
      </w:r>
    </w:p>
    <w:p>
      <w:pPr>
        <w:pStyle w:val="Heading2"/>
      </w:pPr>
      <w:r>
        <w:t xml:space="preserve">Zielgruppe</w:t>
      </w:r>
    </w:p>
    <w:p>
      <w:pPr>
        <w:spacing w:after="120"/>
      </w:pPr>
      <w:r>
        <w:t xml:space="preserve">Entscheider in Unternehmen im deutschsprachigen Raum: Geschäftsführung, HR- und L&amp;D-Verantwortliche, Team- und Abteilungsleitungen.</w:t>
      </w:r>
    </w:p>
    <w:p>
      <w:pPr>
        <w:pStyle w:val="Heading2"/>
      </w:pPr>
      <w:r>
        <w:t xml:space="preserve">Die Grenze zum Vorbild</w:t>
      </w:r>
    </w:p>
    <w:p>
      <w:pPr>
        <w:spacing w:after="120"/>
      </w:pPr>
      <w:r>
        <w:t xml:space="preserve">Inspiration ja, Imitation nein. Nie den Namen oder das Logo eines Rennstalls, Sponsors oder Herstellers verwenden, keine Nachbauten bekannter Fahrzeuglackierungen, keine historischen Rennfotos ohne Lizenz. Unser Erkennungszeichen ist das eigene Logo mit dem Streifen-Kick.</w:t>
      </w:r>
    </w:p>
    <w:p>
      <w:pPr>
        <w:pStyle w:val="Heading1"/>
      </w:pPr>
      <w:r>
        <w:t xml:space="preserve">Logo</w:t>
      </w:r>
    </w:p>
    <w:p>
      <w:pPr>
        <w:pStyle w:val="Heading2"/>
      </w:pPr>
      <w:r>
        <w:t xml:space="preserve">Varianten</w:t>
      </w:r>
    </w:p>
    <w:p>
      <w:pPr>
        <w:spacing w:after="160" w:before="120"/>
      </w:pPr>
      <w:r>
        <w:drawing>
          <wp:inline distT="0" distB="0" distL="0" distR="0">
            <wp:extent cx="24765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8191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CE8" w:sz="4"/>
              <w:left w:val="single" w:color="D9DCE8" w:sz="4"/>
              <w:bottom w:val="single" w:color="D9DCE8" w:sz="4"/>
              <w:right w:val="single" w:color="D9DCE8" w:sz="4"/>
            </w:tcBorders>
            <w:shd w:fill="313E72" w:color="auto" w:val="clear"/>
            <w:tcMar>
              <w:top w:type="dxa" w:w="200"/>
              <w:left w:type="dxa" w:w="200"/>
              <w:bottom w:type="dxa" w:w="200"/>
              <w:right w:type="dxa" w:w="200"/>
            </w:tcMar>
          </w:tcPr>
          <w:p>
            <w:r>
              <w:drawing>
                <wp:inline distT="0" distB="0" distL="0" distR="0">
                  <wp:extent cx="24765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819150"/>
                          </a:xfrm>
                          <a:prstGeom prst="rect">
                            <a:avLst/>
                          </a:prstGeom>
                        </pic:spPr>
                      </pic:pic>
                    </a:graphicData>
                  </a:graphic>
                </wp:inline>
              </w:drawing>
            </w:r>
          </w:p>
        </w:tc>
      </w:tr>
    </w:tbl>
    <w:p>
      <w:pPr>
        <w:spacing w:before="160"/>
      </w:pPr>
      <w:r>
        <w:drawing>
          <wp:inline distT="0" distB="0" distL="0" distR="0">
            <wp:extent cx="2095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800100"/>
                    </a:xfrm>
                    <a:prstGeom prst="rect">
                      <a:avLst/>
                    </a:prstGeom>
                  </pic:spPr>
                </pic:pic>
              </a:graphicData>
            </a:graphic>
          </wp:inline>
        </w:drawing>
      </w:r>
      <w:r>
        <w:t xml:space="preserve">      </w:t>
      </w:r>
      <w:r>
        <w:drawing>
          <wp:inline distT="0" distB="0" distL="0" distR="0">
            <wp:extent cx="8001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 cy="819150"/>
                    </a:xfrm>
                    <a:prstGeom prst="rect">
                      <a:avLst/>
                    </a:prstGeom>
                  </pic:spPr>
                </pic:pic>
              </a:graphicData>
            </a:graphic>
          </wp:inline>
        </w:drawing>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Variante</w:t>
            </w:r>
          </w:p>
        </w:tc>
        <w:tc>
          <w:tcPr>
            <w:tcW w:type="dxa" w:w="66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Einsatz</w:t>
            </w:r>
          </w:p>
        </w:tc>
      </w:tr>
      <w:tr>
        <w:trPr>
          <w:tblHeader w:val="false"/>
        </w:trPr>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Hauptlogo</w:t>
            </w:r>
          </w:p>
        </w:tc>
        <w:tc>
          <w:tcPr>
            <w:tcW w:type="dxa" w:w="66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Blau, Türkis, Rot auf Weiß oder sehr hellem Grund. Erste Wahl überall.</w:t>
            </w:r>
          </w:p>
        </w:tc>
      </w:tr>
      <w:tr>
        <w:trPr>
          <w:tblHeader w:val="false"/>
        </w:trPr>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Negativlogo</w:t>
            </w:r>
          </w:p>
        </w:tc>
        <w:tc>
          <w:tcPr>
            <w:tcW w:type="dxa" w:w="66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Erster Streifen und Schrift weiß. Nur auf Markenblau oder Navy, nie auf Fotos oder Rot.</w:t>
            </w:r>
          </w:p>
        </w:tc>
      </w:tr>
      <w:tr>
        <w:trPr>
          <w:tblHeader w:val="false"/>
        </w:trPr>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Logo-Plakette</w:t>
            </w:r>
          </w:p>
        </w:tc>
        <w:tc>
          <w:tcPr>
            <w:tcW w:type="dxa" w:w="66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Logo in der blauen Plakette. Für Fotos, Sticker, Merchandise, unruhige Hintergründe.</w:t>
            </w:r>
          </w:p>
        </w:tc>
      </w:tr>
      <w:tr>
        <w:trPr>
          <w:tblHeader w:val="false"/>
        </w:trPr>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Rundsignet mit Schriftzug</w:t>
            </w:r>
          </w:p>
        </w:tc>
        <w:tc>
          <w:tcPr>
            <w:tcW w:type="dxa" w:w="66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Profilbild (LinkedIn, Teams), Favicon ab 64 px.</w:t>
            </w:r>
          </w:p>
        </w:tc>
      </w:tr>
      <w:tr>
        <w:trPr>
          <w:tblHeader w:val="false"/>
        </w:trPr>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Rundsignet mit Streifen</w:t>
            </w:r>
          </w:p>
        </w:tc>
        <w:tc>
          <w:tcPr>
            <w:tcW w:type="dxa" w:w="66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Kleinste Anwendung: Favicon, App-Kachel, Stempel. Nie Ersatz für das Logo auf Titelflächen.</w:t>
            </w:r>
          </w:p>
        </w:tc>
      </w:tr>
      <w:tr>
        <w:trPr>
          <w:tblHeader w:val="false"/>
        </w:trPr>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Streifenmotiv</w:t>
            </w:r>
          </w:p>
        </w:tc>
        <w:tc>
          <w:tcPr>
            <w:tcW w:type="dxa" w:w="66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Die Logostreifen ohne Schrift, als Grafikelement für Folien und Druck.</w:t>
            </w:r>
          </w:p>
        </w:tc>
      </w:tr>
    </w:tbl>
    <w:p>
      <w:pPr>
        <w:pStyle w:val="Heading2"/>
      </w:pPr>
      <w:r>
        <w:t xml:space="preserve">Regeln</w:t>
      </w:r>
    </w:p>
    <w:p>
      <w:pPr>
        <w:pStyle w:val="ListParagraph"/>
        <w:numPr>
          <w:ilvl w:val="0"/>
          <w:numId w:val="2"/>
        </w:numPr>
        <w:spacing w:after="60"/>
      </w:pPr>
      <w:r>
        <w:t xml:space="preserve">Schutzraum rundum mindestens die Höhe des „C“ in „Copiloten“.</w:t>
      </w:r>
    </w:p>
    <w:p>
      <w:pPr>
        <w:pStyle w:val="ListParagraph"/>
        <w:numPr>
          <w:ilvl w:val="0"/>
          <w:numId w:val="2"/>
        </w:numPr>
        <w:spacing w:after="60"/>
      </w:pPr>
      <w:r>
        <w:t xml:space="preserve">Mindestgröße Hauptlogo: 120 px Breite digital, 30 mm im Druck.</w:t>
      </w:r>
    </w:p>
    <w:p>
      <w:pPr>
        <w:pStyle w:val="ListParagraph"/>
        <w:numPr>
          <w:ilvl w:val="0"/>
          <w:numId w:val="2"/>
        </w:numPr>
        <w:spacing w:after="60"/>
      </w:pPr>
      <w:r>
        <w:t xml:space="preserve">Website: Logo links in der Navigation. Folien: auf der Titelfolie oben links, auf Inhaltsfolien klein unten rechts.</w:t>
      </w:r>
    </w:p>
    <w:p>
      <w:pPr>
        <w:pStyle w:val="ListParagraph"/>
        <w:numPr>
          <w:ilvl w:val="0"/>
          <w:numId w:val="2"/>
        </w:numPr>
        <w:spacing w:after="60"/>
      </w:pPr>
      <w:r>
        <w:t xml:space="preserve">Nicht verzerren, nicht drehen, keine Schatten, keine anderen Farben, Streifen nie vom Schriftzug trennen oder neu anordnen.</w:t>
      </w:r>
    </w:p>
    <w:p>
      <w:pPr>
        <w:pStyle w:val="ListParagraph"/>
        <w:numPr>
          <w:ilvl w:val="0"/>
          <w:numId w:val="2"/>
        </w:numPr>
        <w:spacing w:after="60"/>
      </w:pPr>
      <w:r>
        <w:t xml:space="preserve">Logo und großer Streifen-Kick nie direkt nebeneinander – das Motiv doppelt sich sonst.</w:t>
      </w:r>
    </w:p>
    <w:p>
      <w:pPr>
        <w:pStyle w:val="Heading1"/>
      </w:pPr>
      <w:r>
        <w:t xml:space="preserve">Farben</w:t>
      </w:r>
    </w:p>
    <w:p>
      <w:pPr>
        <w:pStyle w:val="Heading2"/>
      </w:pPr>
      <w:r>
        <w:t xml:space="preserve">Markenfarben</w:t>
      </w:r>
    </w:p>
    <w:p>
      <w:pPr>
        <w:spacing w:after="120"/>
      </w:pPr>
      <w:r>
        <w:t xml:space="preserve">Verbindlich sind die farbrichtigen Werte aus den CMYK-Angaben der Logodatei. Keine anderen Blau-, Rot- oder Türkistöne verwenden, auch nicht die leuchtenden Bildschirmwerte des Logoblatts.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200"/>
        <w:gridCol w:w="1500"/>
        <w:gridCol w:w="1400"/>
        <w:gridCol w:w="2126"/>
      </w:tblGrid>
      <w:tr>
        <w:trPr>
          <w:tblHeader/>
        </w:trPr>
        <w:tc>
          <w:tcPr>
            <w:tcW w:type="dxa" w:w="11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
            </w:r>
          </w:p>
        </w:tc>
        <w:tc>
          <w:tcPr>
            <w:tcW w:type="dxa" w:w="17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Farbe</w:t>
            </w:r>
          </w:p>
        </w:tc>
        <w:tc>
          <w:tcPr>
            <w:tcW w:type="dxa" w:w="12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HEX</w:t>
            </w:r>
          </w:p>
        </w:tc>
        <w:tc>
          <w:tcPr>
            <w:tcW w:type="dxa" w:w="15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RGB</w:t>
            </w:r>
          </w:p>
        </w:tc>
        <w:tc>
          <w:tcPr>
            <w:tcW w:type="dxa" w:w="14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CMYK</w:t>
            </w:r>
          </w:p>
        </w:tc>
        <w:tc>
          <w:tcPr>
            <w:tcW w:type="dxa" w:w="21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Rolle</w:t>
            </w:r>
          </w:p>
        </w:tc>
      </w:tr>
      <w:tr>
        <w:trPr>
          <w:tblHeader w:val="false"/>
        </w:trPr>
        <w:tc>
          <w:tcPr>
            <w:tcW w:type="dxa" w:w="11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val="false"/>
                <w:bCs w:val="false"/>
                <w:sz w:val="19"/>
                <w:szCs w:val="19"/>
              </w:rPr>
              <w:t xml:space="preserve"/>
            </w:r>
          </w:p>
        </w:tc>
        <w:tc>
          <w:tcPr>
            <w:tcW w:type="dxa" w:w="17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Markenblau</w:t>
            </w:r>
          </w:p>
        </w:tc>
        <w:tc>
          <w:tcPr>
            <w:tcW w:type="dxa" w:w="1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#313E72</w:t>
            </w:r>
          </w:p>
        </w:tc>
        <w:tc>
          <w:tcPr>
            <w:tcW w:type="dxa" w:w="1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49 / 62 / 114</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100 / 89 / 28 / 8</w:t>
            </w:r>
          </w:p>
        </w:tc>
        <w:tc>
          <w:tcPr>
            <w:tcW w:type="dxa" w:w="21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Markenfarbe, Headlines, große Flächen</w:t>
            </w:r>
          </w:p>
        </w:tc>
      </w:tr>
      <w:tr>
        <w:trPr>
          <w:tblHeader w:val="false"/>
        </w:trPr>
        <w:tc>
          <w:tcPr>
            <w:tcW w:type="dxa" w:w="1100"/>
            <w:tcBorders>
              <w:top w:val="single" w:color="D9DCE8" w:sz="4"/>
              <w:left w:val="single" w:color="D9DCE8" w:sz="4"/>
              <w:bottom w:val="single" w:color="D9DCE8" w:sz="4"/>
              <w:right w:val="single" w:color="D9DCE8" w:sz="4"/>
            </w:tcBorders>
            <w:shd w:fill="67C7EF" w:color="auto" w:val="clear"/>
            <w:tcMar>
              <w:top w:type="dxa" w:w="80"/>
              <w:left w:type="dxa" w:w="120"/>
              <w:bottom w:type="dxa" w:w="80"/>
              <w:right w:type="dxa" w:w="120"/>
            </w:tcMar>
          </w:tcPr>
          <w:p>
            <w:r>
              <w:rPr>
                <w:b w:val="false"/>
                <w:bCs w:val="false"/>
                <w:sz w:val="19"/>
                <w:szCs w:val="19"/>
              </w:rPr>
              <w:t xml:space="preserve"/>
            </w:r>
          </w:p>
        </w:tc>
        <w:tc>
          <w:tcPr>
            <w:tcW w:type="dxa" w:w="17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Türkis</w:t>
            </w:r>
          </w:p>
        </w:tc>
        <w:tc>
          <w:tcPr>
            <w:tcW w:type="dxa" w:w="1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#67C7EF</w:t>
            </w:r>
          </w:p>
        </w:tc>
        <w:tc>
          <w:tcPr>
            <w:tcW w:type="dxa" w:w="1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103 / 199 / 239</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58 / 0 / 2 / 0</w:t>
            </w:r>
          </w:p>
        </w:tc>
        <w:tc>
          <w:tcPr>
            <w:tcW w:type="dxa" w:w="21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Akzent, zweiter Streifen</w:t>
            </w:r>
          </w:p>
        </w:tc>
      </w:tr>
      <w:tr>
        <w:trPr>
          <w:tblHeader w:val="false"/>
        </w:trPr>
        <w:tc>
          <w:tcPr>
            <w:tcW w:type="dxa" w:w="1100"/>
            <w:tcBorders>
              <w:top w:val="single" w:color="D9DCE8" w:sz="4"/>
              <w:left w:val="single" w:color="D9DCE8" w:sz="4"/>
              <w:bottom w:val="single" w:color="D9DCE8" w:sz="4"/>
              <w:right w:val="single" w:color="D9DCE8" w:sz="4"/>
            </w:tcBorders>
            <w:shd w:fill="CF2E2E" w:color="auto" w:val="clear"/>
            <w:tcMar>
              <w:top w:type="dxa" w:w="80"/>
              <w:left w:type="dxa" w:w="120"/>
              <w:bottom w:type="dxa" w:w="80"/>
              <w:right w:type="dxa" w:w="120"/>
            </w:tcMar>
          </w:tcPr>
          <w:p>
            <w:r>
              <w:rPr>
                <w:b w:val="false"/>
                <w:bCs w:val="false"/>
                <w:sz w:val="19"/>
                <w:szCs w:val="19"/>
              </w:rPr>
              <w:t xml:space="preserve"/>
            </w:r>
          </w:p>
        </w:tc>
        <w:tc>
          <w:tcPr>
            <w:tcW w:type="dxa" w:w="17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Rot</w:t>
            </w:r>
          </w:p>
        </w:tc>
        <w:tc>
          <w:tcPr>
            <w:tcW w:type="dxa" w:w="1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#CF2E2E</w:t>
            </w:r>
          </w:p>
        </w:tc>
        <w:tc>
          <w:tcPr>
            <w:tcW w:type="dxa" w:w="1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207 / 46 / 46</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12 / 97 / 93 / 3</w:t>
            </w:r>
          </w:p>
        </w:tc>
        <w:tc>
          <w:tcPr>
            <w:tcW w:type="dxa" w:w="21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Hauptaktion, dritter Streifen, Startnummer</w:t>
            </w:r>
          </w:p>
        </w:tc>
      </w:tr>
      <w:tr>
        <w:trPr>
          <w:tblHeader w:val="false"/>
        </w:trPr>
        <w:tc>
          <w:tcPr>
            <w:tcW w:type="dxa" w:w="1100"/>
            <w:tcBorders>
              <w:top w:val="single" w:color="D9DCE8" w:sz="4"/>
              <w:left w:val="single" w:color="D9DCE8" w:sz="4"/>
              <w:bottom w:val="single" w:color="D9DCE8" w:sz="4"/>
              <w:right w:val="single" w:color="D9DCE8" w:sz="4"/>
            </w:tcBorders>
            <w:shd w:fill="FFFFFF" w:color="auto" w:val="clear"/>
            <w:tcMar>
              <w:top w:type="dxa" w:w="80"/>
              <w:left w:type="dxa" w:w="120"/>
              <w:bottom w:type="dxa" w:w="80"/>
              <w:right w:type="dxa" w:w="120"/>
            </w:tcMar>
          </w:tcPr>
          <w:p>
            <w:r>
              <w:rPr>
                <w:b w:val="false"/>
                <w:bCs w:val="false"/>
                <w:sz w:val="19"/>
                <w:szCs w:val="19"/>
              </w:rPr>
              <w:t xml:space="preserve"/>
            </w:r>
          </w:p>
        </w:tc>
        <w:tc>
          <w:tcPr>
            <w:tcW w:type="dxa" w:w="17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Weiß</w:t>
            </w:r>
          </w:p>
        </w:tc>
        <w:tc>
          <w:tcPr>
            <w:tcW w:type="dxa" w:w="1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#FFFFFF</w:t>
            </w:r>
          </w:p>
        </w:tc>
        <w:tc>
          <w:tcPr>
            <w:tcW w:type="dxa" w:w="1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255 / 255 / 255</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0 / 0 / 0 / 0</w:t>
            </w:r>
          </w:p>
        </w:tc>
        <w:tc>
          <w:tcPr>
            <w:tcW w:type="dxa" w:w="21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Grund, Schrift auf Blau</w:t>
            </w:r>
          </w:p>
        </w:tc>
      </w:tr>
    </w:tbl>
    <w:p>
      <w:pPr>
        <w:pStyle w:val="Heading2"/>
      </w:pPr>
      <w:r>
        <w:t xml:space="preserve">Ergänzende Farben</w:t>
      </w:r>
    </w:p>
    <w:p>
      <w:pPr>
        <w:spacing w:after="120"/>
      </w:pPr>
      <w:r>
        <w:t xml:space="preserve">Nicht im Logo enthalten, für Text, Flächen und Zustände ergänzt: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400"/>
        <w:gridCol w:w="4426"/>
      </w:tblGrid>
      <w:tr>
        <w:trPr>
          <w:tblHeader/>
        </w:trPr>
        <w:tc>
          <w:tcPr>
            <w:tcW w:type="dxa" w:w="11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
            </w:r>
          </w:p>
        </w:tc>
        <w:tc>
          <w:tcPr>
            <w:tcW w:type="dxa" w:w="21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Farbe</w:t>
            </w:r>
          </w:p>
        </w:tc>
        <w:tc>
          <w:tcPr>
            <w:tcW w:type="dxa" w:w="14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HEX</w:t>
            </w:r>
          </w:p>
        </w:tc>
        <w:tc>
          <w:tcPr>
            <w:tcW w:type="dxa" w:w="44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Rolle</w:t>
            </w:r>
          </w:p>
        </w:tc>
      </w:tr>
      <w:tr>
        <w:trPr>
          <w:tblHeader w:val="false"/>
        </w:trPr>
        <w:tc>
          <w:tcPr>
            <w:tcW w:type="dxa" w:w="1100"/>
            <w:tcBorders>
              <w:top w:val="single" w:color="D9DCE8" w:sz="4"/>
              <w:left w:val="single" w:color="D9DCE8" w:sz="4"/>
              <w:bottom w:val="single" w:color="D9DCE8" w:sz="4"/>
              <w:right w:val="single" w:color="D9DCE8" w:sz="4"/>
            </w:tcBorders>
            <w:shd w:fill="1B2246" w:color="auto" w:val="clear"/>
            <w:tcMar>
              <w:top w:type="dxa" w:w="80"/>
              <w:left w:type="dxa" w:w="120"/>
              <w:bottom w:type="dxa" w:w="80"/>
              <w:right w:type="dxa" w:w="120"/>
            </w:tcMar>
          </w:tcPr>
          <w:p>
            <w:r>
              <w:rPr>
                <w:b w:val="false"/>
                <w:bCs w:val="false"/>
                <w:sz w:val="19"/>
                <w:szCs w:val="19"/>
              </w:rPr>
              <w:t xml:space="preserve"/>
            </w:r>
          </w:p>
        </w:tc>
        <w:tc>
          <w:tcPr>
            <w:tcW w:type="dxa" w:w="21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Navy</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#1B2246</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Fließtext, dunkler Hintergrund im Web</w:t>
            </w:r>
          </w:p>
        </w:tc>
      </w:tr>
      <w:tr>
        <w:trPr>
          <w:tblHeader w:val="false"/>
        </w:trPr>
        <w:tc>
          <w:tcPr>
            <w:tcW w:type="dxa" w:w="1100"/>
            <w:tcBorders>
              <w:top w:val="single" w:color="D9DCE8" w:sz="4"/>
              <w:left w:val="single" w:color="D9DCE8" w:sz="4"/>
              <w:bottom w:val="single" w:color="D9DCE8" w:sz="4"/>
              <w:right w:val="single" w:color="D9DCE8" w:sz="4"/>
            </w:tcBorders>
            <w:shd w:fill="5A6285" w:color="auto" w:val="clear"/>
            <w:tcMar>
              <w:top w:type="dxa" w:w="80"/>
              <w:left w:type="dxa" w:w="120"/>
              <w:bottom w:type="dxa" w:w="80"/>
              <w:right w:type="dxa" w:w="120"/>
            </w:tcMar>
          </w:tcPr>
          <w:p>
            <w:r>
              <w:rPr>
                <w:b w:val="false"/>
                <w:bCs w:val="false"/>
                <w:sz w:val="19"/>
                <w:szCs w:val="19"/>
              </w:rPr>
              <w:t xml:space="preserve"/>
            </w:r>
          </w:p>
        </w:tc>
        <w:tc>
          <w:tcPr>
            <w:tcW w:type="dxa" w:w="21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Grau-Blau</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#5A6285</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Sekundärtext, Quellen, vierte Diagrammfarbe</w:t>
            </w:r>
          </w:p>
        </w:tc>
      </w:tr>
      <w:tr>
        <w:trPr>
          <w:tblHeader w:val="false"/>
        </w:trPr>
        <w:tc>
          <w:tcPr>
            <w:tcW w:type="dxa" w:w="1100"/>
            <w:tcBorders>
              <w:top w:val="single" w:color="D9DCE8" w:sz="4"/>
              <w:left w:val="single" w:color="D9DCE8" w:sz="4"/>
              <w:bottom w:val="single" w:color="D9DCE8" w:sz="4"/>
              <w:right w:val="single" w:color="D9DCE8" w:sz="4"/>
            </w:tcBorders>
            <w:shd w:fill="B9C0DC" w:color="auto" w:val="clear"/>
            <w:tcMar>
              <w:top w:type="dxa" w:w="80"/>
              <w:left w:type="dxa" w:w="120"/>
              <w:bottom w:type="dxa" w:w="80"/>
              <w:right w:type="dxa" w:w="120"/>
            </w:tcMar>
          </w:tcPr>
          <w:p>
            <w:r>
              <w:rPr>
                <w:b w:val="false"/>
                <w:bCs w:val="false"/>
                <w:sz w:val="19"/>
                <w:szCs w:val="19"/>
              </w:rPr>
              <w:t xml:space="preserve"/>
            </w:r>
          </w:p>
        </w:tc>
        <w:tc>
          <w:tcPr>
            <w:tcW w:type="dxa" w:w="21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Hellgrau-Blau</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#B9C0DC</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Sekundärtext auf Blau, fünfte Diagrammfarbe</w:t>
            </w:r>
          </w:p>
        </w:tc>
      </w:tr>
      <w:tr>
        <w:trPr>
          <w:tblHeader w:val="false"/>
        </w:trPr>
        <w:tc>
          <w:tcPr>
            <w:tcW w:type="dxa" w:w="1100"/>
            <w:tcBorders>
              <w:top w:val="single" w:color="D9DCE8" w:sz="4"/>
              <w:left w:val="single" w:color="D9DCE8" w:sz="4"/>
              <w:bottom w:val="single" w:color="D9DCE8" w:sz="4"/>
              <w:right w:val="single" w:color="D9DCE8" w:sz="4"/>
            </w:tcBorders>
            <w:shd w:fill="F3F4F8" w:color="auto" w:val="clear"/>
            <w:tcMar>
              <w:top w:type="dxa" w:w="80"/>
              <w:left w:type="dxa" w:w="120"/>
              <w:bottom w:type="dxa" w:w="80"/>
              <w:right w:type="dxa" w:w="120"/>
            </w:tcMar>
          </w:tcPr>
          <w:p>
            <w:r>
              <w:rPr>
                <w:b w:val="false"/>
                <w:bCs w:val="false"/>
                <w:sz w:val="19"/>
                <w:szCs w:val="19"/>
              </w:rPr>
              <w:t xml:space="preserve"/>
            </w:r>
          </w:p>
        </w:tc>
        <w:tc>
          <w:tcPr>
            <w:tcW w:type="dxa" w:w="21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Hellgrau</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#F3F4F8</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Abgesetzte Flächen</w:t>
            </w:r>
          </w:p>
        </w:tc>
      </w:tr>
      <w:tr>
        <w:trPr>
          <w:tblHeader w:val="false"/>
        </w:trPr>
        <w:tc>
          <w:tcPr>
            <w:tcW w:type="dxa" w:w="1100"/>
            <w:tcBorders>
              <w:top w:val="single" w:color="D9DCE8" w:sz="4"/>
              <w:left w:val="single" w:color="D9DCE8" w:sz="4"/>
              <w:bottom w:val="single" w:color="D9DCE8" w:sz="4"/>
              <w:right w:val="single" w:color="D9DCE8" w:sz="4"/>
            </w:tcBorders>
            <w:shd w:fill="D9DCE8" w:color="auto" w:val="clear"/>
            <w:tcMar>
              <w:top w:type="dxa" w:w="80"/>
              <w:left w:type="dxa" w:w="120"/>
              <w:bottom w:type="dxa" w:w="80"/>
              <w:right w:type="dxa" w:w="120"/>
            </w:tcMar>
          </w:tcPr>
          <w:p>
            <w:r>
              <w:rPr>
                <w:b w:val="false"/>
                <w:bCs w:val="false"/>
                <w:sz w:val="19"/>
                <w:szCs w:val="19"/>
              </w:rPr>
              <w:t xml:space="preserve"/>
            </w:r>
          </w:p>
        </w:tc>
        <w:tc>
          <w:tcPr>
            <w:tcW w:type="dxa" w:w="21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Linie</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#D9DCE8</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Haarlinien, Trennlinien</w:t>
            </w:r>
          </w:p>
        </w:tc>
      </w:tr>
      <w:tr>
        <w:trPr>
          <w:tblHeader w:val="false"/>
        </w:trPr>
        <w:tc>
          <w:tcPr>
            <w:tcW w:type="dxa" w:w="1100"/>
            <w:tcBorders>
              <w:top w:val="single" w:color="D9DCE8" w:sz="4"/>
              <w:left w:val="single" w:color="D9DCE8" w:sz="4"/>
              <w:bottom w:val="single" w:color="D9DCE8" w:sz="4"/>
              <w:right w:val="single" w:color="D9DCE8" w:sz="4"/>
            </w:tcBorders>
            <w:shd w:fill="1F7A55" w:color="auto" w:val="clear"/>
            <w:tcMar>
              <w:top w:type="dxa" w:w="80"/>
              <w:left w:type="dxa" w:w="120"/>
              <w:bottom w:type="dxa" w:w="80"/>
              <w:right w:type="dxa" w:w="120"/>
            </w:tcMar>
          </w:tcPr>
          <w:p>
            <w:r>
              <w:rPr>
                <w:b w:val="false"/>
                <w:bCs w:val="false"/>
                <w:sz w:val="19"/>
                <w:szCs w:val="19"/>
              </w:rPr>
              <w:t xml:space="preserve"/>
            </w:r>
          </w:p>
        </w:tc>
        <w:tc>
          <w:tcPr>
            <w:tcW w:type="dxa" w:w="21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Erfolg</w:t>
            </w:r>
          </w:p>
        </w:tc>
        <w:tc>
          <w:tcPr>
            <w:tcW w:type="dxa" w:w="1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#1F7A55</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Bestätigungen im Web, immer mit Text und Icon</w:t>
            </w:r>
          </w:p>
        </w:tc>
      </w:tr>
    </w:tbl>
    <w:p>
      <w:pPr>
        <w:pStyle w:val="Heading2"/>
      </w:pPr>
      <w:r>
        <w:t xml:space="preserve">Gewichtung und Regeln</w:t>
      </w:r>
    </w:p>
    <w:p>
      <w:pPr>
        <w:pStyle w:val="ListParagraph"/>
        <w:numPr>
          <w:ilvl w:val="0"/>
          <w:numId w:val="2"/>
        </w:numPr>
        <w:spacing w:after="60"/>
      </w:pPr>
      <w:r>
        <w:t xml:space="preserve">Pro Seite oder Folie etwa 60 % Weiß, 30 % Blau, 10 % Türkis und Rot zusammen. Rot und Türkis sind Gewürz, keine Flächenfarben.</w:t>
      </w:r>
    </w:p>
    <w:p>
      <w:pPr>
        <w:pStyle w:val="ListParagraph"/>
        <w:numPr>
          <w:ilvl w:val="0"/>
          <w:numId w:val="2"/>
        </w:numPr>
        <w:spacing w:after="60"/>
      </w:pPr>
      <w:r>
        <w:t xml:space="preserve">Fließtext in Navy, Headlines in Markenblau, Sekundärtext in Grau-Blau.</w:t>
      </w:r>
    </w:p>
    <w:p>
      <w:pPr>
        <w:pStyle w:val="ListParagraph"/>
        <w:numPr>
          <w:ilvl w:val="0"/>
          <w:numId w:val="2"/>
        </w:numPr>
        <w:spacing w:after="60"/>
      </w:pPr>
      <w:r>
        <w:t xml:space="preserve">Rot bedeutet Handlung: die eine Hauptaktion pro Ansicht, Startnummern, dritter Streifen. Nie für Fließtext-Hervorhebungen.</w:t>
      </w:r>
    </w:p>
    <w:p>
      <w:pPr>
        <w:pStyle w:val="ListParagraph"/>
        <w:numPr>
          <w:ilvl w:val="0"/>
          <w:numId w:val="2"/>
        </w:numPr>
        <w:spacing w:after="60"/>
      </w:pPr>
      <w:r>
        <w:t xml:space="preserve">Nie Rot auf Blau oder Blau auf Rot als Text (Kontrast 2,0:1). Türkis auf Weiß nur als Fläche oder Linie mit Beschriftung daneben (1,9:1).</w:t>
      </w:r>
    </w:p>
    <w:p>
      <w:pPr>
        <w:pStyle w:val="ListParagraph"/>
        <w:numPr>
          <w:ilvl w:val="0"/>
          <w:numId w:val="2"/>
        </w:numPr>
        <w:spacing w:after="60"/>
      </w:pPr>
      <w:r>
        <w:t xml:space="preserve">Keine Farbverläufe. Flächen sind vollflächig wie Lack.</w:t>
      </w:r>
    </w:p>
    <w:p>
      <w:pPr>
        <w:pStyle w:val="Heading2"/>
      </w:pPr>
      <w:r>
        <w:t xml:space="preserve">Kontraste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rPr>
          <w:tblHeader/>
        </w:trPr>
        <w:tc>
          <w:tcPr>
            <w:tcW w:type="dxa" w:w="45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Farbpaar</w:t>
            </w:r>
          </w:p>
        </w:tc>
        <w:tc>
          <w:tcPr>
            <w:tcW w:type="dxa" w:w="20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Kontrast</w:t>
            </w:r>
          </w:p>
        </w:tc>
        <w:tc>
          <w:tcPr>
            <w:tcW w:type="dxa" w:w="25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Bewertung</w:t>
            </w:r>
          </w:p>
        </w:tc>
      </w:tr>
      <w:tr>
        <w:trPr>
          <w:tblHeader w:val="false"/>
        </w:trPr>
        <w:tc>
          <w:tcPr>
            <w:tcW w:type="dxa" w:w="4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Weiß auf Markenblau</w:t>
            </w:r>
          </w:p>
        </w:tc>
        <w:tc>
          <w:tcPr>
            <w:tcW w:type="dxa" w:w="2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10,2 : 1</w:t>
            </w:r>
          </w:p>
        </w:tc>
        <w:tc>
          <w:tcPr>
            <w:tcW w:type="dxa" w:w="25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sehr gut</w:t>
            </w:r>
          </w:p>
        </w:tc>
      </w:tr>
      <w:tr>
        <w:trPr>
          <w:tblHeader w:val="false"/>
        </w:trPr>
        <w:tc>
          <w:tcPr>
            <w:tcW w:type="dxa" w:w="4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Navy auf Weiß</w:t>
            </w:r>
          </w:p>
        </w:tc>
        <w:tc>
          <w:tcPr>
            <w:tcW w:type="dxa" w:w="2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15,4 : 1</w:t>
            </w:r>
          </w:p>
        </w:tc>
        <w:tc>
          <w:tcPr>
            <w:tcW w:type="dxa" w:w="25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sehr gut</w:t>
            </w:r>
          </w:p>
        </w:tc>
      </w:tr>
      <w:tr>
        <w:trPr>
          <w:tblHeader w:val="false"/>
        </w:trPr>
        <w:tc>
          <w:tcPr>
            <w:tcW w:type="dxa" w:w="4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Weiß auf Rot</w:t>
            </w:r>
          </w:p>
        </w:tc>
        <w:tc>
          <w:tcPr>
            <w:tcW w:type="dxa" w:w="2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5,1 : 1</w:t>
            </w:r>
          </w:p>
        </w:tc>
        <w:tc>
          <w:tcPr>
            <w:tcW w:type="dxa" w:w="25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gut</w:t>
            </w:r>
          </w:p>
        </w:tc>
      </w:tr>
      <w:tr>
        <w:trPr>
          <w:tblHeader w:val="false"/>
        </w:trPr>
        <w:tc>
          <w:tcPr>
            <w:tcW w:type="dxa" w:w="4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Türkis auf Markenblau</w:t>
            </w:r>
          </w:p>
        </w:tc>
        <w:tc>
          <w:tcPr>
            <w:tcW w:type="dxa" w:w="2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5,3 : 1</w:t>
            </w:r>
          </w:p>
        </w:tc>
        <w:tc>
          <w:tcPr>
            <w:tcW w:type="dxa" w:w="25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gut</w:t>
            </w:r>
          </w:p>
        </w:tc>
      </w:tr>
      <w:tr>
        <w:trPr>
          <w:tblHeader w:val="false"/>
        </w:trPr>
        <w:tc>
          <w:tcPr>
            <w:tcW w:type="dxa" w:w="4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Rot auf Weiß</w:t>
            </w:r>
          </w:p>
        </w:tc>
        <w:tc>
          <w:tcPr>
            <w:tcW w:type="dxa" w:w="2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5,1 : 1</w:t>
            </w:r>
          </w:p>
        </w:tc>
        <w:tc>
          <w:tcPr>
            <w:tcW w:type="dxa" w:w="25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gut</w:t>
            </w:r>
          </w:p>
        </w:tc>
      </w:tr>
      <w:tr>
        <w:trPr>
          <w:tblHeader w:val="false"/>
        </w:trPr>
        <w:tc>
          <w:tcPr>
            <w:tcW w:type="dxa" w:w="4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Türkis auf Weiß</w:t>
            </w:r>
          </w:p>
        </w:tc>
        <w:tc>
          <w:tcPr>
            <w:tcW w:type="dxa" w:w="2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1,9 : 1</w:t>
            </w:r>
          </w:p>
        </w:tc>
        <w:tc>
          <w:tcPr>
            <w:tcW w:type="dxa" w:w="25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nicht als Text</w:t>
            </w:r>
          </w:p>
        </w:tc>
      </w:tr>
      <w:tr>
        <w:trPr>
          <w:tblHeader w:val="false"/>
        </w:trPr>
        <w:tc>
          <w:tcPr>
            <w:tcW w:type="dxa" w:w="45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Rot auf Markenblau</w:t>
            </w:r>
          </w:p>
        </w:tc>
        <w:tc>
          <w:tcPr>
            <w:tcW w:type="dxa" w:w="2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2,0 : 1</w:t>
            </w:r>
          </w:p>
        </w:tc>
        <w:tc>
          <w:tcPr>
            <w:tcW w:type="dxa" w:w="25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nicht als Text</w:t>
            </w:r>
          </w:p>
        </w:tc>
      </w:tr>
    </w:tbl>
    <w:p>
      <w:pPr>
        <w:pStyle w:val="Heading1"/>
      </w:pPr>
      <w:r>
        <w:t xml:space="preserve">Typografie</w:t>
      </w:r>
    </w:p>
    <w:p>
      <w:pPr>
        <w:pStyle w:val="Heading2"/>
      </w:pPr>
      <w:r>
        <w:t xml:space="preserve">Hausschrift Aptos</w:t>
      </w:r>
    </w:p>
    <w:p>
      <w:pPr>
        <w:spacing w:after="120"/>
      </w:pPr>
      <w:r>
        <w:t xml:space="preserve">Die Hausschrift ist Aptos. Sie ist in Microsoft 365 auf jedem Rechner vorhanden – Präsentationen sehen beim Kunden genauso aus wie bei 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Schnitt</w:t>
            </w:r>
          </w:p>
        </w:tc>
        <w:tc>
          <w:tcPr>
            <w:tcW w:type="dxa" w:w="28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Einsatz</w:t>
            </w:r>
          </w:p>
        </w:tc>
        <w:tc>
          <w:tcPr>
            <w:tcW w:type="dxa" w:w="36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Charakter</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Display Bold</w:t>
            </w:r>
          </w:p>
        </w:tc>
        <w:tc>
          <w:tcPr>
            <w:tcW w:type="dxa" w:w="2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Headlines, Folientitel</w:t>
            </w:r>
          </w:p>
        </w:tc>
        <w:tc>
          <w:tcPr>
            <w:tcW w:type="dxa" w:w="36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kräftig, eng gesetzt</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w:t>
            </w:r>
          </w:p>
        </w:tc>
        <w:tc>
          <w:tcPr>
            <w:tcW w:type="dxa" w:w="2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Fließtext, Aufzählungen</w:t>
            </w:r>
          </w:p>
        </w:tc>
        <w:tc>
          <w:tcPr>
            <w:tcW w:type="dxa" w:w="36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ruhig, gut lesbar</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Narrow Bold Italic</w:t>
            </w:r>
          </w:p>
        </w:tc>
        <w:tc>
          <w:tcPr>
            <w:tcW w:type="dxa" w:w="2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Dachzeilen, Startnummern, Kennzahlen, Buttons</w:t>
            </w:r>
          </w:p>
        </w:tc>
        <w:tc>
          <w:tcPr>
            <w:tcW w:type="dxa" w:w="36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die Rennsport-Stimme: schmal, kursiv, schnell</w:t>
            </w:r>
          </w:p>
        </w:tc>
      </w:tr>
    </w:tbl>
    <w:p>
      <w:pPr>
        <w:pStyle w:val="Heading2"/>
      </w:pPr>
      <w:r>
        <w:t xml:space="preserve">Regeln</w:t>
      </w:r>
    </w:p>
    <w:p>
      <w:pPr>
        <w:pStyle w:val="ListParagraph"/>
        <w:numPr>
          <w:ilvl w:val="0"/>
          <w:numId w:val="2"/>
        </w:numPr>
        <w:spacing w:after="60"/>
      </w:pPr>
      <w:r>
        <w:t xml:space="preserve">Dachzeilen immer in Versalien, gesperrt, kursiv – kursiv steht für Vorwärtsbewegung.</w:t>
      </w:r>
    </w:p>
    <w:p>
      <w:pPr>
        <w:pStyle w:val="ListParagraph"/>
        <w:numPr>
          <w:ilvl w:val="0"/>
          <w:numId w:val="2"/>
        </w:numPr>
        <w:spacing w:after="60"/>
      </w:pPr>
      <w:r>
        <w:t xml:space="preserve">Maximal drei Schriftgrade pro Ansicht. Headlines linksbündig, nie zentriert über mehr als zwei Zeilen.</w:t>
      </w:r>
    </w:p>
    <w:p>
      <w:pPr>
        <w:pStyle w:val="ListParagraph"/>
        <w:numPr>
          <w:ilvl w:val="0"/>
          <w:numId w:val="2"/>
        </w:numPr>
        <w:spacing w:after="60"/>
      </w:pPr>
      <w:r>
        <w:t xml:space="preserve">Fließtext nie unter 15 px im Web und 16 pt auf Folien.</w:t>
      </w:r>
    </w:p>
    <w:p>
      <w:pPr>
        <w:pStyle w:val="ListParagraph"/>
        <w:numPr>
          <w:ilvl w:val="0"/>
          <w:numId w:val="2"/>
        </w:numPr>
        <w:spacing w:after="60"/>
      </w:pPr>
      <w:r>
        <w:t xml:space="preserve">Website: Aptos ist nicht auf jedem Rechner installiert (z. B. Mac ohne Office). Die Website fällt dann auf Segoe UI, Helvetica Neue oder Arial zurück; Layouts müssen damit funktionieren.</w:t>
      </w:r>
    </w:p>
    <w:p>
      <w:pPr>
        <w:pStyle w:val="Heading2"/>
      </w:pPr>
      <w:r>
        <w:t xml:space="preserve">Schriftgrößen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826"/>
      </w:tblGrid>
      <w:tr>
        <w:trPr>
          <w:tblHeader/>
        </w:trPr>
        <w:tc>
          <w:tcPr>
            <w:tcW w:type="dxa" w:w="26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Stil</w:t>
            </w:r>
          </w:p>
        </w:tc>
        <w:tc>
          <w:tcPr>
            <w:tcW w:type="dxa" w:w="18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Größe</w:t>
            </w:r>
          </w:p>
        </w:tc>
        <w:tc>
          <w:tcPr>
            <w:tcW w:type="dxa" w:w="18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Zeilenabstand</w:t>
            </w:r>
          </w:p>
        </w:tc>
        <w:tc>
          <w:tcPr>
            <w:tcW w:type="dxa" w:w="28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Einsatz</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display-xl</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72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0,95</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Hero-Headline, eine pro Seite</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h1</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48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1,05</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Seitentitel</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h2</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34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1,1</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Sektionstitel</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h3</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24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1,2</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Kartentitel</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lead</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21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1,5</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Einleitungsabsatz</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body</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17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1,6</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Fließtext</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small</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15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1,5</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Kartentext, Hilfen</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caption</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13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1,4</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Quellen, Bildunterschriften</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eyebrow</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15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1,2</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Dachzeile, Versalien</w:t>
            </w:r>
          </w:p>
        </w:tc>
      </w:tr>
      <w:tr>
        <w:trPr>
          <w:tblHeader w:val="false"/>
        </w:trPr>
        <w:tc>
          <w:tcPr>
            <w:tcW w:type="dxa" w:w="2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race-number</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88 px</w:t>
            </w:r>
          </w:p>
        </w:tc>
        <w:tc>
          <w:tcPr>
            <w:tcW w:type="dxa" w:w="18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0,9</w:t>
            </w:r>
          </w:p>
        </w:tc>
        <w:tc>
          <w:tcPr>
            <w:tcW w:type="dxa" w:w="28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Startnummer, Kennzahl</w:t>
            </w:r>
          </w:p>
        </w:tc>
      </w:tr>
    </w:tbl>
    <w:p>
      <w:pPr>
        <w:pStyle w:val="Heading1"/>
      </w:pPr>
      <w:r>
        <w:t xml:space="preserve">Grafische Elemente</w:t>
      </w:r>
    </w:p>
    <w:p>
      <w:pPr>
        <w:spacing w:after="160" w:before="120"/>
      </w:pPr>
      <w:r>
        <w:drawing>
          <wp:inline distT="0" distB="0" distL="0" distR="0">
            <wp:extent cx="3619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285875"/>
                    </a:xfrm>
                    <a:prstGeom prst="rect">
                      <a:avLst/>
                    </a:prstGeom>
                  </pic:spPr>
                </pic:pic>
              </a:graphicData>
            </a:graphic>
          </wp:inline>
        </w:drawing>
      </w:r>
    </w:p>
    <w:p>
      <w:pPr>
        <w:pStyle w:val="Heading2"/>
      </w:pPr>
      <w:r>
        <w:t xml:space="preserve">Das Streifenmotiv</w:t>
      </w:r>
    </w:p>
    <w:p>
      <w:pPr>
        <w:spacing w:after="120"/>
      </w:pPr>
      <w:r>
        <w:t xml:space="preserve">Das Streifenmotiv ist nach dem Logo das zweite Erkennungszeichen. Es stammt direkt aus dem Logo: drei Streifen steigen im Winkel von 59° an und laufen waagerecht aus.</w:t>
      </w:r>
    </w:p>
    <w:p>
      <w:pPr>
        <w:pStyle w:val="ListParagraph"/>
        <w:numPr>
          <w:ilvl w:val="0"/>
          <w:numId w:val="2"/>
        </w:numPr>
        <w:spacing w:after="60"/>
      </w:pPr>
      <w:r>
        <w:t xml:space="preserve">Reihenfolge fest von oben nach unten: Blau (auf dunklem Grund Weiß), Türkis, Rot. Nie umsortieren, nie weitere Farben.</w:t>
      </w:r>
    </w:p>
    <w:p>
      <w:pPr>
        <w:pStyle w:val="ListParagraph"/>
        <w:numPr>
          <w:ilvl w:val="0"/>
          <w:numId w:val="2"/>
        </w:numPr>
        <w:spacing w:after="60"/>
      </w:pPr>
      <w:r>
        <w:t xml:space="preserve">Die Diagonalen sind gut dreimal so kräftig wie die waagerechten Balken; der Abstand zwischen den Balken ist die halbe Balkenstärke.</w:t>
      </w:r>
    </w:p>
    <w:p>
      <w:pPr>
        <w:pStyle w:val="ListParagraph"/>
        <w:numPr>
          <w:ilvl w:val="0"/>
          <w:numId w:val="2"/>
        </w:numPr>
        <w:spacing w:after="60"/>
      </w:pPr>
      <w:r>
        <w:t xml:space="preserve">Alle Schrägen im System – Buttons, Bildanschnitte – folgen demselben Winkel. Keine anderen Winkel.</w:t>
      </w:r>
    </w:p>
    <w:p>
      <w:pPr>
        <w:pStyle w:val="Heading2"/>
      </w:pPr>
      <w:r>
        <w:t xml:space="preserve">Streifen-Kick</w:t>
      </w:r>
    </w:p>
    <w:p>
      <w:pPr>
        <w:spacing w:after="120"/>
      </w:pPr>
      <w:r>
        <w:t xml:space="preserve">Das große Motiv läuft immer aus einer Fläche heraus, angeschnitten rechts unten, und erscheint höchstens einmal pro Ansicht. Einsatz: Titelfolie, Kapiteltrenner, Kennzahl, Zitat, Abschluss, Hero der Website.</w:t>
      </w:r>
    </w:p>
    <w:p>
      <w:pPr>
        <w:pStyle w:val="Heading2"/>
      </w:pPr>
      <w:r>
        <w:t xml:space="preserve">Kopf-Winkel</w:t>
      </w:r>
    </w:p>
    <w:p>
      <w:pPr>
        <w:spacing w:after="120"/>
      </w:pPr>
      <w:r>
        <w:t xml:space="preserve">Auf Inhaltsfolien sitzt der Winkel klein in der oberen linken Ecke: Die Streifen steigen kurz diagonal an und laufen als dünne Linien über die ganze Folienbreite. Der Titel steht rechts daneben unter den Linien – so wie der Schriftzug im Logo unter den Streifen sitzt.</w:t>
      </w:r>
    </w:p>
    <w:p>
      <w:pPr>
        <w:pStyle w:val="Heading2"/>
      </w:pPr>
      <w:r>
        <w:t xml:space="preserve">Streifenband</w:t>
      </w:r>
    </w:p>
    <w:p>
      <w:pPr>
        <w:spacing w:after="120"/>
      </w:pPr>
      <w:r>
        <w:t xml:space="preserve">Drei waagerechte Balken als Trenner und Akzent, etwa über Zitaten und Kennzahlen auf der Website. Nie senkrecht, nie als Rahmen um Karten.</w:t>
      </w:r>
    </w:p>
    <w:p>
      <w:pPr>
        <w:pStyle w:val="Heading2"/>
      </w:pPr>
      <w:r>
        <w:t xml:space="preserve">Startnummer</w:t>
      </w:r>
    </w:p>
    <w:p>
      <w:pPr>
        <w:spacing w:after="120"/>
      </w:pPr>
      <w:r>
        <w:t xml:space="preserve">Ein kreisrundes Nummernschild wie auf klassischen Rallye- und Tourenwagen. Für Modulnummern, Kapitelnummern, Agenda-Punkte und Schrittfolgen. Immer zweistellig („01“ statt „1“), nur Ziffern, maximal drei Zeichen. Blau als Standard, Weiß mit blauer Ziffer auf Blau, Rot nur für das hervorgehobene Element.</w:t>
      </w:r>
    </w:p>
    <w:p>
      <w:pPr>
        <w:pStyle w:val="Heading2"/>
      </w:pPr>
      <w:r>
        <w:t xml:space="preserve">Tabu</w:t>
      </w:r>
    </w:p>
    <w:p>
      <w:pPr>
        <w:pStyle w:val="ListParagraph"/>
        <w:numPr>
          <w:ilvl w:val="0"/>
          <w:numId w:val="2"/>
        </w:numPr>
        <w:spacing w:after="60"/>
      </w:pPr>
      <w:r>
        <w:t xml:space="preserve">Karomuster und Zielflaggen, Reifenspuren, Tachos, Rennwagen-Clipart, Flammen.</w:t>
      </w:r>
    </w:p>
    <w:p>
      <w:pPr>
        <w:pStyle w:val="ListParagraph"/>
        <w:numPr>
          <w:ilvl w:val="0"/>
          <w:numId w:val="2"/>
        </w:numPr>
        <w:spacing w:after="60"/>
      </w:pPr>
      <w:r>
        <w:t xml:space="preserve">Streifen hinter Text, mehr als ein großer Kick pro Ansicht.</w:t>
      </w:r>
    </w:p>
    <w:p>
      <w:pPr>
        <w:pStyle w:val="Heading1"/>
      </w:pPr>
      <w:r>
        <w:t xml:space="preserve">Layout, Bildsprache und Icons</w:t>
      </w:r>
    </w:p>
    <w:p>
      <w:pPr>
        <w:pStyle w:val="Heading2"/>
      </w:pPr>
      <w:r>
        <w:t xml:space="preserve">Layout Website</w:t>
      </w:r>
    </w:p>
    <w:p>
      <w:pPr>
        <w:pStyle w:val="ListParagraph"/>
        <w:numPr>
          <w:ilvl w:val="0"/>
          <w:numId w:val="2"/>
        </w:numPr>
        <w:spacing w:after="60"/>
      </w:pPr>
      <w:r>
        <w:t xml:space="preserve">12-Spalten-Raster, maximale Inhaltsbreite 1200 px, Fließtext maximal 720 px breit.</w:t>
      </w:r>
    </w:p>
    <w:p>
      <w:pPr>
        <w:pStyle w:val="ListParagraph"/>
        <w:numPr>
          <w:ilvl w:val="0"/>
          <w:numId w:val="2"/>
        </w:numPr>
        <w:spacing w:after="60"/>
      </w:pPr>
      <w:r>
        <w:t xml:space="preserve">Abstände nur aus der Skala 4, 8, 12, 16, 24, 32, 48, 64, 96, 128 px. Sektionsabstand 96 px (Desktop) bzw. 64 px (mobil).</w:t>
      </w:r>
    </w:p>
    <w:p>
      <w:pPr>
        <w:pStyle w:val="ListParagraph"/>
        <w:numPr>
          <w:ilvl w:val="0"/>
          <w:numId w:val="2"/>
        </w:numPr>
        <w:spacing w:after="60"/>
      </w:pPr>
      <w:r>
        <w:t xml:space="preserve">Radien sparsam: 3 px für Bedienelemente, 6 px für Karten, keine für große Flächen. Keine Pillen-Buttons.</w:t>
      </w:r>
    </w:p>
    <w:p>
      <w:pPr>
        <w:pStyle w:val="ListParagraph"/>
        <w:numPr>
          <w:ilvl w:val="0"/>
          <w:numId w:val="2"/>
        </w:numPr>
        <w:spacing w:after="60"/>
      </w:pPr>
      <w:r>
        <w:t xml:space="preserve">Keine weichen Schatten. Ein harter Versatz-Schatten für genau ein hervorgehobenes Element – Plakat, nicht Glas.</w:t>
      </w:r>
    </w:p>
    <w:p>
      <w:pPr>
        <w:pStyle w:val="ListParagraph"/>
        <w:numPr>
          <w:ilvl w:val="0"/>
          <w:numId w:val="2"/>
        </w:numPr>
        <w:spacing w:after="60"/>
      </w:pPr>
      <w:r>
        <w:t xml:space="preserve">Rhythmus: weiße Sektionen im Wechsel mit einem blauen Markenband, höchstens ein blaues Band pro Bildschirmhöhe.</w:t>
      </w:r>
    </w:p>
    <w:p>
      <w:pPr>
        <w:pStyle w:val="Heading2"/>
      </w:pPr>
      <w:r>
        <w:t xml:space="preserve">Bildsprache</w:t>
      </w:r>
    </w:p>
    <w:p>
      <w:pPr>
        <w:pStyle w:val="ListParagraph"/>
        <w:numPr>
          <w:ilvl w:val="0"/>
          <w:numId w:val="2"/>
        </w:numPr>
        <w:spacing w:after="60"/>
      </w:pPr>
      <w:r>
        <w:t xml:space="preserve">Echte Trainingssituationen: Menschen an Laptops, am Whiteboard, im Gespräch – in Büros, die nach Arbeit aussehen. Natürliches Licht.</w:t>
      </w:r>
    </w:p>
    <w:p>
      <w:pPr>
        <w:pStyle w:val="ListParagraph"/>
        <w:numPr>
          <w:ilvl w:val="0"/>
          <w:numId w:val="2"/>
        </w:numPr>
        <w:spacing w:after="60"/>
      </w:pPr>
      <w:r>
        <w:t xml:space="preserve">Screenshots aus Microsoft 365 und Copilot sind Beweisbilder: unverändert, mit Fiktivdaten, schlicht gerahmt.</w:t>
      </w:r>
    </w:p>
    <w:p>
      <w:pPr>
        <w:pStyle w:val="ListParagraph"/>
        <w:numPr>
          <w:ilvl w:val="0"/>
          <w:numId w:val="2"/>
        </w:numPr>
        <w:spacing w:after="60"/>
      </w:pPr>
      <w:r>
        <w:t xml:space="preserve">Rennsport-Stimmung entsteht durch Grafik (Streifen, Startnummern), nicht durch Autofotos.</w:t>
      </w:r>
    </w:p>
    <w:p>
      <w:pPr>
        <w:pStyle w:val="ListParagraph"/>
        <w:numPr>
          <w:ilvl w:val="0"/>
          <w:numId w:val="2"/>
        </w:numPr>
        <w:spacing w:after="60"/>
      </w:pPr>
      <w:r>
        <w:t xml:space="preserve">Nicht: Roboter, leuchtende Gehirne, Hologramme, blau-violette KI-Verläufe, generische Stockfotos, inszenierte Handschläge.</w:t>
      </w:r>
    </w:p>
    <w:p>
      <w:pPr>
        <w:pStyle w:val="Heading2"/>
      </w:pPr>
      <w:r>
        <w:t xml:space="preserve">Icons</w:t>
      </w:r>
    </w:p>
    <w:p>
      <w:pPr>
        <w:spacing w:after="120"/>
      </w:pPr>
      <w:r>
        <w:t xml:space="preserve">Empfehlung: Fluent UI System Icons von Microsoft (Stil „Regular“), passend zur Microsoft-365-Welt; in PowerPoint die eingebauten Office-Symbole. Icons einfarbig in Markenblau oder Weiß auf Blau, nie farbig gefüllt, nie Emojis.</w:t>
      </w:r>
    </w:p>
    <w:p>
      <w:pPr>
        <w:pStyle w:val="Heading2"/>
      </w:pPr>
      <w:r>
        <w:t xml:space="preserve">Bewegung</w:t>
      </w:r>
    </w:p>
    <w:p>
      <w:pPr>
        <w:spacing w:after="120"/>
      </w:pPr>
      <w:r>
        <w:t xml:space="preserve">Knapp und gerichtet: 150–200 ms, Bewegung nach rechts oder oben. Keine Endlosanimationen. In PowerPoint nur „Erscheinen“ und „Verblassen“.</w:t>
      </w:r>
    </w:p>
    <w:p>
      <w:pPr>
        <w:pStyle w:val="Heading1"/>
      </w:pPr>
      <w:r>
        <w:t xml:space="preserve">Tonalität und Text</w:t>
      </w:r>
    </w:p>
    <w:p>
      <w:pPr>
        <w:pStyle w:val="Heading2"/>
      </w:pPr>
      <w:r>
        <w:t xml:space="preserve">Grundregeln</w:t>
      </w:r>
    </w:p>
    <w:p>
      <w:pPr>
        <w:spacing w:after="120"/>
      </w:pPr>
      <w:r>
        <w:t xml:space="preserve">Wir schreiben wie ein guter Beifahrer ansagt: kurz, konkret, in der richtigen Reihenfolge. Der Leser ist Entscheider, hat wenig Zeit und will wissen, was sich für sein Team ändert.</w:t>
      </w:r>
    </w:p>
    <w:p>
      <w:pPr>
        <w:pStyle w:val="ListParagraph"/>
        <w:numPr>
          <w:ilvl w:val="0"/>
          <w:numId w:val="2"/>
        </w:numPr>
        <w:spacing w:after="60"/>
      </w:pPr>
      <w:r>
        <w:rPr>
          <w:b/>
          <w:bCs/>
        </w:rPr>
        <w:t xml:space="preserve">Sie-Form </w:t>
      </w:r>
      <w:r>
        <w:t xml:space="preserve">auf Website, Folien und in Kundenunterlagen.</w:t>
      </w:r>
    </w:p>
    <w:p>
      <w:pPr>
        <w:pStyle w:val="ListParagraph"/>
        <w:numPr>
          <w:ilvl w:val="0"/>
          <w:numId w:val="2"/>
        </w:numPr>
        <w:spacing w:after="60"/>
      </w:pPr>
      <w:r>
        <w:rPr>
          <w:b/>
          <w:bCs/>
        </w:rPr>
        <w:t xml:space="preserve">Nutzen vor Produkt: </w:t>
      </w:r>
      <w:r>
        <w:t xml:space="preserve">erst das Ergebnis für den Kunden, dann das Format.</w:t>
      </w:r>
    </w:p>
    <w:p>
      <w:pPr>
        <w:pStyle w:val="ListParagraph"/>
        <w:numPr>
          <w:ilvl w:val="0"/>
          <w:numId w:val="2"/>
        </w:numPr>
        <w:spacing w:after="60"/>
      </w:pPr>
      <w:r>
        <w:rPr>
          <w:b/>
          <w:bCs/>
        </w:rPr>
        <w:t xml:space="preserve">Kurze Sätze: </w:t>
      </w:r>
      <w:r>
        <w:t xml:space="preserve">ein Gedanke pro Satz, Hauptsatz vorn, aktiv statt passiv.</w:t>
      </w:r>
    </w:p>
    <w:p>
      <w:pPr>
        <w:pStyle w:val="ListParagraph"/>
        <w:numPr>
          <w:ilvl w:val="0"/>
          <w:numId w:val="2"/>
        </w:numPr>
        <w:spacing w:after="60"/>
      </w:pPr>
      <w:r>
        <w:rPr>
          <w:b/>
          <w:bCs/>
        </w:rPr>
        <w:t xml:space="preserve">Konkret: </w:t>
      </w:r>
      <w:r>
        <w:t xml:space="preserve">Programme, Abläufe und Aufgaben beim Namen nennen – Outlook, Teams-Protokoll, Excel-Auswertung.</w:t>
      </w:r>
    </w:p>
    <w:p>
      <w:pPr>
        <w:pStyle w:val="ListParagraph"/>
        <w:numPr>
          <w:ilvl w:val="0"/>
          <w:numId w:val="2"/>
        </w:numPr>
        <w:spacing w:after="60"/>
      </w:pPr>
      <w:r>
        <w:rPr>
          <w:b/>
          <w:bCs/>
        </w:rPr>
        <w:t xml:space="preserve">Belegt: </w:t>
      </w:r>
      <w:r>
        <w:t xml:space="preserve">Zahlen, Preise und Funktionen nur aus geprüften Quellen, mit Stand.</w:t>
      </w:r>
    </w:p>
    <w:p>
      <w:pPr>
        <w:pStyle w:val="ListParagraph"/>
        <w:numPr>
          <w:ilvl w:val="0"/>
          <w:numId w:val="2"/>
        </w:numPr>
        <w:spacing w:after="60"/>
      </w:pPr>
      <w:r>
        <w:rPr>
          <w:b/>
          <w:bCs/>
        </w:rPr>
        <w:t xml:space="preserve">Microsoft-Begriffe korrekt: </w:t>
      </w:r>
      <w:r>
        <w:t xml:space="preserve">Microsoft 365 Copilot, Copilot Chat, Agents – in offizieller Schreibweise.</w:t>
      </w:r>
    </w:p>
    <w:p>
      <w:pPr>
        <w:pStyle w:val="Heading2"/>
      </w:pPr>
      <w:r>
        <w:t xml:space="preserve">Rallye-Vokabular, sparsam dosiert</w:t>
      </w:r>
    </w:p>
    <w:p>
      <w:pPr>
        <w:spacing w:after="120"/>
      </w:pPr>
      <w:r>
        <w:t xml:space="preserve">Höchstens ein Begriff pro Seite oder Folie, am besten in Dachzeilen, Kapiteltiteln oder Buttons.</w:t>
      </w:r>
    </w:p>
    <w:p>
      <w:pPr>
        <w:pStyle w:val="ListParagraph"/>
        <w:numPr>
          <w:ilvl w:val="0"/>
          <w:numId w:val="2"/>
        </w:numPr>
        <w:spacing w:after="60"/>
      </w:pPr>
      <w:r>
        <w:rPr>
          <w:b/>
          <w:bCs/>
        </w:rPr>
        <w:t xml:space="preserve">Passt: </w:t>
      </w:r>
      <w:r>
        <w:t xml:space="preserve">Beifahrer, Aufschrieb, Etappe, Startaufstellung, Boxenstopp, Zielankunft, Wertungsprüfung.</w:t>
      </w:r>
    </w:p>
    <w:p>
      <w:pPr>
        <w:pStyle w:val="ListParagraph"/>
        <w:numPr>
          <w:ilvl w:val="0"/>
          <w:numId w:val="2"/>
        </w:numPr>
        <w:spacing w:after="60"/>
      </w:pPr>
      <w:r>
        <w:rPr>
          <w:b/>
          <w:bCs/>
        </w:rPr>
        <w:t xml:space="preserve">Passt nicht: </w:t>
      </w:r>
      <w:r>
        <w:t xml:space="preserve">„Vollgas in die KI-Zukunft“, „Turbo für Ihr Team“, „auf die Überholspur“.</w:t>
      </w:r>
    </w:p>
    <w:p>
      <w:pPr>
        <w:pStyle w:val="Heading2"/>
      </w:pPr>
      <w:r>
        <w:t xml:space="preserve">Beispiele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Statt</w:t>
            </w:r>
          </w:p>
        </w:tc>
        <w:tc>
          <w:tcPr>
            <w:tcW w:type="dxa" w:w="4513"/>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Besser</w:t>
            </w:r>
          </w:p>
        </w:tc>
      </w:tr>
      <w:tr>
        <w:trPr>
          <w:tblHeader w:val="false"/>
        </w:trPr>
        <w:tc>
          <w:tcPr>
            <w:tcW w:type="dxa" w:w="4513"/>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In der heutigen digitalen Welt ist KI unverzichtbar.</w:t>
            </w:r>
          </w:p>
        </w:tc>
        <w:tc>
          <w:tcPr>
            <w:tcW w:type="dxa" w:w="4513"/>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Copilot ist ausgerollt. Jetzt geht es darum, dass Ihre Teams ihn nutzen.</w:t>
            </w:r>
          </w:p>
        </w:tc>
      </w:tr>
      <w:tr>
        <w:trPr>
          <w:tblHeader w:val="false"/>
        </w:trPr>
        <w:tc>
          <w:tcPr>
            <w:tcW w:type="dxa" w:w="4513"/>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Unser innovatives Training bietet Ihnen zahlreiche Vorteile.</w:t>
            </w:r>
          </w:p>
        </w:tc>
        <w:tc>
          <w:tcPr>
            <w:tcW w:type="dxa" w:w="4513"/>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Ein Tag, Ihre echten Aufgaben, direkt anwendbar.</w:t>
            </w:r>
          </w:p>
        </w:tc>
      </w:tr>
      <w:tr>
        <w:trPr>
          <w:tblHeader w:val="false"/>
        </w:trPr>
        <w:tc>
          <w:tcPr>
            <w:tcW w:type="dxa" w:w="4513"/>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Jetzt unverbindlich Kontakt aufnehmen!</w:t>
            </w:r>
          </w:p>
        </w:tc>
        <w:tc>
          <w:tcPr>
            <w:tcW w:type="dxa" w:w="4513"/>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Training anfragen</w:t>
            </w:r>
          </w:p>
        </w:tc>
      </w:tr>
      <w:tr>
        <w:trPr>
          <w:tblHeader w:val="false"/>
        </w:trPr>
        <w:tc>
          <w:tcPr>
            <w:tcW w:type="dxa" w:w="4513"/>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Wir bringen Ihr Team auf die Überholspur.</w:t>
            </w:r>
          </w:p>
        </w:tc>
        <w:tc>
          <w:tcPr>
            <w:tcW w:type="dxa" w:w="4513"/>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Etappe 1: sicher starten. Etappe 2: im Alltag ankommen.</w:t>
            </w:r>
          </w:p>
        </w:tc>
      </w:tr>
    </w:tbl>
    <w:p>
      <w:pPr>
        <w:pStyle w:val="Heading2"/>
      </w:pPr>
      <w:r>
        <w:t xml:space="preserve">Headlines, Buttons, Mikrotext</w:t>
      </w:r>
    </w:p>
    <w:p>
      <w:pPr>
        <w:pStyle w:val="ListParagraph"/>
        <w:numPr>
          <w:ilvl w:val="0"/>
          <w:numId w:val="2"/>
        </w:numPr>
        <w:spacing w:after="60"/>
      </w:pPr>
      <w:r>
        <w:t xml:space="preserve">Headlines: maximal acht Wörter, Aussage statt Thema.</w:t>
      </w:r>
    </w:p>
    <w:p>
      <w:pPr>
        <w:pStyle w:val="ListParagraph"/>
        <w:numPr>
          <w:ilvl w:val="0"/>
          <w:numId w:val="2"/>
        </w:numPr>
        <w:spacing w:after="60"/>
      </w:pPr>
      <w:r>
        <w:t xml:space="preserve">Dachzeilen: zwei bis vier Wörter, Versalien, Einordnung.</w:t>
      </w:r>
    </w:p>
    <w:p>
      <w:pPr>
        <w:pStyle w:val="ListParagraph"/>
        <w:numPr>
          <w:ilvl w:val="0"/>
          <w:numId w:val="2"/>
        </w:numPr>
        <w:spacing w:after="60"/>
      </w:pPr>
      <w:r>
        <w:t xml:space="preserve">Buttons: Verb plus Objekt, maximal drei Wörter – „Training anfragen“, „Leitfaden laden“, „Module ansehen“.</w:t>
      </w:r>
    </w:p>
    <w:p>
      <w:pPr>
        <w:pStyle w:val="ListParagraph"/>
        <w:numPr>
          <w:ilvl w:val="0"/>
          <w:numId w:val="2"/>
        </w:numPr>
        <w:spacing w:after="60"/>
      </w:pPr>
      <w:r>
        <w:t xml:space="preserve">Fehlermeldungen: was ist passiert, was ist zu tun. Nie „Ungültige Eingabe“.</w:t>
      </w:r>
    </w:p>
    <w:p>
      <w:pPr>
        <w:pStyle w:val="Heading2"/>
      </w:pPr>
      <w:r>
        <w:t xml:space="preserve">Sichtbarkeit in Suche und KI-Antworten</w:t>
      </w:r>
    </w:p>
    <w:p>
      <w:pPr>
        <w:spacing w:after="120"/>
      </w:pPr>
      <w:r>
        <w:t xml:space="preserve">Jede Seite beantwortet eine konkrete Frage in den ersten zwei Sätzen, nennt Zielgruppe, Format und Ort (DACH, inhouse, remote, Köln) im Klartext und nutzt FAQ-Blöcke mit echten Kundenfragen. Das hilft Google ebenso wie ChatGPT, Claude und Copilot – und liest sich trotzdem nicht nach SEO.</w:t>
      </w:r>
    </w:p>
    <w:p>
      <w:pPr>
        <w:pStyle w:val="Heading1"/>
      </w:pPr>
      <w:r>
        <w:t xml:space="preserve">PowerPoint</w:t>
      </w:r>
    </w:p>
    <w:p>
      <w:pPr>
        <w:pStyle w:val="Heading2"/>
      </w:pPr>
      <w:r>
        <w:t xml:space="preserve">Die Vorlage</w:t>
      </w:r>
    </w:p>
    <w:p>
      <w:pPr>
        <w:spacing w:after="120"/>
      </w:pPr>
      <w:r>
        <w:t xml:space="preserve">Verbindlich ist „Copilotenschule_Vorlage1.potx“. Alle Präsentationen entstehen aus ihren Layouts; Master, Theme, Platzhalter und Schriften werden nicht verändert. Die Vorlage enthält zwölf Beispielfolien, die zeigen, wie jedes Layout gedacht ist.</w:t>
      </w:r>
    </w:p>
    <w:p>
      <w:pPr>
        <w:spacing w:after="160" w:before="120"/>
      </w:pPr>
      <w:r>
        <w:drawing>
          <wp:inline distT="0" distB="0" distL="0" distR="0">
            <wp:extent cx="5715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00550"/>
                    </a:xfrm>
                    <a:prstGeom prst="rect">
                      <a:avLst/>
                    </a:prstGeom>
                  </pic:spPr>
                </pic:pic>
              </a:graphicData>
            </a:graphic>
          </wp:inline>
        </w:drawing>
      </w:r>
    </w:p>
    <w:p>
      <w:pPr>
        <w:pStyle w:val="Heading2"/>
      </w:pPr>
      <w:r>
        <w:t xml:space="preserve">Format und Raster</w:t>
      </w:r>
    </w:p>
    <w:p>
      <w:pPr>
        <w:pStyle w:val="ListParagraph"/>
        <w:numPr>
          <w:ilvl w:val="0"/>
          <w:numId w:val="2"/>
        </w:numPr>
        <w:spacing w:after="60"/>
      </w:pPr>
      <w:r>
        <w:t xml:space="preserve">16:9 Breitbild (33,867 × 19,05 cm).</w:t>
      </w:r>
    </w:p>
    <w:p>
      <w:pPr>
        <w:pStyle w:val="ListParagraph"/>
        <w:numPr>
          <w:ilvl w:val="0"/>
          <w:numId w:val="2"/>
        </w:numPr>
        <w:spacing w:after="60"/>
      </w:pPr>
      <w:r>
        <w:t xml:space="preserve">Linker Satzspiegel 1,7 cm: Dachzeilen, Titel der Titelfolie und Fließtext stehen hier.</w:t>
      </w:r>
    </w:p>
    <w:p>
      <w:pPr>
        <w:pStyle w:val="ListParagraph"/>
        <w:numPr>
          <w:ilvl w:val="0"/>
          <w:numId w:val="2"/>
        </w:numPr>
        <w:spacing w:after="60"/>
      </w:pPr>
      <w:r>
        <w:t xml:space="preserve">Folientitel der Inhaltsfolien stehen rechts neben dem Kopf-Winkel.</w:t>
      </w:r>
    </w:p>
    <w:p>
      <w:pPr>
        <w:pStyle w:val="ListParagraph"/>
        <w:numPr>
          <w:ilvl w:val="0"/>
          <w:numId w:val="2"/>
        </w:numPr>
        <w:spacing w:after="60"/>
      </w:pPr>
      <w:r>
        <w:t xml:space="preserve">Primärlogo auf Inhaltsfolien klein unten rechts in der Ecke.</w:t>
      </w:r>
    </w:p>
    <w:p>
      <w:pPr>
        <w:pStyle w:val="ListParagraph"/>
        <w:numPr>
          <w:ilvl w:val="0"/>
          <w:numId w:val="2"/>
        </w:numPr>
        <w:spacing w:after="60"/>
      </w:pPr>
      <w:r>
        <w:t xml:space="preserve">Weiß ist der Standard. Blau ausschließlich für den Kapiteltrenner.</w:t>
      </w:r>
    </w:p>
    <w:p>
      <w:pPr>
        <w:pStyle w:val="Heading2"/>
      </w:pPr>
      <w:r>
        <w:t xml:space="preserve">Die elf Layouts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Layout</w:t>
            </w:r>
          </w:p>
        </w:tc>
        <w:tc>
          <w:tcPr>
            <w:tcW w:type="dxa" w:w="67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Aufbau und Einsatz</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Titelfolie</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Logo oben links, Dachzeile rot, Titel blau (54 pt), darunter Firmenname in roter Dachzeilen-Schrift, großer Streifen-Kick rechts unten.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Kapiteltrenner</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Die einzige blaue Folie: weiße Startnummer mit blauer Ziffer, Dachzeile türkis, Titel weiß, Kick mit weißem ersten Streifen.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Titel und Inhalt</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Kopf-Winkel, Titel, Aufzählung mit roten Quadraten, Logo unten rechts.</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Zwei Inhalte</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Wie Titel und Inhalt, zwei Spalten.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Vergleich</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Zwei Spalten mit Überschrift und Linie: links grau, rechts rot – rechts steht die empfohlene Option.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Inhalt mit Bild</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Text links, Foto rechts vollflächig.</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Nur Titel</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Kopf-Winkel und Titel, freie Fläche für Diagramme, Startnummern-Schritte, Grafiken.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Kennzahl</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Dachzeile, eine Zahl riesig (180 pt), ein Satz Bedeutung, Quelle; Kick rechts unten.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Zitat</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Zitat in 30 pt, Autor darunter, Kick rechts unten.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Leer</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Nur das kleine Logo.</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Abschluss</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Kopf-Winkel mit Abschlusssatz, Kontakt, Logo unten links, Kick rechts unten.</w:t>
            </w:r>
          </w:p>
        </w:tc>
      </w:tr>
    </w:tbl>
    <w:p>
      <w:pPr>
        <w:pStyle w:val="Heading2"/>
      </w:pPr>
      <w:r>
        <w:t xml:space="preserve">Designfarben der Vorlage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rPr>
          <w:tblHeader/>
        </w:trPr>
        <w:tc>
          <w:tcPr>
            <w:tcW w:type="dxa" w:w="30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Platz im Design</w:t>
            </w:r>
          </w:p>
        </w:tc>
        <w:tc>
          <w:tcPr>
            <w:tcW w:type="dxa" w:w="16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HEX</w:t>
            </w:r>
          </w:p>
        </w:tc>
        <w:tc>
          <w:tcPr>
            <w:tcW w:type="dxa" w:w="44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Farbe</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Text/Hintergrund dunkel 1</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#1B2246</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Navy</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Text/Hintergrund hell 1</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#FFFFFF</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Weiß</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Text/Hintergrund dunkel 2</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#313E72</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Markenblau</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Text/Hintergrund hell 2</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#F3F4F8</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Hellgrau</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Akzent 1</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#313E72</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Markenblau</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Akzent 2</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#CF2E2E</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Rot</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Akzent 3</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#67C7EF</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Türkis</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Akzent 4</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#5A6285</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Grau-Blau</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Akzent 5</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#B9C0DC</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Hellgrau-Blau</w:t>
            </w:r>
          </w:p>
        </w:tc>
      </w:tr>
      <w:tr>
        <w:trPr>
          <w:tblHeader w:val="false"/>
        </w:trPr>
        <w:tc>
          <w:tcPr>
            <w:tcW w:type="dxa" w:w="30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Akzent 6</w:t>
            </w:r>
          </w:p>
        </w:tc>
        <w:tc>
          <w:tcPr>
            <w:tcW w:type="dxa" w:w="16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#1B2246</w:t>
            </w:r>
          </w:p>
        </w:tc>
        <w:tc>
          <w:tcPr>
            <w:tcW w:type="dxa" w:w="4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Navy</w:t>
            </w:r>
          </w:p>
        </w:tc>
      </w:tr>
    </w:tbl>
    <w:p>
      <w:pPr>
        <w:pStyle w:val="Heading2"/>
      </w:pPr>
      <w:r>
        <w:t xml:space="preserve">Schriftgrößen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Element</w:t>
            </w:r>
          </w:p>
        </w:tc>
        <w:tc>
          <w:tcPr>
            <w:tcW w:type="dxa" w:w="24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Größe</w:t>
            </w:r>
          </w:p>
        </w:tc>
        <w:tc>
          <w:tcPr>
            <w:tcW w:type="dxa" w:w="34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Schnitt</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Titel Titelfolie</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54 pt</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Display Bold</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Kapiteltitel</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44 pt</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Display Bold</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Folientitel</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32 pt</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Display Bold</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Zitat</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30 pt</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Display</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Überschrift im Vergleich</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22 pt</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Display Bold</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Fließtext, Aufzählung</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18 pt (min. 16 pt)</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Dachzeile</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14 pt, Versalien</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Narrow Bold Italic</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Kennzahl</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180 pt</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Narrow Bold Italic</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Kapitelnummer</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110 pt</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Narrow Bold Italic</w:t>
            </w:r>
          </w:p>
        </w:tc>
      </w:tr>
      <w:tr>
        <w:trPr>
          <w:tblHeader w:val="false"/>
        </w:trPr>
        <w:tc>
          <w:tcPr>
            <w:tcW w:type="dxa" w:w="32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Quelle</w:t>
            </w:r>
          </w:p>
        </w:tc>
        <w:tc>
          <w:tcPr>
            <w:tcW w:type="dxa" w:w="24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11 pt</w:t>
            </w:r>
          </w:p>
        </w:tc>
        <w:tc>
          <w:tcPr>
            <w:tcW w:type="dxa" w:w="34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Aptos, Grau-Blau</w:t>
            </w:r>
          </w:p>
        </w:tc>
      </w:tr>
    </w:tbl>
    <w:p>
      <w:pPr>
        <w:pStyle w:val="Heading2"/>
      </w:pPr>
      <w:r>
        <w:t xml:space="preserve">Diagramme</w:t>
      </w:r>
    </w:p>
    <w:p>
      <w:pPr>
        <w:pStyle w:val="ListParagraph"/>
        <w:numPr>
          <w:ilvl w:val="0"/>
          <w:numId w:val="2"/>
        </w:numPr>
        <w:spacing w:after="60"/>
      </w:pPr>
      <w:r>
        <w:t xml:space="preserve">Eine Aussage pro Diagramm, im Folientitel formuliert.</w:t>
      </w:r>
    </w:p>
    <w:p>
      <w:pPr>
        <w:pStyle w:val="ListParagraph"/>
        <w:numPr>
          <w:ilvl w:val="0"/>
          <w:numId w:val="2"/>
        </w:numPr>
        <w:spacing w:after="60"/>
      </w:pPr>
      <w:r>
        <w:t xml:space="preserve">Kernwert in Rot, alles andere in Blau. Weitere Reihen: Blau, Rot, Türkis, Grau-Blau, Hellgrau-Blau.</w:t>
      </w:r>
    </w:p>
    <w:p>
      <w:pPr>
        <w:pStyle w:val="ListParagraph"/>
        <w:numPr>
          <w:ilvl w:val="0"/>
          <w:numId w:val="2"/>
        </w:numPr>
        <w:spacing w:after="60"/>
      </w:pPr>
      <w:r>
        <w:t xml:space="preserve">Türkis nur als Fläche mit direkter Datenbeschriftung, nie als dünne Linie.</w:t>
      </w:r>
    </w:p>
    <w:p>
      <w:pPr>
        <w:pStyle w:val="ListParagraph"/>
        <w:numPr>
          <w:ilvl w:val="0"/>
          <w:numId w:val="2"/>
        </w:numPr>
        <w:spacing w:after="60"/>
      </w:pPr>
      <w:r>
        <w:t xml:space="preserve">Keine Gitterlinien, keine Legende bei nur einer Reihe, kein 3D, keine Schatten, keine Verläufe.</w:t>
      </w:r>
    </w:p>
    <w:p>
      <w:pPr>
        <w:pStyle w:val="Heading2"/>
      </w:pPr>
      <w:r>
        <w:t xml:space="preserve">Nicht auf Folien</w:t>
      </w:r>
    </w:p>
    <w:p>
      <w:pPr>
        <w:pStyle w:val="ListParagraph"/>
        <w:numPr>
          <w:ilvl w:val="0"/>
          <w:numId w:val="2"/>
        </w:numPr>
        <w:spacing w:after="60"/>
      </w:pPr>
      <w:r>
        <w:t xml:space="preserve">Foliennummern, Fußzeilen, Webadresse.</w:t>
      </w:r>
    </w:p>
    <w:p>
      <w:pPr>
        <w:pStyle w:val="ListParagraph"/>
        <w:numPr>
          <w:ilvl w:val="0"/>
          <w:numId w:val="2"/>
        </w:numPr>
        <w:spacing w:after="60"/>
      </w:pPr>
      <w:r>
        <w:t xml:space="preserve">Blaue Hintergründe außerhalb des Kapiteltrenners.</w:t>
      </w:r>
    </w:p>
    <w:p>
      <w:pPr>
        <w:pStyle w:val="ListParagraph"/>
        <w:numPr>
          <w:ilvl w:val="0"/>
          <w:numId w:val="2"/>
        </w:numPr>
        <w:spacing w:after="60"/>
      </w:pPr>
      <w:r>
        <w:t xml:space="preserve">Mehr als ein großer Streifen-Kick pro Folie, Streifen hinter Text.</w:t>
      </w:r>
    </w:p>
    <w:p>
      <w:pPr>
        <w:pStyle w:val="ListParagraph"/>
        <w:numPr>
          <w:ilvl w:val="0"/>
          <w:numId w:val="2"/>
        </w:numPr>
        <w:spacing w:after="60"/>
      </w:pPr>
      <w:r>
        <w:t xml:space="preserve">Rote Flächen größer als ein Button oder eine Startnummer.</w:t>
      </w:r>
    </w:p>
    <w:p>
      <w:pPr>
        <w:pStyle w:val="ListParagraph"/>
        <w:numPr>
          <w:ilvl w:val="0"/>
          <w:numId w:val="2"/>
        </w:numPr>
        <w:spacing w:after="60"/>
      </w:pPr>
      <w:r>
        <w:t xml:space="preserve">Text auf Fotos ohne blaue Fläche darunter; Cliparts, Emojis, WordArt.</w:t>
      </w:r>
    </w:p>
    <w:p>
      <w:pPr>
        <w:pStyle w:val="Heading1"/>
      </w:pPr>
      <w:r>
        <w:t xml:space="preserve">Website-Bausteine</w:t>
      </w:r>
    </w:p>
    <w:p>
      <w:pPr>
        <w:spacing w:after="120"/>
      </w:pPr>
      <w:r>
        <w:t xml:space="preserve">Für copilotenschule.de gibt es fertige Bausteine. Jeder folgt denselben Regeln: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Baustein</w:t>
            </w:r>
          </w:p>
        </w:tc>
        <w:tc>
          <w:tcPr>
            <w:tcW w:type="dxa" w:w="6726"/>
            <w:tcBorders>
              <w:top w:val="single" w:color="D9DCE8" w:sz="4"/>
              <w:left w:val="single" w:color="D9DCE8" w:sz="4"/>
              <w:bottom w:val="single" w:color="D9DCE8" w:sz="4"/>
              <w:right w:val="single" w:color="D9DCE8" w:sz="4"/>
            </w:tcBorders>
            <w:shd w:fill="313E72" w:color="auto" w:val="clear"/>
            <w:tcMar>
              <w:top w:type="dxa" w:w="80"/>
              <w:left w:type="dxa" w:w="120"/>
              <w:bottom w:type="dxa" w:w="80"/>
              <w:right w:type="dxa" w:w="120"/>
            </w:tcMar>
          </w:tcPr>
          <w:p>
            <w:r>
              <w:rPr>
                <w:b/>
                <w:bCs/>
                <w:color w:val="FFFFFF"/>
                <w:sz w:val="19"/>
                <w:szCs w:val="19"/>
              </w:rPr>
              <w:t xml:space="preserve">Regel</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Button</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Fläche im Streifenwinkel geschert, Schrift gerade, Versalien. Genau ein roter Hauptbutton pro Ansicht; blau, Kontur oder weiß-Kontur für Nebenaktionen.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Navigation</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Logo links, höchstens sieben Links, roter Unterstrich für die aktive Seite, eine rote Hauptaktion rechts.</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Hero</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Blaue Fläche, weiße Headline (max. acht Wörter), ein Satz Nutzen, Streifen-Kick rechts unten.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Kurs-Karte</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Startnummer, Dachzeile, Titel, zwei Sätze, Rahmendaten, Tags, Button. Preise nur aus der Preisliste, sonst „Auf Anfrage“.</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Kennzahl</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Zahl in Startnummern-Schrift mit roter Kopflinie. Nur belegte Zahlen.</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Kundenstimme</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Nur echte, freigegebene Zitate, kurzes Streifenband darüber.</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FAQ</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Fragen so formulieren, wie Kunden sie stellen; die Antwort beginnt mit der direkten Antwort.</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Formular</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Label immer sichtbar, Fehler in Rot mit Icon und konkretem Satz.</w:t>
            </w:r>
          </w:p>
        </w:tc>
      </w:tr>
      <w:tr>
        <w:trPr>
          <w:tblHeader w:val="false"/>
        </w:trPr>
        <w:tc>
          <w:tcPr>
            <w:tcW w:type="dxa" w:w="2300"/>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Tags</w:t>
            </w:r>
          </w:p>
        </w:tc>
        <w:tc>
          <w:tcPr>
            <w:tcW w:type="dxa" w:w="6726"/>
            <w:tcBorders>
              <w:top w:val="single" w:color="D9DCE8" w:sz="4"/>
              <w:left w:val="single" w:color="D9DCE8" w:sz="4"/>
              <w:bottom w:val="single" w:color="D9DCE8" w:sz="4"/>
              <w:right w:val="single" w:color="D9DCE8" w:sz="4"/>
            </w:tcBorders>
            <w:tcMar>
              <w:top w:type="dxa" w:w="80"/>
              <w:left w:type="dxa" w:w="120"/>
              <w:bottom w:type="dxa" w:w="80"/>
              <w:right w:type="dxa" w:w="120"/>
            </w:tcMar>
          </w:tcPr>
          <w:p>
            <w:r>
              <w:rPr>
                <w:b w:val="false"/>
                <w:bCs w:val="false"/>
                <w:sz w:val="19"/>
                <w:szCs w:val="19"/>
              </w:rPr>
              <w:t xml:space="preserve">Kurze Merkmale in Versalien: Format, Zielgruppe, Neuheit.</w:t>
            </w:r>
          </w:p>
        </w:tc>
      </w:tr>
    </w:tbl>
    <w:p>
      <w:pPr>
        <w:pStyle w:val="Heading1"/>
      </w:pPr>
      <w:r>
        <w:t xml:space="preserve">Barrierefreiheit</w:t>
      </w:r>
    </w:p>
    <w:p>
      <w:pPr>
        <w:pStyle w:val="ListParagraph"/>
        <w:numPr>
          <w:ilvl w:val="0"/>
          <w:numId w:val="2"/>
        </w:numPr>
        <w:spacing w:after="60"/>
      </w:pPr>
      <w:r>
        <w:t xml:space="preserve">Alle Textfarben erreichen mindestens 4,5:1 Kontrast auf ihrem Hintergrund.</w:t>
      </w:r>
    </w:p>
    <w:p>
      <w:pPr>
        <w:pStyle w:val="ListParagraph"/>
        <w:numPr>
          <w:ilvl w:val="0"/>
          <w:numId w:val="2"/>
        </w:numPr>
        <w:spacing w:after="60"/>
      </w:pPr>
      <w:r>
        <w:t xml:space="preserve">Sichtbarer Fokusring (3 px) auf der Website, auf blauen Flächen weiß.</w:t>
      </w:r>
    </w:p>
    <w:p>
      <w:pPr>
        <w:pStyle w:val="ListParagraph"/>
        <w:numPr>
          <w:ilvl w:val="0"/>
          <w:numId w:val="2"/>
        </w:numPr>
        <w:spacing w:after="60"/>
      </w:pPr>
      <w:r>
        <w:t xml:space="preserve">Status nie nur über Farbe: Fehler und Erfolg immer mit Text und Icon.</w:t>
      </w:r>
    </w:p>
    <w:p>
      <w:pPr>
        <w:pStyle w:val="ListParagraph"/>
        <w:numPr>
          <w:ilvl w:val="0"/>
          <w:numId w:val="2"/>
        </w:numPr>
        <w:spacing w:after="60"/>
      </w:pPr>
      <w:r>
        <w:t xml:space="preserve">Bewegung reduziert, wenn Nutzer das im System eingestellt haben.</w:t>
      </w:r>
    </w:p>
    <w:p>
      <w:pPr>
        <w:pStyle w:val="Heading1"/>
      </w:pPr>
      <w:r>
        <w:t xml:space="preserve">Checkliste vor der Freigabe</w:t>
      </w:r>
    </w:p>
    <w:p>
      <w:pPr>
        <w:pStyle w:val="ListParagraph"/>
        <w:numPr>
          <w:ilvl w:val="0"/>
          <w:numId w:val="3"/>
        </w:numPr>
        <w:spacing w:after="60"/>
      </w:pPr>
      <w:r>
        <w:rPr>
          <w:b/>
          <w:bCs/>
        </w:rPr>
        <w:t xml:space="preserve">Farben: </w:t>
      </w:r>
      <w:r>
        <w:t xml:space="preserve">Nur Markenfarben und Ergänzungsfarben, keine Verläufe, Rot nur einmal als Kernaussage.</w:t>
      </w:r>
    </w:p>
    <w:p>
      <w:pPr>
        <w:pStyle w:val="ListParagraph"/>
        <w:numPr>
          <w:ilvl w:val="0"/>
          <w:numId w:val="3"/>
        </w:numPr>
        <w:spacing w:after="60"/>
      </w:pPr>
      <w:r>
        <w:rPr>
          <w:b/>
          <w:bCs/>
        </w:rPr>
        <w:t xml:space="preserve">Schrift: </w:t>
      </w:r>
      <w:r>
        <w:t xml:space="preserve">Aptos-Familie, Dachzeilen in Versalien und kursiv.</w:t>
      </w:r>
    </w:p>
    <w:p>
      <w:pPr>
        <w:pStyle w:val="ListParagraph"/>
        <w:numPr>
          <w:ilvl w:val="0"/>
          <w:numId w:val="3"/>
        </w:numPr>
        <w:spacing w:after="60"/>
      </w:pPr>
      <w:r>
        <w:rPr>
          <w:b/>
          <w:bCs/>
        </w:rPr>
        <w:t xml:space="preserve">Logo: </w:t>
      </w:r>
      <w:r>
        <w:t xml:space="preserve">Richtige Variante für den Hintergrund, Schutzraum eingehalten.</w:t>
      </w:r>
    </w:p>
    <w:p>
      <w:pPr>
        <w:pStyle w:val="ListParagraph"/>
        <w:numPr>
          <w:ilvl w:val="0"/>
          <w:numId w:val="3"/>
        </w:numPr>
        <w:spacing w:after="60"/>
      </w:pPr>
      <w:r>
        <w:rPr>
          <w:b/>
          <w:bCs/>
        </w:rPr>
        <w:t xml:space="preserve">Streifen: </w:t>
      </w:r>
      <w:r>
        <w:t xml:space="preserve">Reihenfolge Blau/Weiß – Türkis – Rot, höchstens ein großer Kick.</w:t>
      </w:r>
    </w:p>
    <w:p>
      <w:pPr>
        <w:pStyle w:val="ListParagraph"/>
        <w:numPr>
          <w:ilvl w:val="0"/>
          <w:numId w:val="3"/>
        </w:numPr>
        <w:spacing w:after="60"/>
      </w:pPr>
      <w:r>
        <w:rPr>
          <w:b/>
          <w:bCs/>
        </w:rPr>
        <w:t xml:space="preserve">Text: </w:t>
      </w:r>
      <w:r>
        <w:t xml:space="preserve">Sie-Form, kurze Sätze, Nutzen zuerst, höchstens ein Rallye-Begriff.</w:t>
      </w:r>
    </w:p>
    <w:p>
      <w:pPr>
        <w:pStyle w:val="ListParagraph"/>
        <w:numPr>
          <w:ilvl w:val="0"/>
          <w:numId w:val="3"/>
        </w:numPr>
        <w:spacing w:after="60"/>
      </w:pPr>
      <w:r>
        <w:rPr>
          <w:b/>
          <w:bCs/>
        </w:rPr>
        <w:t xml:space="preserve">Zahlen: </w:t>
      </w:r>
      <w:r>
        <w:t xml:space="preserve">Jede Zahl belegt, mit Quelle oder Stand.</w:t>
      </w:r>
    </w:p>
    <w:p>
      <w:pPr>
        <w:pStyle w:val="ListParagraph"/>
        <w:numPr>
          <w:ilvl w:val="0"/>
          <w:numId w:val="3"/>
        </w:numPr>
        <w:spacing w:after="60"/>
      </w:pPr>
      <w:r>
        <w:rPr>
          <w:b/>
          <w:bCs/>
        </w:rPr>
        <w:t xml:space="preserve">Folien: </w:t>
      </w:r>
      <w:r>
        <w:t xml:space="preserve">Aus der Vorlage, keine Nummern, keine Fußzeile, Blau nur beim Kapiteltrenner.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color w:val="CF2E2E"/>
      </w:rPr>
    </w:lvl>
    <w:lvl w:ilvl="1" w15:tentative="1">
      <w:start w:val="1"/>
      <w:numFmt w:val="bullet"/>
      <w:lvlText w:val="–"/>
      <w:lvlJc w:val="left"/>
      <w:pPr>
        <w:ind w:left="720" w:hanging="280"/>
      </w:pPr>
    </w:lvl>
  </w:abstractNum>
  <w:abstractNum w:abstractNumId="3" w15:restartNumberingAfterBreak="0">
    <w:multiLevelType w:val="hybridMultilevel"/>
    <w:lvl w:ilvl="0" w15:tentative="1">
      <w:start w:val="1"/>
      <w:numFmt w:val="decimal"/>
      <w:lvlText w:val="%1."/>
      <w:lvlJc w:val="left"/>
      <w:pPr>
        <w:ind w:left="360" w:hanging="360"/>
      </w:pPr>
      <w:rPr>
        <w:b/>
        <w:bCs/>
        <w:color w:val="CF2E2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B224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160" w:before="360"/>
      <w:outlineLvl w:val="0"/>
    </w:pPr>
    <w:rPr>
      <w:rFonts w:ascii="Aptos Display" w:cs="Aptos Display" w:eastAsia="Aptos Display" w:hAnsi="Aptos Display"/>
      <w:b/>
      <w:bCs/>
      <w:color w:val="313E72"/>
      <w:sz w:val="36"/>
      <w:szCs w:val="36"/>
    </w:rPr>
  </w:style>
  <w:style w:type="paragraph" w:styleId="Heading2">
    <w:name w:val="Heading 2"/>
    <w:basedOn w:val="Normal"/>
    <w:next w:val="Normal"/>
    <w:qFormat/>
    <w:pPr>
      <w:spacing w:after="100" w:before="280"/>
      <w:outlineLvl w:val="1"/>
    </w:pPr>
    <w:rPr>
      <w:rFonts w:ascii="Aptos Display" w:cs="Aptos Display" w:eastAsia="Aptos Display" w:hAnsi="Aptos Display"/>
      <w:b/>
      <w:bCs/>
      <w:color w:val="313E72"/>
      <w:sz w:val="26"/>
      <w:szCs w:val="26"/>
    </w:rPr>
  </w:style>
  <w:style w:type="paragraph" w:styleId="Heading3">
    <w:name w:val="Heading 3"/>
    <w:basedOn w:val="Normal"/>
    <w:next w:val="Normal"/>
    <w:qFormat/>
    <w:pPr>
      <w:spacing w:after="80" w:before="200"/>
      <w:outlineLvl w:val="2"/>
    </w:pPr>
    <w:rPr>
      <w:rFonts w:ascii="Aptos" w:cs="Aptos" w:eastAsia="Aptos" w:hAnsi="Aptos"/>
      <w:b/>
      <w:bCs/>
      <w:color w:val="1B22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b1616fd01308a21a361c7585170000b4cdec1b.png"/><Relationship Id="rId8" Type="http://schemas.openxmlformats.org/officeDocument/2006/relationships/image" Target="media/481c22f1697ab23f01122fe1b9469055a57c2ab8.png"/><Relationship Id="rId9" Type="http://schemas.openxmlformats.org/officeDocument/2006/relationships/image" Target="media/41c5662b3130c380f135fa324ae7f1f64fb5b22e.png"/><Relationship Id="rId10" Type="http://schemas.openxmlformats.org/officeDocument/2006/relationships/image" Target="media/5e7d75e9f0d3961c822c344231dbb05fc7e4fae2.png"/><Relationship Id="rId11" Type="http://schemas.openxmlformats.org/officeDocument/2006/relationships/image" Target="media/de0e686351228353a9e73e3b111ba8c2448d9599.png"/><Relationship Id="rId12" Type="http://schemas.openxmlformats.org/officeDocument/2006/relationships/image" Target="media/68f015ee92025111ae6ee761a28a172886208e51.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Copilotenschule – Corporate Design Handbuch</dc:title>
  <dc:creator>Copilotenschule</dc:creator>
  <cp:lastModifiedBy>Un-named</cp:lastModifiedBy>
  <cp:revision>1</cp:revision>
  <dcterms:created xsi:type="dcterms:W3CDTF">2026-09-28T09:22:30.918Z</dcterms:created>
  <dcterms:modified xsi:type="dcterms:W3CDTF">2026-09-28T09:22:30.919Z</dcterms:modified>
</cp:coreProperties>
</file>

<file path=docProps/custom.xml><?xml version="1.0" encoding="utf-8"?>
<Properties xmlns="http://schemas.openxmlformats.org/officeDocument/2006/custom-properties" xmlns:vt="http://schemas.openxmlformats.org/officeDocument/2006/docPropsVTypes"/>
</file>