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sz w:val="28"/>
          <w:szCs w:val="28"/>
        </w:rPr>
        <w:t xml:space="preserve">Anlage: Konditionen &amp; Rahmenvereinbarungen</w:t>
      </w:r>
    </w:p>
    <w:p>
      <w:pPr>
        <w:pBdr>
          <w:bottom w:val="single" w:color="CCCCCC" w:sz="2" w:space="6"/>
        </w:pBdr>
        <w:spacing w:after="300"/>
      </w:pPr>
      <w:r>
        <w:rPr>
          <w:rFonts w:ascii="Arial" w:cs="Arial" w:eastAsia="Arial" w:hAnsi="Arial"/>
          <w:i/>
          <w:iCs/>
          <w:color w:val="666666"/>
          <w:sz w:val="20"/>
          <w:szCs w:val="20"/>
        </w:rPr>
        <w:t xml:space="preserve">Yellow-Boat Consulting / Copilotenschule</w:t>
      </w:r>
    </w:p>
    <w:p>
      <w:pPr>
        <w:pStyle w:val="Heading1"/>
      </w:pPr>
      <w:r>
        <w:rPr>
          <w:rFonts w:ascii="Arial" w:cs="Arial" w:eastAsia="Arial" w:hAnsi="Arial"/>
          <w:b/>
          <w:bCs/>
          <w:sz w:val="22"/>
          <w:szCs w:val="22"/>
        </w:rPr>
        <w:t xml:space="preserve">1. Leistungsumfang und Vorbereitung</w:t>
      </w:r>
    </w:p>
    <w:p>
      <w:pPr>
        <w:spacing w:after="160"/>
      </w:pPr>
      <w:r>
        <w:rPr>
          <w:rFonts w:ascii="Arial" w:cs="Arial" w:eastAsia="Arial" w:hAnsi="Arial"/>
          <w:sz w:val="22"/>
          <w:szCs w:val="22"/>
        </w:rPr>
        <w:t xml:space="preserve">Der Leistungsumfang ergibt sich aus dem jeweils zugehörigen Angebot. Im Preis enthalten sind die Konzeption, die Durchführung der Trainings und Lernreisen, die Teilnehmenden-Unterlagen sowie eine Vor- und Nachbereitung in branchenüblichem Umfang. Weitergehende Konzeptionsleistungen werden nach vorheriger Abstimmung gesondert ausgewiesen.</w:t>
      </w:r>
    </w:p>
    <w:p>
      <w:pPr>
        <w:pStyle w:val="Heading1"/>
      </w:pPr>
      <w:r>
        <w:rPr>
          <w:rFonts w:ascii="Arial" w:cs="Arial" w:eastAsia="Arial" w:hAnsi="Arial"/>
          <w:b/>
          <w:bCs/>
          <w:sz w:val="22"/>
          <w:szCs w:val="22"/>
        </w:rPr>
        <w:t xml:space="preserve">2. Teilnehmendenzahl und Gruppengrößen</w:t>
      </w:r>
    </w:p>
    <w:p>
      <w:pPr>
        <w:spacing w:after="160"/>
      </w:pPr>
      <w:r>
        <w:rPr>
          <w:rFonts w:ascii="Arial" w:cs="Arial" w:eastAsia="Arial" w:hAnsi="Arial"/>
          <w:sz w:val="22"/>
          <w:szCs w:val="22"/>
        </w:rPr>
        <w:t xml:space="preserve">Die im Angebot ausgewiesenen Preise gelten für die jeweils angegebene Höchstteilnehmendenzahl (in der Regel max. 12 Personen pro Gruppe). Bei kleinerer Teilnehmendenzahl bleibt der Pauschalpreis unverändert. Eine Überschreitung der Höchstzahl ist nach vorheriger Abstimmung möglich.</w:t>
      </w:r>
    </w:p>
    <w:p>
      <w:pPr>
        <w:pStyle w:val="Heading1"/>
      </w:pPr>
      <w:r>
        <w:rPr>
          <w:rFonts w:ascii="Arial" w:cs="Arial" w:eastAsia="Arial" w:hAnsi="Arial"/>
          <w:b/>
          <w:bCs/>
          <w:sz w:val="22"/>
          <w:szCs w:val="22"/>
        </w:rPr>
        <w:t xml:space="preserve">3. Zahlungsbedingungen</w:t>
      </w:r>
    </w:p>
    <w:p>
      <w:pPr>
        <w:spacing w:after="160"/>
      </w:pPr>
      <w:r>
        <w:rPr>
          <w:rFonts w:ascii="Arial" w:cs="Arial" w:eastAsia="Arial" w:hAnsi="Arial"/>
          <w:sz w:val="22"/>
          <w:szCs w:val="22"/>
        </w:rPr>
        <w:t xml:space="preserve">Die Rechnungsstellung erfolgt gemäß den Angaben im Angebot, in der Regel zum 1. Veranstaltungstag oder nach Durchführung des jeweiligen Moduls. Das Zahlungsziel beträgt 14 Tage netto ab Rechnungsdatum auf das im Angebot angegebene Konto. Bei mehrteiligen Lernreisen kann nach Absprache eine Teilrechnung nach dem ersten Termin gestellt werden. Skonto ist nicht vereinbart.</w:t>
      </w:r>
    </w:p>
    <w:p>
      <w:pPr>
        <w:pStyle w:val="Heading1"/>
      </w:pPr>
      <w:r>
        <w:rPr>
          <w:rFonts w:ascii="Arial" w:cs="Arial" w:eastAsia="Arial" w:hAnsi="Arial"/>
          <w:b/>
          <w:bCs/>
          <w:sz w:val="22"/>
          <w:szCs w:val="22"/>
        </w:rPr>
        <w:t xml:space="preserve">4. Absage und Verschiebung</w:t>
      </w:r>
    </w:p>
    <w:p>
      <w:pPr>
        <w:spacing w:after="80"/>
      </w:pPr>
      <w:r>
        <w:rPr>
          <w:rFonts w:ascii="Arial" w:cs="Arial" w:eastAsia="Arial" w:hAnsi="Arial"/>
          <w:sz w:val="22"/>
          <w:szCs w:val="22"/>
        </w:rPr>
        <w:t xml:space="preserve">Termine können bis 14 Kalendertage vor dem geplanten Veranstaltungstag kostenfrei verschoben werden. Bei kurzfristigerer Verschiebung oder Absage gelten folgende Pauschalen, bezogen auf den jeweiligen Modulpreis:</w:t>
      </w:r>
    </w:p>
    <w:p>
      <w:pPr>
        <w:pStyle w:val="ListParagraph"/>
        <w:numPr>
          <w:ilvl w:val="0"/>
          <w:numId w:val="2"/>
        </w:numPr>
      </w:pPr>
      <w:r>
        <w:rPr>
          <w:rFonts w:ascii="Arial" w:cs="Arial" w:eastAsia="Arial" w:hAnsi="Arial"/>
          <w:b/>
          <w:bCs/>
          <w:sz w:val="22"/>
          <w:szCs w:val="22"/>
        </w:rPr>
        <w:t xml:space="preserve">13 bis 7 Kalendertage vor Termin: </w:t>
      </w:r>
      <w:r>
        <w:rPr>
          <w:rFonts w:ascii="Arial" w:cs="Arial" w:eastAsia="Arial" w:hAnsi="Arial"/>
          <w:sz w:val="22"/>
          <w:szCs w:val="22"/>
        </w:rPr>
        <w:t xml:space="preserve">25 %</w:t>
      </w:r>
    </w:p>
    <w:p>
      <w:pPr>
        <w:pStyle w:val="ListParagraph"/>
        <w:numPr>
          <w:ilvl w:val="0"/>
          <w:numId w:val="2"/>
        </w:numPr>
      </w:pPr>
      <w:r>
        <w:rPr>
          <w:rFonts w:ascii="Arial" w:cs="Arial" w:eastAsia="Arial" w:hAnsi="Arial"/>
          <w:b/>
          <w:bCs/>
          <w:sz w:val="22"/>
          <w:szCs w:val="22"/>
        </w:rPr>
        <w:t xml:space="preserve">6 bis 3 Kalendertage vor Termin: </w:t>
      </w:r>
      <w:r>
        <w:rPr>
          <w:rFonts w:ascii="Arial" w:cs="Arial" w:eastAsia="Arial" w:hAnsi="Arial"/>
          <w:sz w:val="22"/>
          <w:szCs w:val="22"/>
        </w:rPr>
        <w:t xml:space="preserve">50 %</w:t>
      </w:r>
    </w:p>
    <w:p>
      <w:pPr>
        <w:pStyle w:val="ListParagraph"/>
        <w:numPr>
          <w:ilvl w:val="0"/>
          <w:numId w:val="2"/>
        </w:numPr>
      </w:pPr>
      <w:r>
        <w:rPr>
          <w:rFonts w:ascii="Arial" w:cs="Arial" w:eastAsia="Arial" w:hAnsi="Arial"/>
          <w:b/>
          <w:bCs/>
          <w:sz w:val="22"/>
          <w:szCs w:val="22"/>
        </w:rPr>
        <w:t xml:space="preserve">weniger als 3 Kalendertage vor Termin: </w:t>
      </w:r>
      <w:r>
        <w:rPr>
          <w:rFonts w:ascii="Arial" w:cs="Arial" w:eastAsia="Arial" w:hAnsi="Arial"/>
          <w:sz w:val="22"/>
          <w:szCs w:val="22"/>
        </w:rPr>
        <w:t xml:space="preserve">80 %</w:t>
      </w:r>
    </w:p>
    <w:p>
      <w:pPr>
        <w:spacing w:after="160" w:before="80"/>
      </w:pPr>
      <w:r>
        <w:rPr>
          <w:rFonts w:ascii="Arial" w:cs="Arial" w:eastAsia="Arial" w:hAnsi="Arial"/>
          <w:sz w:val="22"/>
          <w:szCs w:val="22"/>
        </w:rPr>
        <w:t xml:space="preserve">Eine einmalige Verschiebung ohne Kostenpauschale ist möglich, wenn ein Ersatztermin innerhalb von acht Wochen vereinbart wird.</w:t>
      </w:r>
    </w:p>
    <w:p>
      <w:pPr>
        <w:pStyle w:val="Heading1"/>
      </w:pPr>
      <w:r>
        <w:rPr>
          <w:rFonts w:ascii="Arial" w:cs="Arial" w:eastAsia="Arial" w:hAnsi="Arial"/>
          <w:b/>
          <w:bCs/>
          <w:sz w:val="22"/>
          <w:szCs w:val="22"/>
        </w:rPr>
        <w:t xml:space="preserve">5. Ausfall auf Anbieterseite</w:t>
      </w:r>
    </w:p>
    <w:p>
      <w:pPr>
        <w:spacing w:after="160"/>
      </w:pPr>
      <w:r>
        <w:rPr>
          <w:rFonts w:ascii="Arial" w:cs="Arial" w:eastAsia="Arial" w:hAnsi="Arial"/>
          <w:sz w:val="22"/>
          <w:szCs w:val="22"/>
        </w:rPr>
        <w:t xml:space="preserve">Sollte ein Termin aus von uns zu vertretenden Gründen nicht stattfinden können, vereinbaren wir umgehend einen Ersatztermin oder stellen eine gleichwertige Ersatzperson. Über die Erstattung bereits angefallener interner Aufwände hinausgehende Ansprüche bestehen nicht.</w:t>
      </w:r>
    </w:p>
    <w:p>
      <w:pPr>
        <w:pStyle w:val="Heading1"/>
      </w:pPr>
      <w:r>
        <w:rPr>
          <w:rFonts w:ascii="Arial" w:cs="Arial" w:eastAsia="Arial" w:hAnsi="Arial"/>
          <w:b/>
          <w:bCs/>
          <w:sz w:val="22"/>
          <w:szCs w:val="22"/>
        </w:rPr>
        <w:t xml:space="preserve">6. Reisekosten bei Präsenzformaten</w:t>
      </w:r>
    </w:p>
    <w:p>
      <w:pPr>
        <w:spacing w:after="160"/>
      </w:pPr>
      <w:r>
        <w:rPr>
          <w:rFonts w:ascii="Arial" w:cs="Arial" w:eastAsia="Arial" w:hAnsi="Arial"/>
          <w:sz w:val="22"/>
          <w:szCs w:val="22"/>
        </w:rPr>
        <w:t xml:space="preserve">Für Präsenzdurchführungen werden Reisekosten als Pauschale gemäß Angebot abgerechnet (in der Regel 350 € je Termin für Anreise, ggf. Übernachtung und Verpflegung). Bei Standorten mit besonders hohem Reiseaufwand stimmen wir die Pauschale vorab transparent ab.</w:t>
      </w:r>
    </w:p>
    <w:p>
      <w:pPr>
        <w:pStyle w:val="Heading1"/>
      </w:pPr>
      <w:r>
        <w:rPr>
          <w:rFonts w:ascii="Arial" w:cs="Arial" w:eastAsia="Arial" w:hAnsi="Arial"/>
          <w:b/>
          <w:bCs/>
          <w:sz w:val="22"/>
          <w:szCs w:val="22"/>
        </w:rPr>
        <w:t xml:space="preserve">7. Materialien und Nutzungsrechte</w:t>
      </w:r>
    </w:p>
    <w:p>
      <w:pPr>
        <w:spacing w:after="160"/>
      </w:pPr>
      <w:r>
        <w:rPr>
          <w:rFonts w:ascii="Arial" w:cs="Arial" w:eastAsia="Arial" w:hAnsi="Arial"/>
          <w:sz w:val="22"/>
          <w:szCs w:val="22"/>
        </w:rPr>
        <w:t xml:space="preserve">Mit Zahlung des Honorars erhält der Auftraggeber ein einfaches, zeitlich unbefristetes, nicht ausschließliches Nutzungsrecht an den überlassenen Trainings-Unterlagen für interne Schulungs- und Lernzwecke. Eine Weitergabe an Dritte, kommerzielle Verwertung oder Bearbeitung außerhalb interner Lernkontexte bedarf der schriftlichen Zustimmung.</w:t>
      </w:r>
    </w:p>
    <w:p>
      <w:pPr>
        <w:pStyle w:val="Heading1"/>
      </w:pPr>
      <w:r>
        <w:rPr>
          <w:rFonts w:ascii="Arial" w:cs="Arial" w:eastAsia="Arial" w:hAnsi="Arial"/>
          <w:b/>
          <w:bCs/>
          <w:sz w:val="22"/>
          <w:szCs w:val="22"/>
        </w:rPr>
        <w:t xml:space="preserve">8. Datenschutz und Vertraulichkeit</w:t>
      </w:r>
    </w:p>
    <w:p>
      <w:pPr>
        <w:spacing w:after="160"/>
      </w:pPr>
      <w:r>
        <w:rPr>
          <w:rFonts w:ascii="Arial" w:cs="Arial" w:eastAsia="Arial" w:hAnsi="Arial"/>
          <w:sz w:val="22"/>
          <w:szCs w:val="22"/>
        </w:rPr>
        <w:t xml:space="preserve">Yellow-Boat Consulting verarbeitet personenbezogene Daten ausschließlich im Rahmen der DSGVO und nur soweit für die Durchführung der Trainings erforderlich. Sofern erforderlich, schließen wir vor Beginn eine Auftragsverarbeitungsvereinbarung (AVV) gemäß Art. 28 DSGVO ab. Eine wechselseitige Verschwiegenheitsverpflichtung über alle im Rahmen der Zusammenarbeit bekannt gewordenen Informationen ist Geschäftsgrundlage; eine separate NDA kann auf Wunsch unterzeichnet werden.</w:t>
      </w:r>
    </w:p>
    <w:p>
      <w:pPr>
        <w:pStyle w:val="Heading1"/>
      </w:pPr>
      <w:r>
        <w:rPr>
          <w:rFonts w:ascii="Arial" w:cs="Arial" w:eastAsia="Arial" w:hAnsi="Arial"/>
          <w:b/>
          <w:bCs/>
          <w:sz w:val="22"/>
          <w:szCs w:val="22"/>
        </w:rPr>
        <w:t xml:space="preserve">9. Optionale Copilot Masterclass</w:t>
      </w:r>
    </w:p>
    <w:p>
      <w:pPr>
        <w:spacing w:after="160"/>
      </w:pPr>
      <w:r>
        <w:rPr>
          <w:rFonts w:ascii="Arial" w:cs="Arial" w:eastAsia="Arial" w:hAnsi="Arial"/>
          <w:sz w:val="22"/>
          <w:szCs w:val="22"/>
        </w:rPr>
        <w:t xml:space="preserve">Sofern im Angebot ausgewiesen, ist die Copilot Masterclass eine eigenständige, optionale Aufbaureihe für ausgewählte fortgeschrittene Teilnehmende (Copilot Studio, Automatisierungen, Agenten-Bereitstellung). Sie kann unabhängig vom Hauptprogramm beauftragt und zeitlich flexibel eingeplant werden. Gruppengrößen, Termine und inhaltliche Anpassungen werden nach Beauftragung gemeinsam abgestimmt. Es gelten dieselben Konditionen wie für die übrigen Positionen.</w:t>
      </w:r>
    </w:p>
    <w:p>
      <w:pPr>
        <w:pStyle w:val="Heading1"/>
      </w:pPr>
      <w:r>
        <w:rPr>
          <w:rFonts w:ascii="Arial" w:cs="Arial" w:eastAsia="Arial" w:hAnsi="Arial"/>
          <w:b/>
          <w:bCs/>
          <w:sz w:val="22"/>
          <w:szCs w:val="22"/>
        </w:rPr>
        <w:t xml:space="preserve">10. Einsatz von Trainerinnen und Trainern</w:t>
      </w:r>
    </w:p>
    <w:p>
      <w:pPr>
        <w:spacing w:after="160"/>
      </w:pPr>
      <w:r>
        <w:rPr>
          <w:rFonts w:ascii="Arial" w:cs="Arial" w:eastAsia="Arial" w:hAnsi="Arial"/>
          <w:sz w:val="22"/>
          <w:szCs w:val="22"/>
        </w:rPr>
        <w:t xml:space="preserve">Wir setzen sowohl eigene als auch sorgfältig ausgewählte freie Trainerinnen und Trainer ein, die alle vertraglichen Verpflichtungen (insbesondere Vertraulichkeit und Datenschutz) übernehmen. Vor Beauftragung benennen wir die für Ihr Programm vorgesehenen Personen.</w:t>
      </w:r>
    </w:p>
    <w:p>
      <w:pPr>
        <w:pStyle w:val="Heading1"/>
      </w:pPr>
      <w:r>
        <w:rPr>
          <w:rFonts w:ascii="Arial" w:cs="Arial" w:eastAsia="Arial" w:hAnsi="Arial"/>
          <w:b/>
          <w:bCs/>
          <w:sz w:val="22"/>
          <w:szCs w:val="22"/>
        </w:rPr>
        <w:t xml:space="preserve">11. Angebotsgültigkeit und Rechtsstand</w:t>
      </w:r>
    </w:p>
    <w:p>
      <w:pPr>
        <w:spacing w:after="160"/>
      </w:pPr>
      <w:r>
        <w:rPr>
          <w:rFonts w:ascii="Arial" w:cs="Arial" w:eastAsia="Arial" w:hAnsi="Arial"/>
          <w:sz w:val="22"/>
          <w:szCs w:val="22"/>
        </w:rPr>
        <w:t xml:space="preserve">Die Gültigkeit des jeweiligen Angebots ist im Angebot selbst ausgewiesen. Es gilt deutsches Recht; Erfüllungsort und Gerichtsstand ist Köln, soweit gesetzlich zulässig. Mündliche Nebenabreden bestehen nicht; Änderungen bedürfen der Textform.</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B700" w:sz="4" w:space="4"/>
      </w:pBdr>
      <w:spacing w:before="80"/>
    </w:pPr>
    <w:r>
      <w:rPr>
        <w:rFonts w:ascii="Arial" w:cs="Arial" w:eastAsia="Arial" w:hAnsi="Arial"/>
        <w:color w:val="666666"/>
        <w:sz w:val="16"/>
        <w:szCs w:val="16"/>
      </w:rPr>
      <w:t xml:space="preserve">Yellow-Boat Consulting Martin Lang  ·  Nußbaumerstraße 26  ·  50823 Köln  ·  USt-IdNr.: DE306698587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B700" w:sz="4" w:space="4"/>
      </w:pBdr>
      <w:spacing w:after="80"/>
    </w:pPr>
    <w:r>
      <w:rPr>
        <w:rFonts w:ascii="Arial" w:cs="Arial" w:eastAsia="Arial" w:hAnsi="Arial"/>
        <w:color w:val="666666"/>
        <w:sz w:val="16"/>
        <w:szCs w:val="16"/>
      </w:rPr>
      <w:t xml:space="preserve">Yellow-Boat Consulting  ·  Martin Lang  ·  Nußbaumerstraße 26  ·  50823 Köln  ·  martin@yellow-boat.com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2026-05-27T09:58:25.561Z</dcterms:created>
  <dcterms:modified xsi:type="dcterms:W3CDTF">2026-05-27T09:58:25.561Z</dcterms:modified>
</cp:coreProperties>
</file>

<file path=docProps/custom.xml><?xml version="1.0" encoding="utf-8"?>
<Properties xmlns="http://schemas.openxmlformats.org/officeDocument/2006/custom-properties" xmlns:vt="http://schemas.openxmlformats.org/officeDocument/2006/docPropsVTypes"/>
</file>