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0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8700"/>
        <w:tblGridChange w:id="0">
          <w:tblGrid>
            <w:gridCol w:w="2505"/>
            <w:gridCol w:w="87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Victor Silva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Martin Soto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4+1 del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Optimizador de Cobranza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UML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Lógica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467350" cy="40386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03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Componentes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057775" cy="401955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Física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</w:tr>
      <w:tr>
        <w:trPr>
          <w:cantSplit w:val="0"/>
          <w:trHeight w:val="5925" w:hRule="atLeast"/>
          <w:tblHeader w:val="0"/>
        </w:trPr>
        <w:tc>
          <w:tcPr>
            <w:tcBorders>
              <w:top w:color="ffffff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4394" cy="2751004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394" cy="2751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467350" cy="32258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ffffff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Escenarios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467350" cy="46609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66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H/Q4G/Z9q36s8rPKSbOpiMKqig==">CgMxLjA4AHIhMTdHamF1N2RNcENMLUh0dGtVcTRJR3NoeHBFa1hHOUZ0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