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1F3864"/>
          <w:sz w:val="64"/>
          <w:szCs w:val="64"/>
        </w:rPr>
        <w:t xml:space="preserve">GlazeBid v2</w:t>
      </w:r>
    </w:p>
    <w:p>
      <w:pPr>
        <w:spacing w:after="120" w:before="0"/>
        <w:jc w:val="center"/>
      </w:pPr>
      <w:r>
        <w:rPr>
          <w:rFonts w:ascii="Arial" w:cs="Arial" w:eastAsia="Arial" w:hAnsi="Arial"/>
          <w:color w:val="2E5FA3"/>
          <w:sz w:val="36"/>
          <w:szCs w:val="36"/>
        </w:rPr>
        <w:t xml:space="preserve">Competitive Takeover Strategy</w:t>
      </w:r>
    </w:p>
    <w:p>
      <w:pPr>
        <w:pBdr>
          <w:bottom w:val="single" w:color="2E5FA3" w:sz="8" w:space="8"/>
        </w:pBdr>
        <w:spacing w:after="80" w:before="0"/>
        <w:jc w:val="center"/>
      </w:pPr>
      <w:r>
        <w:rPr>
          <w:rFonts w:ascii="Arial" w:cs="Arial" w:eastAsia="Arial" w:hAnsi="Arial"/>
          <w:i/>
          <w:iCs/>
          <w:color w:val="555555"/>
          <w:sz w:val="26"/>
          <w:szCs w:val="26"/>
        </w:rPr>
        <w:t xml:space="preserve">Displacing PartnerPak &amp; Glazier Studio</w:t>
      </w:r>
    </w:p>
    <w:p>
      <w:pPr>
        <w:spacing w:before="200"/>
      </w:pPr>
      <w:r>
        <w:t xml:space="preserve"/>
      </w:r>
    </w:p>
    <w:p>
      <w:pPr>
        <w:jc w:val="center"/>
      </w:pPr>
      <w:r>
        <w:rPr>
          <w:rFonts w:ascii="Arial" w:cs="Arial" w:eastAsia="Arial" w:hAnsi="Arial"/>
          <w:color w:val="999999"/>
          <w:sz w:val="20"/>
          <w:szCs w:val="20"/>
        </w:rPr>
        <w:t xml:space="preserve">Prepared for Internal Use  |  GlazeBid Development Team</w:t>
      </w:r>
    </w:p>
    <w:p>
      <w:pPr>
        <w:spacing w:before="400"/>
      </w:pPr>
      <w:r>
        <w:br/>
      </w:r>
    </w:p>
    <w:p>
      <w:pPr>
        <w:pStyle w:val="Heading1"/>
      </w:pPr>
      <w:r>
        <w:t xml:space="preserve">The Core Premise</w:t>
      </w:r>
    </w:p>
    <w:p>
      <w:pPr>
        <w:spacing w:after="160"/>
      </w:pPr>
      <w:r>
        <w:rPr>
          <w:rFonts w:ascii="Arial" w:cs="Arial" w:eastAsia="Arial" w:hAnsi="Arial"/>
          <w:sz w:val="22"/>
          <w:szCs w:val="22"/>
        </w:rPr>
        <w:t xml:space="preserve">GlazeBid does not beat PartnerPak by matching it feature-for-feature. It beats it by making the estimator's entire day faster — from drawing to BOM to bid number — in a way PP structurally cannot replicate. Every decision in this plan should be evaluated against that single standard.</w:t>
      </w:r>
    </w:p>
    <w:p>
      <w:pPr>
        <w:spacing w:after="200"/>
      </w:pPr>
      <w:r>
        <w:rPr>
          <w:rFonts w:ascii="Arial" w:cs="Arial" w:eastAsia="Arial" w:hAnsi="Arial"/>
          <w:sz w:val="22"/>
          <w:szCs w:val="22"/>
        </w:rPr>
        <w:t xml:space="preserve">PartnerPak and Glazier Studio are dominant not because they are good software, but because they have been the only option for a long time. The architecture is aging: Windows-only, local database, .dat file collaboration, no drawing intelligence, no cloud, no API, and a Level 1/2/3/4 subscription model that gates standard features behind premium tiers. The gap between what exists and what is possible is substantial.</w:t>
      </w:r>
    </w:p>
    <w:p>
      <w:pPr>
        <w:pStyle w:val="Heading1"/>
      </w:pPr>
      <w:r>
        <w:t xml:space="preserve">Phase 1 — The Unbreakable Foundation</w:t>
      </w:r>
    </w:p>
    <w:p>
      <w:pPr>
        <w:spacing w:after="160"/>
      </w:pPr>
      <w:r>
        <w:rPr>
          <w:rFonts w:ascii="Arial" w:cs="Arial" w:eastAsia="Arial" w:hAnsi="Arial"/>
          <w:color w:val="555555"/>
          <w:sz w:val="22"/>
          <w:szCs w:val="22"/>
        </w:rPr>
        <w:t xml:space="preserve">You cannot take market share if the basics are not solid. GlazeBid must handle every frame type PartnerPak handles, without workarounds.</w:t>
      </w:r>
    </w:p>
    <w:p>
      <w:pPr>
        <w:pStyle w:val="Heading2"/>
      </w:pPr>
      <w:r>
        <w:t xml:space="preserve">Parametric Frame Builder</w:t>
      </w:r>
    </w:p>
    <w:p>
      <w:pPr>
        <w:spacing w:after="80"/>
      </w:pPr>
      <w:r>
        <w:rPr>
          <w:rFonts w:ascii="Arial" w:cs="Arial" w:eastAsia="Arial" w:hAnsi="Arial"/>
          <w:sz w:val="22"/>
          <w:szCs w:val="22"/>
        </w:rPr>
        <w:t xml:space="preserve">This is the table stakes — the equivalent of PP's Graphic Editor. It must support:</w:t>
      </w:r>
    </w:p>
    <w:p>
      <w:pPr>
        <w:pStyle w:val="ListParagraph"/>
        <w:numPr>
          <w:ilvl w:val="0"/>
          <w:numId w:val="2"/>
        </w:numPr>
        <w:spacing w:after="60"/>
      </w:pPr>
      <w:r>
        <w:rPr>
          <w:rFonts w:ascii="Arial" w:cs="Arial" w:eastAsia="Arial" w:hAnsi="Arial"/>
          <w:sz w:val="22"/>
          <w:szCs w:val="22"/>
        </w:rPr>
        <w:t xml:space="preserve">Standard storefront: rectangular frames, multi-panel/row, bulkhead and soffit conditions</w:t>
      </w:r>
    </w:p>
    <w:p>
      <w:pPr>
        <w:pStyle w:val="ListParagraph"/>
        <w:numPr>
          <w:ilvl w:val="0"/>
          <w:numId w:val="2"/>
        </w:numPr>
        <w:spacing w:after="60"/>
      </w:pPr>
      <w:r>
        <w:rPr>
          <w:rFonts w:ascii="Arial" w:cs="Arial" w:eastAsia="Arial" w:hAnsi="Arial"/>
          <w:sz w:val="22"/>
          <w:szCs w:val="22"/>
        </w:rPr>
        <w:t xml:space="preserve">Doors: single, pair, and double, with full hardware configuration in a Door Configurator</w:t>
      </w:r>
    </w:p>
    <w:p>
      <w:pPr>
        <w:pStyle w:val="ListParagraph"/>
        <w:numPr>
          <w:ilvl w:val="0"/>
          <w:numId w:val="2"/>
        </w:numPr>
        <w:spacing w:after="60"/>
      </w:pPr>
      <w:r>
        <w:rPr>
          <w:rFonts w:ascii="Arial" w:cs="Arial" w:eastAsia="Arial" w:hAnsi="Arial"/>
          <w:sz w:val="22"/>
          <w:szCs w:val="22"/>
        </w:rPr>
        <w:t xml:space="preserve">Curtain wall: anchor points, splice locations, expansion mullions, flush vs. adapter door frames</w:t>
      </w:r>
    </w:p>
    <w:p>
      <w:pPr>
        <w:pStyle w:val="ListParagraph"/>
        <w:numPr>
          <w:ilvl w:val="0"/>
          <w:numId w:val="2"/>
        </w:numPr>
        <w:spacing w:after="60"/>
      </w:pPr>
      <w:r>
        <w:rPr>
          <w:rFonts w:ascii="Arial" w:cs="Arial" w:eastAsia="Arial" w:hAnsi="Arial"/>
          <w:sz w:val="22"/>
          <w:szCs w:val="22"/>
        </w:rPr>
        <w:t xml:space="preserve">Out-of-square: trapezoids, domes, half-circles, arcs, tilted sticks, sunburst patterns</w:t>
      </w:r>
    </w:p>
    <w:p>
      <w:pPr>
        <w:pStyle w:val="ListParagraph"/>
        <w:numPr>
          <w:ilvl w:val="0"/>
          <w:numId w:val="2"/>
        </w:numPr>
        <w:spacing w:after="60"/>
      </w:pPr>
      <w:r>
        <w:rPr>
          <w:rFonts w:ascii="Arial" w:cs="Arial" w:eastAsia="Arial" w:hAnsi="Arial"/>
          <w:sz w:val="22"/>
          <w:szCs w:val="22"/>
        </w:rPr>
        <w:t xml:space="preserve">Corner conditions via ghost/null members that affect geometry and hardware counts but not the cut list</w:t>
      </w:r>
    </w:p>
    <w:p>
      <w:pPr>
        <w:pStyle w:val="ListParagraph"/>
        <w:numPr>
          <w:ilvl w:val="0"/>
          <w:numId w:val="2"/>
        </w:numPr>
        <w:spacing w:after="60"/>
      </w:pPr>
      <w:r>
        <w:rPr>
          <w:rFonts w:ascii="Arial" w:cs="Arial" w:eastAsia="Arial" w:hAnsi="Arial"/>
          <w:sz w:val="22"/>
          <w:szCs w:val="22"/>
        </w:rPr>
        <w:t xml:space="preserve">Assemblies: multi-part bundles with per-foot or per-stick hardware frequencies under a single product code</w:t>
      </w:r>
    </w:p>
    <w:p>
      <w:pPr>
        <w:spacing w:after="200" w:before="160"/>
      </w:pPr>
      <w:r>
        <w:rPr>
          <w:rFonts w:ascii="Arial" w:cs="Arial" w:eastAsia="Arial" w:hAnsi="Arial"/>
          <w:sz w:val="22"/>
          <w:szCs w:val="22"/>
        </w:rPr>
        <w:t xml:space="preserve">The single most important UX improvement over PartnerPak: </w:t>
      </w:r>
      <w:r>
        <w:rPr>
          <w:rFonts w:ascii="Arial" w:cs="Arial" w:eastAsia="Arial" w:hAnsi="Arial"/>
          <w:b/>
          <w:bCs/>
          <w:color w:val="C0392B"/>
          <w:sz w:val="22"/>
          <w:szCs w:val="22"/>
        </w:rPr>
        <w:t xml:space="preserve">constraint-aware, not sequence-dependent. </w:t>
      </w:r>
      <w:r>
        <w:rPr>
          <w:rFonts w:ascii="Arial" w:cs="Arial" w:eastAsia="Arial" w:hAnsi="Arial"/>
          <w:sz w:val="22"/>
          <w:szCs w:val="22"/>
        </w:rPr>
        <w:t xml:space="preserve">An estimator inserts a door and adjacent DLOs recalculate automatically. No Rules of Thumb. No rework.</w:t>
      </w:r>
    </w:p>
    <w:p>
      <w:pPr>
        <w:pStyle w:val="Heading2"/>
      </w:pPr>
      <w:r>
        <w:t xml:space="preserve">Multi-Manufacturer Metal System Catalog</w:t>
      </w:r>
    </w:p>
    <w:p>
      <w:pPr>
        <w:spacing w:after="80"/>
      </w:pPr>
      <w:r>
        <w:rPr>
          <w:rFonts w:ascii="Arial" w:cs="Arial" w:eastAsia="Arial" w:hAnsi="Arial"/>
          <w:sz w:val="22"/>
          <w:szCs w:val="22"/>
        </w:rPr>
        <w:t xml:space="preserve">PartnerPak is a Kawneer sales tool that doubles as an estimating platform. Its Metal Group database is manufacturer-agnostic in theory but Kawneer-specific in practice. GlazeBid must make every manufacturer a first-class citizen from day one:</w:t>
      </w:r>
    </w:p>
    <w:p>
      <w:pPr>
        <w:pStyle w:val="ListParagraph"/>
        <w:numPr>
          <w:ilvl w:val="0"/>
          <w:numId w:val="2"/>
        </w:numPr>
        <w:spacing w:after="60"/>
      </w:pPr>
      <w:r>
        <w:rPr>
          <w:rFonts w:ascii="Arial" w:cs="Arial" w:eastAsia="Arial" w:hAnsi="Arial"/>
          <w:sz w:val="22"/>
          <w:szCs w:val="22"/>
        </w:rPr>
        <w:t xml:space="preserve">Kawneer, Tubelite, YKK, EFCO, Oldcastle, and custom fabricated systems all use the same catalog structure</w:t>
      </w:r>
    </w:p>
    <w:p>
      <w:pPr>
        <w:pStyle w:val="ListParagraph"/>
        <w:numPr>
          <w:ilvl w:val="0"/>
          <w:numId w:val="2"/>
        </w:numPr>
        <w:spacing w:after="60"/>
      </w:pPr>
      <w:r>
        <w:rPr>
          <w:rFonts w:ascii="Arial" w:cs="Arial" w:eastAsia="Arial" w:hAnsi="Arial"/>
          <w:sz w:val="22"/>
          <w:szCs w:val="22"/>
        </w:rPr>
        <w:t xml:space="preserve">Back members, face members, pressure plates, stops, sill/head assemblies, hardware, glass bite, framing width — all manufacturer-neutral fields</w:t>
      </w:r>
    </w:p>
    <w:p>
      <w:pPr>
        <w:pStyle w:val="ListParagraph"/>
        <w:numPr>
          <w:ilvl w:val="0"/>
          <w:numId w:val="2"/>
        </w:numPr>
        <w:spacing w:after="60"/>
      </w:pPr>
      <w:r>
        <w:rPr>
          <w:rFonts w:ascii="Arial" w:cs="Arial" w:eastAsia="Arial" w:hAnsi="Arial"/>
          <w:sz w:val="22"/>
          <w:szCs w:val="22"/>
        </w:rPr>
        <w:t xml:space="preserve">This alone opens GlazeBid to the majority of glazing shops that PartnerPak cannot fully serve</w:t>
      </w:r>
    </w:p>
    <w:p>
      <w:pPr>
        <w:spacing w:before="100"/>
      </w:pPr>
      <w:r>
        <w:t xml:space="preserve"/>
      </w:r>
    </w:p>
    <w:p>
      <w:pPr>
        <w:pStyle w:val="Heading2"/>
      </w:pPr>
      <w:r>
        <w:t xml:space="preserve">BOM and Pricing Engine</w:t>
      </w:r>
    </w:p>
    <w:p>
      <w:pPr>
        <w:spacing w:after="240"/>
      </w:pPr>
      <w:r>
        <w:rPr>
          <w:rFonts w:ascii="Arial" w:cs="Arial" w:eastAsia="Arial" w:hAnsi="Arial"/>
          <w:sz w:val="22"/>
          <w:szCs w:val="22"/>
        </w:rPr>
        <w:t xml:space="preserve">Every frame generates a live, accurate BOM. Pricing pulls from manufacturer list price × contractor discount × markup, with labor computed from configurable labor rates for storefront, stick, curtain wall, entrance, and caulking types. The recap number must be trustworthy — estimators' jobs are on the line.</w:t>
      </w:r>
    </w:p>
    <w:p>
      <w:pPr>
        <w:pStyle w:val="Heading1"/>
      </w:pPr>
      <w:r>
        <w:t xml:space="preserve">Phase 2 — The Moat</w:t>
      </w:r>
    </w:p>
    <w:p>
      <w:pPr>
        <w:spacing w:after="160"/>
      </w:pPr>
      <w:r>
        <w:rPr>
          <w:rFonts w:ascii="Arial" w:cs="Arial" w:eastAsia="Arial" w:hAnsi="Arial"/>
          <w:color w:val="555555"/>
          <w:sz w:val="22"/>
          <w:szCs w:val="22"/>
        </w:rPr>
        <w:t xml:space="preserve">These are the features PartnerPak structurally cannot build. They require a ground-up redesign to replicate — which means they are durable competitive advantages, not temporary leads.</w:t>
      </w:r>
    </w:p>
    <w:p>
      <w:pPr>
        <w:pStyle w:val="Heading2"/>
      </w:pPr>
      <w:r>
        <w:t xml:space="preserve">AiQ → Frame Auto-Population</w:t>
      </w:r>
    </w:p>
    <w:p>
      <w:pPr>
        <w:spacing w:after="80"/>
      </w:pPr>
      <w:r>
        <w:rPr>
          <w:rFonts w:ascii="Arial" w:cs="Arial" w:eastAsia="Arial" w:hAnsi="Arial"/>
          <w:sz w:val="22"/>
          <w:szCs w:val="22"/>
        </w:rPr>
        <w:t xml:space="preserve">This is the killer feature. PartnerPak requires the estimator to manually read a drawing, count bays and rows, measure dimensions, and type everything in. GlazeBid's AiQ engine detects frames from architectural PDFs and populates the frame builder with panel count, row count, width, height, and infill zones automatically. The estimator reviews and confirms rather than transcribes.</w:t>
      </w:r>
    </w:p>
    <w:p>
      <w:pPr>
        <w:spacing w:after="200"/>
      </w:pPr>
      <w:r>
        <w:rPr>
          <w:rFonts w:ascii="Arial" w:cs="Arial" w:eastAsia="Arial" w:hAnsi="Arial"/>
          <w:b/>
          <w:bCs/>
          <w:color w:val="2E5FA3"/>
          <w:sz w:val="22"/>
          <w:szCs w:val="22"/>
        </w:rPr>
        <w:t xml:space="preserve">On a 20-frame project this is potentially hours saved per bid. No incumbent can replicate this without rebuilding from scratch. This is the moat.</w:t>
      </w:r>
    </w:p>
    <w:p>
      <w:pPr>
        <w:pStyle w:val="Heading2"/>
      </w:pPr>
      <w:r>
        <w:t xml:space="preserve">Cloud-Native Collaboration</w:t>
      </w:r>
    </w:p>
    <w:p>
      <w:pPr>
        <w:spacing w:after="200"/>
      </w:pPr>
      <w:r>
        <w:rPr>
          <w:rFonts w:ascii="Arial" w:cs="Arial" w:eastAsia="Arial" w:hAnsi="Arial"/>
          <w:sz w:val="22"/>
          <w:szCs w:val="22"/>
        </w:rPr>
        <w:t xml:space="preserve">PartnerPak shares projects via .dat file email attachments. GlazeBid projects should live in the cloud — shareable by link, multi-user editable, with version history. A project manager and an estimator should be able to work on the same job simultaneously. This is a baseline expectation for any modern software and a meaningful daily friction point for every PP user.</w:t>
      </w:r>
    </w:p>
    <w:p>
      <w:pPr>
        <w:pStyle w:val="Heading2"/>
      </w:pPr>
      <w:r>
        <w:t xml:space="preserve">Live Optimization Embedded in the Builder</w:t>
      </w:r>
    </w:p>
    <w:p>
      <w:pPr>
        <w:spacing w:after="240"/>
      </w:pPr>
      <w:r>
        <w:rPr>
          <w:rFonts w:ascii="Arial" w:cs="Arial" w:eastAsia="Arial" w:hAnsi="Arial"/>
          <w:sz w:val="22"/>
          <w:szCs w:val="22"/>
        </w:rPr>
        <w:t xml:space="preserve">PartnerPak treats glass optimization and metal cut lists as separate reports you run after building frames. GlazeBid should surface sheet count, material utilization percentage, and cut waste as live metrics while the estimator builds. This converts optimization from a post-process report into a design tool — the estimator sees in real time if a dimension change saves a sheet of glass.</w:t>
      </w:r>
    </w:p>
    <w:p>
      <w:pPr>
        <w:pStyle w:val="Heading1"/>
      </w:pPr>
      <w:r>
        <w:t xml:space="preserve">Phase 3 — The Ecosystem Lock-In</w:t>
      </w:r>
    </w:p>
    <w:p>
      <w:pPr>
        <w:spacing w:after="160"/>
      </w:pPr>
      <w:r>
        <w:rPr>
          <w:rFonts w:ascii="Arial" w:cs="Arial" w:eastAsia="Arial" w:hAnsi="Arial"/>
          <w:color w:val="555555"/>
          <w:sz w:val="22"/>
          <w:szCs w:val="22"/>
        </w:rPr>
        <w:t xml:space="preserve">These features create switching costs in GlazeBid's favor — the longer a shop uses the platform, the harder it becomes to leave.</w:t>
      </w:r>
    </w:p>
    <w:p>
      <w:pPr>
        <w:pStyle w:val="Heading2"/>
      </w:pPr>
      <w:r>
        <w:t xml:space="preserve">Alternate Bid with Diff View</w:t>
      </w:r>
    </w:p>
    <w:p>
      <w:pPr>
        <w:spacing w:after="200"/>
      </w:pPr>
      <w:r>
        <w:rPr>
          <w:rFonts w:ascii="Arial" w:cs="Arial" w:eastAsia="Arial" w:hAnsi="Arial"/>
          <w:sz w:val="22"/>
          <w:szCs w:val="22"/>
        </w:rPr>
        <w:t xml:space="preserve">PartnerPak's Alt Bid function — swapping a metal system across a frameset and repricing without re-entering elevations — is genuinely useful. GlazeBid should do this with a visual diff: here is what changed, here is the cost delta, here is any geometry that needs review. This becomes a sales tool: an estimator can hand a GC two bid options in the same session.</w:t>
      </w:r>
    </w:p>
    <w:p>
      <w:pPr>
        <w:pStyle w:val="Heading2"/>
      </w:pPr>
      <w:r>
        <w:t xml:space="preserve">Structural Analysis Standard, Not Gated</w:t>
      </w:r>
    </w:p>
    <w:p>
      <w:pPr>
        <w:spacing w:after="200"/>
      </w:pPr>
      <w:r>
        <w:rPr>
          <w:rFonts w:ascii="Arial" w:cs="Arial" w:eastAsia="Arial" w:hAnsi="Arial"/>
          <w:sz w:val="22"/>
          <w:szCs w:val="22"/>
        </w:rPr>
        <w:t xml:space="preserve">PartnerPak locks wind load and dead load analysis behind Level 2. In GlazeBid it should be standard — every frame gets structural validation as part of the normal build flow, with flagging when a member is undersized for the configured wind zone. This is a liability and quality argument as much as a features argument.</w:t>
      </w:r>
    </w:p>
    <w:p>
      <w:pPr>
        <w:pStyle w:val="Heading2"/>
      </w:pPr>
      <w:r>
        <w:t xml:space="preserve">Shop Drawings Without a CAD License</w:t>
      </w:r>
    </w:p>
    <w:p>
      <w:pPr>
        <w:spacing w:after="200"/>
      </w:pPr>
      <w:r>
        <w:rPr>
          <w:rFonts w:ascii="Arial" w:cs="Arial" w:eastAsia="Arial" w:hAnsi="Arial"/>
          <w:sz w:val="22"/>
          <w:szCs w:val="22"/>
        </w:rPr>
        <w:t xml:space="preserve">PartnerPak requires Level 4 plus a separate FastCAD or AutoCAD purchase to generate shop drawings. GlazeBid should output clean, dimensioned, printable PDF shop drawings with elevations and section cuts directly — no third-party dependency, no extra license cost. For smaller shops without AutoCAD, this alone justifies the switch.</w:t>
      </w:r>
    </w:p>
    <w:p>
      <w:pPr>
        <w:pStyle w:val="Heading2"/>
      </w:pPr>
      <w:r>
        <w:t xml:space="preserve">Citation Intelligence — The Memory PartnerPak Doesn't Have</w:t>
      </w:r>
    </w:p>
    <w:p>
      <w:pPr>
        <w:spacing w:after="240"/>
      </w:pPr>
      <w:r>
        <w:rPr>
          <w:rFonts w:ascii="Arial" w:cs="Arial" w:eastAsia="Arial" w:hAnsi="Arial"/>
          <w:sz w:val="22"/>
          <w:szCs w:val="22"/>
        </w:rPr>
        <w:t xml:space="preserve">The Citation System is already built. As it accumulates data across bids, GlazeBid starts to surface patterns: this estimator consistently upgrades to tempered in panels within 24" of a door opening, this job type runs 12% over material budget, this metal system has a 3-week lead time in Q4. PartnerPak has no memory. GlazeBid gets smarter with every bid placed on the platform.</w:t>
      </w:r>
    </w:p>
    <w:p>
      <w:pPr>
        <w:pStyle w:val="Heading1"/>
      </w:pPr>
      <w:r>
        <w:t xml:space="preserve">Phase 4 — Market Entry</w:t>
      </w:r>
    </w:p>
    <w:p>
      <w:pPr>
        <w:spacing w:after="160"/>
      </w:pPr>
      <w:r>
        <w:rPr>
          <w:rFonts w:ascii="Arial" w:cs="Arial" w:eastAsia="Arial" w:hAnsi="Arial"/>
          <w:color w:val="555555"/>
          <w:sz w:val="22"/>
          <w:szCs w:val="22"/>
        </w:rPr>
        <w:t xml:space="preserve">Knowing what to build is half the equation. Getting it in front of the right shops at the right moment is the other half.</w:t>
      </w:r>
    </w:p>
    <w:p>
      <w:pPr>
        <w:pStyle w:val="Heading2"/>
      </w:pPr>
      <w:r>
        <w:t xml:space="preserve">Target the Pain Points First</w:t>
      </w:r>
    </w:p>
    <w:p>
      <w:pPr>
        <w:spacing w:after="80"/>
      </w:pPr>
      <w:r>
        <w:rPr>
          <w:rFonts w:ascii="Arial" w:cs="Arial" w:eastAsia="Arial" w:hAnsi="Arial"/>
          <w:sz w:val="22"/>
          <w:szCs w:val="22"/>
        </w:rPr>
        <w:t xml:space="preserve">The highest-leverage early adopters are estimators who:</w:t>
      </w:r>
    </w:p>
    <w:p>
      <w:pPr>
        <w:pStyle w:val="ListParagraph"/>
        <w:numPr>
          <w:ilvl w:val="0"/>
          <w:numId w:val="2"/>
        </w:numPr>
        <w:spacing w:after="60"/>
      </w:pPr>
      <w:r>
        <w:rPr>
          <w:rFonts w:ascii="Arial" w:cs="Arial" w:eastAsia="Arial" w:hAnsi="Arial"/>
          <w:sz w:val="22"/>
          <w:szCs w:val="22"/>
        </w:rPr>
        <w:t xml:space="preserve">Work with multiple manufacturers — immediately underserved by PP's Kawneer lock-in</w:t>
      </w:r>
    </w:p>
    <w:p>
      <w:pPr>
        <w:pStyle w:val="ListParagraph"/>
        <w:numPr>
          <w:ilvl w:val="0"/>
          <w:numId w:val="2"/>
        </w:numPr>
        <w:spacing w:after="60"/>
      </w:pPr>
      <w:r>
        <w:rPr>
          <w:rFonts w:ascii="Arial" w:cs="Arial" w:eastAsia="Arial" w:hAnsi="Arial"/>
          <w:sz w:val="22"/>
          <w:szCs w:val="22"/>
        </w:rPr>
        <w:t xml:space="preserve">Bid 10+ jobs per week — AiQ ROI is highest at volume</w:t>
      </w:r>
    </w:p>
    <w:p>
      <w:pPr>
        <w:pStyle w:val="ListParagraph"/>
        <w:numPr>
          <w:ilvl w:val="0"/>
          <w:numId w:val="2"/>
        </w:numPr>
        <w:spacing w:after="60"/>
      </w:pPr>
      <w:r>
        <w:rPr>
          <w:rFonts w:ascii="Arial" w:cs="Arial" w:eastAsia="Arial" w:hAnsi="Arial"/>
          <w:sz w:val="22"/>
          <w:szCs w:val="22"/>
        </w:rPr>
        <w:t xml:space="preserve">Are tired of paying Level 3/4 subscription prices for features that belong in a baseline tool</w:t>
      </w:r>
    </w:p>
    <w:p>
      <w:pPr>
        <w:pStyle w:val="ListParagraph"/>
        <w:numPr>
          <w:ilvl w:val="0"/>
          <w:numId w:val="2"/>
        </w:numPr>
        <w:spacing w:after="60"/>
      </w:pPr>
      <w:r>
        <w:rPr>
          <w:rFonts w:ascii="Arial" w:cs="Arial" w:eastAsia="Arial" w:hAnsi="Arial"/>
          <w:sz w:val="22"/>
          <w:szCs w:val="22"/>
        </w:rPr>
        <w:t xml:space="preserve">Work at firms where the PM and estimator are different people — collaboration pain is daily</w:t>
      </w:r>
    </w:p>
    <w:p>
      <w:pPr>
        <w:spacing w:before="100"/>
      </w:pPr>
      <w:r>
        <w:t xml:space="preserve"/>
      </w:r>
    </w:p>
    <w:p>
      <w:pPr>
        <w:pStyle w:val="Heading2"/>
      </w:pPr>
      <w:r>
        <w:t xml:space="preserve">Pricing Model</w:t>
      </w:r>
    </w:p>
    <w:p>
      <w:pPr>
        <w:spacing w:after="200"/>
      </w:pPr>
      <w:r>
        <w:rPr>
          <w:rFonts w:ascii="Arial" w:cs="Arial" w:eastAsia="Arial" w:hAnsi="Arial"/>
          <w:sz w:val="22"/>
          <w:szCs w:val="22"/>
        </w:rPr>
        <w:t xml:space="preserve">PartnerPak charges per-seat with feature tiers. GlazeBid should be flat per-seat with full features — no Level 1/2/3/4 tax on doing your job. The message is simple: </w:t>
      </w:r>
      <w:r>
        <w:rPr>
          <w:rFonts w:ascii="Arial" w:cs="Arial" w:eastAsia="Arial" w:hAnsi="Arial"/>
          <w:b/>
          <w:bCs/>
          <w:sz w:val="22"/>
          <w:szCs w:val="22"/>
        </w:rPr>
        <w:t xml:space="preserve">everything PP charges extra for is included.</w:t>
      </w:r>
    </w:p>
    <w:p>
      <w:pPr>
        <w:pStyle w:val="Heading2"/>
      </w:pPr>
      <w:r>
        <w:t xml:space="preserve">The First 10 Shops Are the Proof Case</w:t>
      </w:r>
    </w:p>
    <w:p>
      <w:pPr>
        <w:spacing w:after="240"/>
      </w:pPr>
      <w:r>
        <w:rPr>
          <w:rFonts w:ascii="Arial" w:cs="Arial" w:eastAsia="Arial" w:hAnsi="Arial"/>
          <w:sz w:val="22"/>
          <w:szCs w:val="22"/>
        </w:rPr>
        <w:t xml:space="preserve">With 15 years of domain expertise, you can sit with an estimator, run a real bid side-by-side against PartnerPak, and demonstrate the time difference. If GlazeBid takes a 20-frame project from drawing to recap in half the time, word travels fast. Glazing is a small world. The first 10 shops are not just customers — they are the sales force.</w:t>
      </w:r>
    </w:p>
    <w:p>
      <w:pPr>
        <w:pStyle w:val="Heading1"/>
      </w:pPr>
      <w:r>
        <w:t xml:space="preserve">Honest Prioritization</w:t>
      </w:r>
    </w:p>
    <w:p>
      <w:pPr>
        <w:spacing w:after="120"/>
      </w:pPr>
      <w:r>
        <w:rPr>
          <w:rFonts w:ascii="Arial" w:cs="Arial" w:eastAsia="Arial" w:hAnsi="Arial"/>
          <w:sz w:val="22"/>
          <w:szCs w:val="22"/>
        </w:rPr>
        <w:t xml:space="preserve">If everything must be sequenced, build in this order:</w:t>
      </w:r>
    </w:p>
    <w:p>
      <w:pPr>
        <w:spacing w:after="100"/>
        <w:ind w:left="360"/>
      </w:pPr>
      <w:r>
        <w:rPr>
          <w:rFonts w:ascii="Arial" w:cs="Arial" w:eastAsia="Arial" w:hAnsi="Arial"/>
          <w:b/>
          <w:bCs/>
          <w:color w:val="2E5FA3"/>
          <w:sz w:val="22"/>
          <w:szCs w:val="22"/>
        </w:rPr>
        <w:t xml:space="preserve">1.  </w:t>
      </w:r>
      <w:r>
        <w:rPr>
          <w:rFonts w:ascii="Arial" w:cs="Arial" w:eastAsia="Arial" w:hAnsi="Arial"/>
          <w:b/>
          <w:bCs/>
          <w:sz w:val="22"/>
          <w:szCs w:val="22"/>
        </w:rPr>
        <w:t xml:space="preserve">Frame builder correctness: </w:t>
      </w:r>
      <w:r>
        <w:rPr>
          <w:rFonts w:ascii="Arial" w:cs="Arial" w:eastAsia="Arial" w:hAnsi="Arial"/>
          <w:color w:val="555555"/>
          <w:sz w:val="22"/>
          <w:szCs w:val="22"/>
        </w:rPr>
        <w:t xml:space="preserve">Must produce the right BOM and the right number, every time, without workarounds. This is the foundation everything else sits on.</w:t>
      </w:r>
    </w:p>
    <w:p>
      <w:pPr>
        <w:spacing w:after="100"/>
        <w:ind w:left="360"/>
      </w:pPr>
      <w:r>
        <w:rPr>
          <w:rFonts w:ascii="Arial" w:cs="Arial" w:eastAsia="Arial" w:hAnsi="Arial"/>
          <w:b/>
          <w:bCs/>
          <w:color w:val="2E5FA3"/>
          <w:sz w:val="22"/>
          <w:szCs w:val="22"/>
        </w:rPr>
        <w:t xml:space="preserve">2.  </w:t>
      </w:r>
      <w:r>
        <w:rPr>
          <w:rFonts w:ascii="Arial" w:cs="Arial" w:eastAsia="Arial" w:hAnsi="Arial"/>
          <w:b/>
          <w:bCs/>
          <w:sz w:val="22"/>
          <w:szCs w:val="22"/>
        </w:rPr>
        <w:t xml:space="preserve">AiQ → frame population pipeline: </w:t>
      </w:r>
      <w:r>
        <w:rPr>
          <w:rFonts w:ascii="Arial" w:cs="Arial" w:eastAsia="Arial" w:hAnsi="Arial"/>
          <w:color w:val="555555"/>
          <w:sz w:val="22"/>
          <w:szCs w:val="22"/>
        </w:rPr>
        <w:t xml:space="preserve">The differentiation no one else has. Drawing in, frames out. This is the reason estimators switch.</w:t>
      </w:r>
    </w:p>
    <w:p>
      <w:pPr>
        <w:spacing w:after="100"/>
        <w:ind w:left="360"/>
      </w:pPr>
      <w:r>
        <w:rPr>
          <w:rFonts w:ascii="Arial" w:cs="Arial" w:eastAsia="Arial" w:hAnsi="Arial"/>
          <w:b/>
          <w:bCs/>
          <w:color w:val="2E5FA3"/>
          <w:sz w:val="22"/>
          <w:szCs w:val="22"/>
        </w:rPr>
        <w:t xml:space="preserve">3.  </w:t>
      </w:r>
      <w:r>
        <w:rPr>
          <w:rFonts w:ascii="Arial" w:cs="Arial" w:eastAsia="Arial" w:hAnsi="Arial"/>
          <w:b/>
          <w:bCs/>
          <w:sz w:val="22"/>
          <w:szCs w:val="22"/>
        </w:rPr>
        <w:t xml:space="preserve">Multi-manufacturer catalog: </w:t>
      </w:r>
      <w:r>
        <w:rPr>
          <w:rFonts w:ascii="Arial" w:cs="Arial" w:eastAsia="Arial" w:hAnsi="Arial"/>
          <w:color w:val="555555"/>
          <w:sz w:val="22"/>
          <w:szCs w:val="22"/>
        </w:rPr>
        <w:t xml:space="preserve">Opens the market PartnerPak cannot serve. Tubelite, YKK, EFCO shops are waiting.</w:t>
      </w:r>
    </w:p>
    <w:p>
      <w:pPr>
        <w:spacing w:after="100"/>
        <w:ind w:left="360"/>
      </w:pPr>
      <w:r>
        <w:rPr>
          <w:rFonts w:ascii="Arial" w:cs="Arial" w:eastAsia="Arial" w:hAnsi="Arial"/>
          <w:b/>
          <w:bCs/>
          <w:color w:val="2E5FA3"/>
          <w:sz w:val="22"/>
          <w:szCs w:val="22"/>
        </w:rPr>
        <w:t xml:space="preserve">4.  </w:t>
      </w:r>
      <w:r>
        <w:rPr>
          <w:rFonts w:ascii="Arial" w:cs="Arial" w:eastAsia="Arial" w:hAnsi="Arial"/>
          <w:b/>
          <w:bCs/>
          <w:sz w:val="22"/>
          <w:szCs w:val="22"/>
        </w:rPr>
        <w:t xml:space="preserve">Cloud collaboration: </w:t>
      </w:r>
      <w:r>
        <w:rPr>
          <w:rFonts w:ascii="Arial" w:cs="Arial" w:eastAsia="Arial" w:hAnsi="Arial"/>
          <w:color w:val="555555"/>
          <w:sz w:val="22"/>
          <w:szCs w:val="22"/>
        </w:rPr>
        <w:t xml:space="preserve">Removes a daily friction point. Projects shareable by link, not .dat file.</w:t>
      </w:r>
    </w:p>
    <w:p>
      <w:pPr>
        <w:spacing w:after="100"/>
        <w:ind w:left="360"/>
      </w:pPr>
      <w:r>
        <w:rPr>
          <w:rFonts w:ascii="Arial" w:cs="Arial" w:eastAsia="Arial" w:hAnsi="Arial"/>
          <w:b/>
          <w:bCs/>
          <w:color w:val="2E5FA3"/>
          <w:sz w:val="22"/>
          <w:szCs w:val="22"/>
        </w:rPr>
        <w:t xml:space="preserve">5.  </w:t>
      </w:r>
      <w:r>
        <w:rPr>
          <w:rFonts w:ascii="Arial" w:cs="Arial" w:eastAsia="Arial" w:hAnsi="Arial"/>
          <w:b/>
          <w:bCs/>
          <w:sz w:val="22"/>
          <w:szCs w:val="22"/>
        </w:rPr>
        <w:t xml:space="preserve">Shop drawings without CAD: </w:t>
      </w:r>
      <w:r>
        <w:rPr>
          <w:rFonts w:ascii="Arial" w:cs="Arial" w:eastAsia="Arial" w:hAnsi="Arial"/>
          <w:color w:val="555555"/>
          <w:sz w:val="22"/>
          <w:szCs w:val="22"/>
        </w:rPr>
        <w:t xml:space="preserve">Removes a cost barrier. No AutoCAD license required.</w:t>
      </w:r>
    </w:p>
    <w:p>
      <w:pPr>
        <w:spacing w:after="100"/>
        <w:ind w:left="360"/>
      </w:pPr>
      <w:r>
        <w:rPr>
          <w:rFonts w:ascii="Arial" w:cs="Arial" w:eastAsia="Arial" w:hAnsi="Arial"/>
          <w:b/>
          <w:bCs/>
          <w:color w:val="2E5FA3"/>
          <w:sz w:val="22"/>
          <w:szCs w:val="22"/>
        </w:rPr>
        <w:t xml:space="preserve">6.  </w:t>
      </w:r>
      <w:r>
        <w:rPr>
          <w:rFonts w:ascii="Arial" w:cs="Arial" w:eastAsia="Arial" w:hAnsi="Arial"/>
          <w:b/>
          <w:bCs/>
          <w:sz w:val="22"/>
          <w:szCs w:val="22"/>
        </w:rPr>
        <w:t xml:space="preserve">Live optimization: </w:t>
      </w:r>
      <w:r>
        <w:rPr>
          <w:rFonts w:ascii="Arial" w:cs="Arial" w:eastAsia="Arial" w:hAnsi="Arial"/>
          <w:color w:val="555555"/>
          <w:sz w:val="22"/>
          <w:szCs w:val="22"/>
        </w:rPr>
        <w:t xml:space="preserve">Converts a post-process report into a real-time design tool.</w:t>
      </w:r>
    </w:p>
    <w:p>
      <w:pPr>
        <w:spacing w:after="100"/>
        <w:ind w:left="360"/>
      </w:pPr>
      <w:r>
        <w:rPr>
          <w:rFonts w:ascii="Arial" w:cs="Arial" w:eastAsia="Arial" w:hAnsi="Arial"/>
          <w:b/>
          <w:bCs/>
          <w:color w:val="2E5FA3"/>
          <w:sz w:val="22"/>
          <w:szCs w:val="22"/>
        </w:rPr>
        <w:t xml:space="preserve">7.  </w:t>
      </w:r>
      <w:r>
        <w:rPr>
          <w:rFonts w:ascii="Arial" w:cs="Arial" w:eastAsia="Arial" w:hAnsi="Arial"/>
          <w:b/>
          <w:bCs/>
          <w:sz w:val="22"/>
          <w:szCs w:val="22"/>
        </w:rPr>
        <w:t xml:space="preserve">Structural analysis standard: </w:t>
      </w:r>
      <w:r>
        <w:rPr>
          <w:rFonts w:ascii="Arial" w:cs="Arial" w:eastAsia="Arial" w:hAnsi="Arial"/>
          <w:color w:val="555555"/>
          <w:sz w:val="22"/>
          <w:szCs w:val="22"/>
        </w:rPr>
        <w:t xml:space="preserve">Removes a gating argument. Wind load for every frame, no Level 2 required.</w:t>
      </w:r>
    </w:p>
    <w:p>
      <w:pPr>
        <w:spacing w:after="100"/>
        <w:ind w:left="360"/>
      </w:pPr>
      <w:r>
        <w:rPr>
          <w:rFonts w:ascii="Arial" w:cs="Arial" w:eastAsia="Arial" w:hAnsi="Arial"/>
          <w:b/>
          <w:bCs/>
          <w:color w:val="2E5FA3"/>
          <w:sz w:val="22"/>
          <w:szCs w:val="22"/>
        </w:rPr>
        <w:t xml:space="preserve">8.  </w:t>
      </w:r>
      <w:r>
        <w:rPr>
          <w:rFonts w:ascii="Arial" w:cs="Arial" w:eastAsia="Arial" w:hAnsi="Arial"/>
          <w:b/>
          <w:bCs/>
          <w:sz w:val="22"/>
          <w:szCs w:val="22"/>
        </w:rPr>
        <w:t xml:space="preserve">Citation intelligence: </w:t>
      </w:r>
      <w:r>
        <w:rPr>
          <w:rFonts w:ascii="Arial" w:cs="Arial" w:eastAsia="Arial" w:hAnsi="Arial"/>
          <w:color w:val="555555"/>
          <w:sz w:val="22"/>
          <w:szCs w:val="22"/>
        </w:rPr>
        <w:t xml:space="preserve">Compounds over time. Gets better with scale. Builds the lock-in.</w:t>
      </w:r>
    </w:p>
    <w:p>
      <w:pPr>
        <w:spacing w:before="200"/>
      </w:pPr>
      <w:r>
        <w:t xml:space="preserve"/>
      </w:r>
    </w:p>
    <w:p>
      <w:pPr>
        <w:pStyle w:val="Heading1"/>
      </w:pPr>
      <w:r>
        <w:t xml:space="preserve">Bottom Line</w:t>
      </w:r>
    </w:p>
    <w:p>
      <w:pPr>
        <w:spacing w:after="120"/>
      </w:pPr>
      <w:r>
        <w:rPr>
          <w:rFonts w:ascii="Arial" w:cs="Arial" w:eastAsia="Arial" w:hAnsi="Arial"/>
          <w:sz w:val="22"/>
          <w:szCs w:val="22"/>
        </w:rPr>
        <w:t xml:space="preserve">The frame builder and AiQ together are the product. Everything else accelerates adoption and builds retention. PartnerPak's installed base is sticky because switching costs are real — but they are not that high when the alternative saves two hours per bid.</w:t>
      </w:r>
    </w:p>
    <w:p>
      <w:pPr>
        <w:spacing w:after="120"/>
      </w:pPr>
      <w:r>
        <w:rPr>
          <w:rFonts w:ascii="Arial" w:cs="Arial" w:eastAsia="Arial" w:hAnsi="Arial"/>
          <w:sz w:val="22"/>
          <w:szCs w:val="22"/>
        </w:rPr>
        <w:t xml:space="preserve">GlazeBid's opportunity is not to build a better PartnerPak. It is to build the tool PartnerPak would be if it were designed today: manufacturer-neutral, drawing-aware through AiQ, constraint-driven rather than sequence-dependent, cloud-native for collaboration, with optimization and structural analysis embedded in the builder rather than sold as premium tiers.</w:t>
      </w:r>
    </w:p>
    <w:p>
      <w:pPr>
        <w:spacing w:after="200"/>
      </w:pPr>
      <w:r>
        <w:rPr>
          <w:rFonts w:ascii="Arial" w:cs="Arial" w:eastAsia="Arial" w:hAnsi="Arial"/>
          <w:b/>
          <w:bCs/>
          <w:color w:val="2E5FA3"/>
          <w:sz w:val="22"/>
          <w:szCs w:val="22"/>
        </w:rPr>
        <w:t xml:space="preserve">The gap between what exists and what is possible is substantial. The combination of deep domain expertise and the AiQ engine is a genuinely defensible position. Now it is a matter of execution.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4" w:space="4"/>
      </w:pBdr>
    </w:pPr>
    <w:r>
      <w:rPr>
        <w:rFonts w:ascii="Arial" w:cs="Arial" w:eastAsia="Arial" w:hAnsi="Arial"/>
        <w:color w:val="888888"/>
        <w:sz w:val="18"/>
        <w:szCs w:val="18"/>
      </w:rPr>
      <w:t xml:space="preserve">Confidential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4"/>
      </w:pBdr>
    </w:pPr>
    <w:r>
      <w:rPr>
        <w:rFonts w:ascii="Arial" w:cs="Arial" w:eastAsia="Arial" w:hAnsi="Arial"/>
        <w:color w:val="888888"/>
        <w:sz w:val="18"/>
        <w:szCs w:val="18"/>
      </w:rPr>
      <w:t xml:space="preserve">GlazeBid v2  |  Competitive Takeover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3864"/>
      <w:sz w:val="36"/>
      <w:szCs w:val="36"/>
    </w:rPr>
  </w:style>
  <w:style w:type="paragraph" w:styleId="Heading2">
    <w:name w:val="Heading 2"/>
    <w:basedOn w:val="Normal"/>
    <w:next w:val="Normal"/>
    <w:qFormat/>
    <w:pPr>
      <w:pBdr>
        <w:bottom w:val="single" w:color="AACCEE" w:sz="4" w:space="4"/>
      </w:pBdr>
      <w:spacing w:after="120" w:before="300"/>
      <w:outlineLvl w:val="1"/>
    </w:pPr>
    <w:rPr>
      <w:rFonts w:ascii="Arial" w:cs="Arial" w:eastAsia="Arial" w:hAnsi="Arial"/>
      <w:b/>
      <w:bCs/>
      <w:color w:val="2E5FA3"/>
      <w:sz w:val="28"/>
      <w:szCs w:val="28"/>
    </w:rPr>
  </w:style>
  <w:style w:type="paragraph" w:styleId="Heading3">
    <w:name w:val="Heading 3"/>
    <w:basedOn w:val="Normal"/>
    <w:next w:val="Normal"/>
    <w:qFormat/>
    <w:pPr>
      <w:spacing w:after="80" w:before="240"/>
      <w:outlineLvl w:val="2"/>
    </w:pPr>
    <w:rPr>
      <w:rFonts w:ascii="Arial" w:cs="Arial" w:eastAsia="Arial" w:hAnsi="Arial"/>
      <w:b/>
      <w:bCs/>
      <w:color w:val="C0392B"/>
      <w:sz w:val="24"/>
      <w:szCs w:val="24"/>
    </w:rPr>
  </w:style>
  <w:style w:type="paragraph" w:styleId="Normal">
    <w:name w:val="Normal"/>
    <w:pPr>
      <w:spacing w:after="120" w:line="276" w:lineRule="auto"/>
    </w:pPr>
    <w:rPr>
      <w:rFonts w:ascii="Arial" w:cs="Arial" w:eastAsia="Arial" w:hAnsi="Arial"/>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2026-04-08T19:46:34.202Z</dcterms:created>
  <dcterms:modified xsi:type="dcterms:W3CDTF">2026-04-08T19:46:34.204Z</dcterms:modified>
</cp:coreProperties>
</file>

<file path=docProps/custom.xml><?xml version="1.0" encoding="utf-8"?>
<Properties xmlns="http://schemas.openxmlformats.org/officeDocument/2006/custom-properties" xmlns:vt="http://schemas.openxmlformats.org/officeDocument/2006/docPropsVTypes"/>
</file>