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/package/services/metadata/core-properties/bb7cb941ccda4924bad52e154a61917a.psmdcp" Id="R9467701945c9457d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:rsidP="2CA09E84" w14:paraId="5E4B4455" wp14:textId="77777777"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Travail de fin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d’études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: Master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ingénieur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civil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électromécanicien</w:t>
      </w:r>
      <w:proofErr w:type="spellEnd"/>
    </w:p>
    <w:p xmlns:wp14="http://schemas.microsoft.com/office/word/2010/wordml" w:rsidP="2CA09E84" w14:paraId="6F651558" wp14:textId="77777777">
      <w:pPr>
        <w:pStyle w:val="Normal"/>
        <w:bidi w:val="0"/>
        <w:jc w:val="center"/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Conception d’un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>capteur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 audio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>récupérateur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>d’énergie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 à ultra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>basse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>consommation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 pour la surveillance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  <w:i w:val="1"/>
          <w:iCs w:val="1"/>
          <w:sz w:val="32"/>
          <w:szCs w:val="32"/>
        </w:rPr>
        <w:t>d’écosystèmes</w:t>
      </w:r>
      <w:proofErr w:type="spellEnd"/>
    </w:p>
    <w:p xmlns:wp14="http://schemas.microsoft.com/office/word/2010/wordml" w:rsidP="2CA09E84" w14:paraId="0A37501D" wp14:textId="77777777"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CA09E84" w14:paraId="0D574D62" wp14:textId="77777777">
      <w:pPr>
        <w:pStyle w:val="Normal"/>
        <w:bidi w:val="0"/>
        <w:rPr>
          <w:rFonts w:ascii="Times New Roman" w:hAnsi="Times New Roman" w:eastAsia="Times New Roman" w:cs="Times New Roman"/>
        </w:rPr>
      </w:pPr>
      <w:proofErr w:type="spellStart"/>
      <w:r w:rsidRPr="2CA09E84" w:rsidR="2CA09E84">
        <w:rPr>
          <w:rFonts w:ascii="Times New Roman" w:hAnsi="Times New Roman" w:eastAsia="Times New Roman" w:cs="Times New Roman"/>
        </w:rPr>
        <w:t>J’ai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travaillé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sur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mémoire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intitulé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«</w:t>
      </w:r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Conception d’un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audio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récupérateur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d’énergie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à ultra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basse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pour la surveillance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d’écosystèmes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» sous la supervision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professeur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David Bol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l’UCLouvain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CA09E84" w14:paraId="57ED4F00" wp14:textId="77777777">
      <w:pPr>
        <w:pStyle w:val="TextBody"/>
        <w:bidi w:val="0"/>
        <w:spacing w:before="0" w:after="140" w:line="276" w:lineRule="auto"/>
        <w:rPr>
          <w:rFonts w:ascii="Times New Roman" w:hAnsi="Times New Roman" w:eastAsia="Times New Roman" w:cs="Times New Roman"/>
        </w:rPr>
      </w:pPr>
      <w:proofErr w:type="spellStart"/>
      <w:r w:rsidRPr="2CA09E84" w:rsidR="2CA09E84">
        <w:rPr>
          <w:rFonts w:ascii="Times New Roman" w:hAnsi="Times New Roman" w:eastAsia="Times New Roman" w:cs="Times New Roman"/>
        </w:rPr>
        <w:t>L’</w:t>
      </w:r>
      <w:r w:rsidRPr="2CA09E84" w:rsidR="2CA09E84">
        <w:rPr>
          <w:rStyle w:val="StrongEmphasis"/>
          <w:rFonts w:ascii="Times New Roman" w:hAnsi="Times New Roman" w:eastAsia="Times New Roman" w:cs="Times New Roman"/>
        </w:rPr>
        <w:t>Internet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objets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(IoT)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va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conduire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déploiement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milliards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intelligents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connectés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diverses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applications.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déploiement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massif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intelligents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n’est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pas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respectueux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l’environnement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si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remplacés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tous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deux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raison de la pression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qu’ils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exercent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sur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ressources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naturelles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l’écotoxicité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déchets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électroniques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qu’ils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génèrent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CA09E84" w14:paraId="1E01763F" wp14:textId="77777777">
      <w:pPr>
        <w:pStyle w:val="TextBody"/>
        <w:bidi w:val="0"/>
        <w:spacing w:before="0" w:after="140" w:line="276" w:lineRule="auto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De plus,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l’accentuation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changement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climati</w:t>
      </w:r>
      <w:r w:rsidRPr="2CA09E84" w:rsidR="2CA09E84">
        <w:rPr>
          <w:rFonts w:ascii="Times New Roman" w:hAnsi="Times New Roman" w:eastAsia="Times New Roman" w:cs="Times New Roman"/>
        </w:rPr>
        <w:t>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entre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due à la destruction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écosystèmes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nécessite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surveillance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forêts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afin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d’analyser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préserver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l’écosystème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Une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telle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surveillance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généralement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réalisée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manuellement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par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personne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qui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mesure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certaines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moins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fois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par jour,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qui ne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fournit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pas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suffisamment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d’informations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demande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présence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humaine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pendant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l’acquisition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CA09E84" w14:paraId="4EADE265" wp14:textId="77777777">
      <w:pPr>
        <w:pStyle w:val="TextBody"/>
        <w:bidi w:val="0"/>
        <w:spacing w:before="0" w:after="140" w:line="276" w:lineRule="auto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résoudre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problèmes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l’objectif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mémoire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développement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d’un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audio intelligent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autonome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efficace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analysant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en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continu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l’écosystème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forestier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peuvent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typiquement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être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divisés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5 </w:t>
      </w:r>
      <w:proofErr w:type="gramStart"/>
      <w:r w:rsidRPr="2CA09E84" w:rsidR="2CA09E84">
        <w:rPr>
          <w:rFonts w:ascii="Times New Roman" w:hAnsi="Times New Roman" w:eastAsia="Times New Roman" w:cs="Times New Roman"/>
        </w:rPr>
        <w:t>modules :</w:t>
      </w:r>
      <w:proofErr w:type="gramEnd"/>
    </w:p>
    <w:p xmlns:wp14="http://schemas.microsoft.com/office/word/2010/wordml" w:rsidP="2CA09E84" w14:paraId="4AB6AA9E" wp14:textId="77777777">
      <w:pPr>
        <w:pStyle w:val="TextBody"/>
        <w:numPr>
          <w:ilvl w:val="0"/>
          <w:numId w:val="1"/>
        </w:numPr>
        <w:tabs>
          <w:tab w:val="clear" w:pos="709"/>
          <w:tab w:val="left" w:leader="none" w:pos="707"/>
        </w:tabs>
        <w:bidi w:val="0"/>
        <w:spacing w:before="0" w:after="0"/>
        <w:ind w:start="707" w:hanging="283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l’intérieur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</w:t>
      </w:r>
      <w:r w:rsidRPr="2CA09E84" w:rsidR="2CA09E84">
        <w:rPr>
          <w:rStyle w:val="StrongEmphasis"/>
          <w:rFonts w:ascii="Times New Roman" w:hAnsi="Times New Roman" w:eastAsia="Times New Roman" w:cs="Times New Roman"/>
        </w:rPr>
        <w:t>élément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de stockage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d’énergie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(batterie,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supercondensateur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,…) se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trouve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partie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plus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importante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ressources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matérielles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Pour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durabilité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ressources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doivent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être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composées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d’éléments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chimiques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qui ne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s’usent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pas. Les batteries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souffrent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aujourd’hui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courte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durée de vie (10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contiennent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composants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toxiques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tels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que le plomb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ou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 lithium.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supercondensateurs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particulièrement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bien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adaptés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aux applications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faible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puissance et à longue durée de vie avec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peu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ressources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critiques (par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exemple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condensateurs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électrostatiques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double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couche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). </w:t>
      </w:r>
    </w:p>
    <w:p xmlns:wp14="http://schemas.microsoft.com/office/word/2010/wordml" w:rsidP="2CA09E84" w14:paraId="15368DC1" wp14:textId="77777777">
      <w:pPr>
        <w:pStyle w:val="TextBody"/>
        <w:numPr>
          <w:ilvl w:val="0"/>
          <w:numId w:val="1"/>
        </w:numPr>
        <w:tabs>
          <w:tab w:val="clear" w:pos="709"/>
          <w:tab w:val="left" w:leader="none" w:pos="707"/>
        </w:tabs>
        <w:bidi w:val="0"/>
        <w:spacing w:before="0" w:after="0"/>
        <w:ind w:start="707" w:hanging="283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La </w:t>
      </w:r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gestion de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l’énergie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implique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distribution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travers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l’ensemble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circuit,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c’est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élément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essentiel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minimisation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totale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Une puce de gestion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>-peas (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société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belge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spécialisée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dans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puces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faible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 assure 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transfert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entre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l’élément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stockage, les cellules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solaires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systèmes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circuit.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Cette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puce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possède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suivi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point de puissance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maximale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optimiser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l’efficacité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panneaux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solaires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Ce module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nécessite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optimisation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plusieurs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paramètres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car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situé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cœur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conception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lequel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valeur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tension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d’alimentation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globale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doit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être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soigneusement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sélectionnée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optimiser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fonctionnement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différentes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modules. </w:t>
      </w:r>
    </w:p>
    <w:p xmlns:wp14="http://schemas.microsoft.com/office/word/2010/wordml" w:rsidP="2CA09E84" w14:paraId="1F7FEF3F" wp14:textId="77777777">
      <w:pPr>
        <w:pStyle w:val="TextBody"/>
        <w:numPr>
          <w:ilvl w:val="0"/>
          <w:numId w:val="1"/>
        </w:numPr>
        <w:tabs>
          <w:tab w:val="clear" w:pos="709"/>
          <w:tab w:val="left" w:leader="none" w:pos="707"/>
        </w:tabs>
        <w:bidi w:val="0"/>
        <w:spacing w:before="0" w:after="0"/>
        <w:ind w:start="707" w:hanging="283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La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détection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l’étape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conversion du son en un signal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qui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ensuite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filtré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amplifié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via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interface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analogique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(AFE). Dans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travail, après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comparaison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approfondie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microphones de pointe </w:t>
      </w:r>
      <w:proofErr w:type="gramStart"/>
      <w:r w:rsidRPr="2CA09E84" w:rsidR="2CA09E84">
        <w:rPr>
          <w:rFonts w:ascii="Times New Roman" w:hAnsi="Times New Roman" w:eastAsia="Times New Roman" w:cs="Times New Roman"/>
        </w:rPr>
        <w:t>pour</w:t>
      </w:r>
      <w:proofErr w:type="gramEnd"/>
      <w:r w:rsidRPr="2CA09E84" w:rsidR="2CA09E84">
        <w:rPr>
          <w:rFonts w:ascii="Times New Roman" w:hAnsi="Times New Roman" w:eastAsia="Times New Roman" w:cs="Times New Roman"/>
        </w:rPr>
        <w:t xml:space="preserve"> les applications IoT, un microphone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condensateur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électret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utilisé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raison de sa petite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taille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son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faible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bruit et sa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basse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L’amplification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réalisée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l’AFE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met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évidence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compromis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entre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le bruit total (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intrinsèque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au microphone, aux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résistances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l’amplificateur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opérationnel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l’AFE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). 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compromis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conduit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sélection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minutieuse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l’amplificateur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opérationnel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fonction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caractéristiques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bruit et de puissance. </w:t>
      </w:r>
    </w:p>
    <w:p xmlns:wp14="http://schemas.microsoft.com/office/word/2010/wordml" w:rsidP="2CA09E84" w14:paraId="373EF380" wp14:textId="77777777">
      <w:pPr>
        <w:pStyle w:val="TextBody"/>
        <w:numPr>
          <w:ilvl w:val="0"/>
          <w:numId w:val="1"/>
        </w:numPr>
        <w:tabs>
          <w:tab w:val="clear" w:pos="709"/>
          <w:tab w:val="left" w:leader="none" w:pos="707"/>
        </w:tabs>
        <w:bidi w:val="0"/>
        <w:spacing w:before="0" w:after="0"/>
        <w:ind w:start="707" w:hanging="283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Le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traitement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se fait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numériquement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dans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microcontrôleur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basse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(STM32).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algorithmes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d’apprentissage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automatique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mis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œuvre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classer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Ils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intègrent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modèles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base </w:t>
      </w:r>
      <w:proofErr w:type="gramStart"/>
      <w:r w:rsidRPr="2CA09E84" w:rsidR="2CA09E84">
        <w:rPr>
          <w:rFonts w:ascii="Times New Roman" w:hAnsi="Times New Roman" w:eastAsia="Times New Roman" w:cs="Times New Roman"/>
        </w:rPr>
        <w:t>pour</w:t>
      </w:r>
      <w:proofErr w:type="gramEnd"/>
      <w:r w:rsidRPr="2CA09E84" w:rsidR="2CA09E84">
        <w:rPr>
          <w:rFonts w:ascii="Times New Roman" w:hAnsi="Times New Roman" w:eastAsia="Times New Roman" w:cs="Times New Roman"/>
        </w:rPr>
        <w:t xml:space="preserve"> les non-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idéalités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afin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faire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reculer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précision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d’inférence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diminuée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par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l’utilisation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d’algorithmes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d’apprentissage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automatique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entraînés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dans des conditions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idéales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(hors-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ligne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avec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ressources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puissance/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mémoire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presque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illimitées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). </w:t>
      </w:r>
    </w:p>
    <w:p xmlns:wp14="http://schemas.microsoft.com/office/word/2010/wordml" w:rsidP="2CA09E84" w14:paraId="03E70DD6" wp14:textId="77777777">
      <w:pPr>
        <w:pStyle w:val="TextBody"/>
        <w:numPr>
          <w:ilvl w:val="0"/>
          <w:numId w:val="1"/>
        </w:numPr>
        <w:tabs>
          <w:tab w:val="clear" w:pos="709"/>
          <w:tab w:val="left" w:leader="none" w:pos="707"/>
        </w:tabs>
        <w:bidi w:val="0"/>
        <w:ind w:start="707" w:hanging="283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La </w:t>
      </w:r>
      <w:r w:rsidRPr="2CA09E84" w:rsidR="2CA09E84">
        <w:rPr>
          <w:rStyle w:val="StrongEmphasis"/>
          <w:rFonts w:ascii="Times New Roman" w:hAnsi="Times New Roman" w:eastAsia="Times New Roman" w:cs="Times New Roman"/>
        </w:rPr>
        <w:t>communication sans fil</w:t>
      </w:r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permet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d’abord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transmission du son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d’entrée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traité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localement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vers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passerelles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périphériques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D’un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côté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obtient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capacités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reconfiguration </w:t>
      </w:r>
      <w:proofErr w:type="gramStart"/>
      <w:r w:rsidRPr="2CA09E84" w:rsidR="2CA09E84">
        <w:rPr>
          <w:rFonts w:ascii="Times New Roman" w:hAnsi="Times New Roman" w:eastAsia="Times New Roman" w:cs="Times New Roman"/>
        </w:rPr>
        <w:t>pour</w:t>
      </w:r>
      <w:proofErr w:type="gram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suivre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mises à jour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protocoles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d’application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sécurité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de communication (LPWAN: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LoRa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). </w:t>
      </w:r>
    </w:p>
    <w:p xmlns:wp14="http://schemas.microsoft.com/office/word/2010/wordml" w:rsidP="2CA09E84" w14:paraId="46D24C12" wp14:textId="77777777">
      <w:pPr>
        <w:pStyle w:val="TextBody"/>
        <w:bidi w:val="0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développement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première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étape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déploiement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d’un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réseau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audio sans fil capable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d’optimiser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tels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conduit à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compromis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entre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densité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déploiement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limitée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gramStart"/>
      <w:r w:rsidRPr="2CA09E84" w:rsidR="2CA09E84">
        <w:rPr>
          <w:rFonts w:ascii="Times New Roman" w:hAnsi="Times New Roman" w:eastAsia="Times New Roman" w:cs="Times New Roman"/>
        </w:rPr>
        <w:t>par</w:t>
      </w:r>
      <w:proofErr w:type="gram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fréquence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remplacement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batterie par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opérateur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 et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complexité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paramètres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l’écosystème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surveiller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Aujourd’hui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processeurs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ultra-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basse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les communications IoT,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l’intelligence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artificielle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l’exploration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ouvrent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nouvelles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possibilités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tels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processeurs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préservent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informations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collectées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calculent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vecteurs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fonctionnalités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sur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chaque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permettre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transmission sans fil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faible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puissance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vers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passerelle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informatique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serveurs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traitent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renvoient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pertinentes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via le cloud,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réduisant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besoins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bande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passante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>).</w:t>
      </w:r>
    </w:p>
    <w:p xmlns:wp14="http://schemas.microsoft.com/office/word/2010/wordml" w:rsidP="2CA09E84" w14:paraId="17BC5414" wp14:textId="77777777">
      <w:pPr>
        <w:pStyle w:val="TextBody"/>
        <w:bidi w:val="0"/>
        <w:spacing w:before="0" w:after="140" w:line="276" w:lineRule="auto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répondre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aux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contraintes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énergétiques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nécessaires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son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autonomie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totale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récupère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l’environnement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travers des cellules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photovoltaïques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miniaturisées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dimensionnées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fonction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luminosité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solaire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au fil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jours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saisons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l’aide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d’un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supercondensateur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écologique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non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toxique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stocker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Avec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durée de vie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excédant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15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appareil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entièrement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autonome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fonctionne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tension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d’alimentation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2.5 V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atteignant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22,1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mW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moyenne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Un microphone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condensateur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électret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collecte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un signal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aussi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faible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que 16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dBSPL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(par rapport à un bruit de 14,22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dBSPL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entrée), qui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ensuite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amplifié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toute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gamme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fréquences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d’émission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oiseaux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(20 Hz – 20 kHz) par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interface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analogique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faible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bruit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Ce signal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ensuite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traité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dans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microcontrôleur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à ultra-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basse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consommation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alternant entre les modes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d’exécution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veille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avec un rapport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cyclique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d’un tiers, et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émetteur-récepteur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optimisé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les applications IoT avec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réseaux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LoRaWAN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CA09E84" w14:paraId="5122C662" wp14:textId="77777777">
      <w:pPr>
        <w:pStyle w:val="TextBody"/>
        <w:bidi w:val="0"/>
        <w:spacing w:before="0" w:after="140" w:line="276" w:lineRule="auto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microcontrôleur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détecte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sons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lorsque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oiseaux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sont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actifs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généralement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pendant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journée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) et assure la communication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radiofréquence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durant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nuit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fonction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tension du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supercondensateur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qui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attentivement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surveillée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temps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Il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envoie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des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informations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sur les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espèces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d’oiseaux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rencontrées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au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cours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de la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journée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ainsi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fréquence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d’apparition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mise à jour du firmware,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cet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appareil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reçoit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les fragments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associés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lorsque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son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énergie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suffisante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change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automatiquement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le firmware avec un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logiciel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optimisé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énergétiquement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ne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nécessitant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que 10.6 J 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toute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mise à jour.</w:t>
      </w:r>
    </w:p>
    <w:p xmlns:wp14="http://schemas.microsoft.com/office/word/2010/wordml" w:rsidP="2CA09E84" w14:paraId="606A649E" wp14:textId="77777777">
      <w:pPr>
        <w:pStyle w:val="TextBody"/>
        <w:bidi w:val="0"/>
        <w:spacing w:before="0" w:after="140" w:line="276" w:lineRule="auto"/>
        <w:rPr>
          <w:rFonts w:ascii="Times New Roman" w:hAnsi="Times New Roman" w:eastAsia="Times New Roman" w:cs="Times New Roman"/>
        </w:rPr>
      </w:pPr>
      <w:r w:rsidRPr="2CA09E84" w:rsidR="2CA09E84">
        <w:rPr>
          <w:rFonts w:ascii="Times New Roman" w:hAnsi="Times New Roman" w:eastAsia="Times New Roman" w:cs="Times New Roman"/>
        </w:rPr>
        <w:t xml:space="preserve">En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calculant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fréquence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moyenne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pondérée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des sons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reçus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capteur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intelligent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capable de faire la </w:t>
      </w:r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distinction entre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quatre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oiseaux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communs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en Belgique</w:t>
      </w:r>
      <w:r w:rsidRPr="2CA09E84" w:rsidR="2CA09E84">
        <w:rPr>
          <w:rFonts w:ascii="Times New Roman" w:hAnsi="Times New Roman" w:eastAsia="Times New Roman" w:cs="Times New Roman"/>
        </w:rPr>
        <w:t xml:space="preserve">: le pigeon, le merle,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mésange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charbonnière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mésange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bleue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Pour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chaque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espèce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plusieurs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chansons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ont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été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analysées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et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utilisées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former un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classificateur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des k plus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proches</w:t>
      </w:r>
      <w:proofErr w:type="spellEnd"/>
      <w:r w:rsidRPr="2CA09E84" w:rsidR="2CA09E84">
        <w:rPr>
          <w:rStyle w:val="StrongEmphasis"/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Style w:val="StrongEmphasis"/>
          <w:rFonts w:ascii="Times New Roman" w:hAnsi="Times New Roman" w:eastAsia="Times New Roman" w:cs="Times New Roman"/>
        </w:rPr>
        <w:t>voisins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(KNN)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travaillant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en temps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réel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dans le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système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embarqué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. Sa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précision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définie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comme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probabilité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trouver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la bonne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espèce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atteint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94% pour les chansons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provenant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base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données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précédemment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apprise. Pour les sons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nouvellement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analysés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l’algorithme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détection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performe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de la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même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manière. Des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algorithmes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d’apprentissage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automatique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plus complexes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pourraient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finalement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être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implémentés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pour faire la distinction entre un plus grand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nombres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CA09E84" w:rsidR="2CA09E84">
        <w:rPr>
          <w:rFonts w:ascii="Times New Roman" w:hAnsi="Times New Roman" w:eastAsia="Times New Roman" w:cs="Times New Roman"/>
        </w:rPr>
        <w:t>d’espèces</w:t>
      </w:r>
      <w:proofErr w:type="spellEnd"/>
      <w:r w:rsidRPr="2CA09E84" w:rsidR="2CA09E8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CA09E84" w14:paraId="199EB2DB" wp14:textId="77777777">
      <w:pPr>
        <w:pStyle w:val="Normal"/>
        <w:bidi w:val="0"/>
        <w:jc w:val="center"/>
        <w:rPr>
          <w:rFonts w:ascii="Times New Roman" w:hAnsi="Times New Roman" w:eastAsia="Times New Roman" w:cs="Times New Roman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135F7BEF" wp14:editId="7777777">
            <wp:simplePos x="0" y="0"/>
            <wp:positionH relativeFrom="column">
              <wp:align>center</wp:align>
            </wp:positionH>
            <wp:positionV relativeFrom="paragraph">
              <wp:posOffset>793750</wp:posOffset>
            </wp:positionV>
            <wp:extent cx="5029200" cy="32385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CA09E84" w:rsidR="2CA09E84">
        <w:rPr>
          <w:rFonts w:ascii="Times New Roman" w:hAnsi="Times New Roman" w:eastAsia="Times New Roman" w:cs="Times New Roman"/>
        </w:rPr>
        <w:t/>
      </w:r>
    </w:p>
    <w:sectPr>
      <w:headerReference w:type="default" r:id="rId3"/>
      <w:footerReference w:type="default" r:id="rId4"/>
      <w:type w:val="nextPage"/>
      <w:pgSz w:w="11906" w:h="16838" w:orient="portrait"/>
      <w:pgMar w:top="1693" w:right="1134" w:bottom="1700" w:left="1134" w:header="1134" w:footer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  <w:font w:name="Arimo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3DD4C48" wp14:textId="77777777"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FC07654" wp14:textId="77777777">
    <w:pPr>
      <w:pStyle w:val="Header"/>
      <w:bidi w:val="0"/>
      <w:jc w:val="start"/>
      <w:rPr/>
    </w:pPr>
    <w:r>
      <w:rPr/>
      <w:t>Martin Braquet                                                                                                                        Juin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90"/>
  <w:defaultTabStop w:val="709"/>
  <w:autoHyphenation w:val="true"/>
  <w14:docId w14:val="135F7BEF"/>
  <w15:docId w15:val="{0f368ddf-eff3-46be-8ee0-3a52b39e53d4}"/>
  <w:rsids>
    <w:rsidRoot w:val="2CA09E84"/>
    <w:rsid w:val="2CA09E84"/>
    <w:rsid w:val="6067E06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2020-07-04T19:34:11Z</dcterms:created>
  <dc:creator/>
  <dc:description/>
  <dc:language>en-US</dc:language>
  <cp:lastModifiedBy/>
  <dcterms:modified xsi:type="dcterms:W3CDTF">2020-07-04T23:48:16Z</dcterms:modified>
  <cp:revision>1</cp:revision>
  <dc:subject/>
  <dc:title/>
</cp:coreProperties>
</file>