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Принципи на действие на съвременните мобилни устройства 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Задача 1. </w:t>
      </w:r>
      <w:r w:rsidDel="00000000" w:rsidR="00000000" w:rsidRPr="00000000">
        <w:rPr>
          <w:sz w:val="32"/>
          <w:szCs w:val="32"/>
          <w:rtl w:val="0"/>
        </w:rPr>
        <w:t xml:space="preserve">Попълнете техническите характеристики на вашите мобилни устройства.</w:t>
      </w:r>
    </w:p>
    <w:tbl>
      <w:tblPr>
        <w:tblStyle w:val="Table1"/>
        <w:tblW w:w="8409.0" w:type="dxa"/>
        <w:jc w:val="left"/>
        <w:tblInd w:w="-45.0" w:type="dxa"/>
        <w:tblLayout w:type="fixed"/>
        <w:tblLook w:val="0400"/>
      </w:tblPr>
      <w:tblGrid>
        <w:gridCol w:w="2830"/>
        <w:gridCol w:w="5579"/>
        <w:tblGridChange w:id="0">
          <w:tblGrid>
            <w:gridCol w:w="2830"/>
            <w:gridCol w:w="5579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Технически характеристики на мобилно устройство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Модел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Размери (д/ш/в, мм)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екран (инч)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Камера (МР)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Операционна система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Процесор (GHz)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Свързаност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Батерия (mAH)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Екстри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Други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Задача 2. </w:t>
      </w:r>
      <w:r w:rsidDel="00000000" w:rsidR="00000000" w:rsidRPr="00000000">
        <w:rPr>
          <w:sz w:val="32"/>
          <w:szCs w:val="32"/>
          <w:rtl w:val="0"/>
        </w:rPr>
        <w:t xml:space="preserve">Избройте различни начини за прехвърляне на информация от и към мобилното устройство.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6E578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6E5788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DWJA4RSP18cXfWjn5fJoH54rsA==">AMUW2mUkEdexMQIwz8Zlpfm7boaX0u3qxIkxkKIhpyHaRu540P5vHFbkcX7TTMTzVDo0EKvsURslo7nalIbt9661Kt56zxmzigXbx8YSUkj/gCsfw5dXN2pUi+yHVtKJ7OXkte9xh0Q5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2020-11-23T23:59:00Z</dcterms:created>
  <dc:creator>Диана</dc:creator>
</cp:coreProperties>
</file>