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0548F" w14:textId="77777777" w:rsidR="00B6078F" w:rsidRPr="00B6078F" w:rsidRDefault="00B6078F" w:rsidP="00B6078F">
      <w:pPr>
        <w:rPr>
          <w:rFonts w:ascii="Times New Roman" w:hAnsi="Times New Roman" w:cs="Times New Roman"/>
          <w:b/>
          <w:bCs/>
        </w:rPr>
      </w:pPr>
      <w:r w:rsidRPr="00B6078F">
        <w:rPr>
          <w:rFonts w:ascii="Times New Roman" w:hAnsi="Times New Roman" w:cs="Times New Roman"/>
          <w:b/>
          <w:bCs/>
        </w:rPr>
        <w:t>Introduction</w:t>
      </w:r>
    </w:p>
    <w:p w14:paraId="0988BD08" w14:textId="593D3BE5" w:rsidR="00B6078F" w:rsidRPr="00B6078F" w:rsidRDefault="00B6078F" w:rsidP="00B6078F">
      <w:pPr>
        <w:rPr>
          <w:rFonts w:ascii="Times New Roman" w:hAnsi="Times New Roman" w:cs="Times New Roman"/>
        </w:rPr>
      </w:pPr>
      <w:r w:rsidRPr="00B6078F">
        <w:rPr>
          <w:rFonts w:ascii="Times New Roman" w:hAnsi="Times New Roman" w:cs="Times New Roman"/>
        </w:rPr>
        <w:t>Stock market prediction remains a complex and dynamic challenge at the intersection of finance, economics</w:t>
      </w:r>
      <w:r>
        <w:rPr>
          <w:rFonts w:ascii="Times New Roman" w:hAnsi="Times New Roman" w:cs="Times New Roman"/>
        </w:rPr>
        <w:t>,</w:t>
      </w:r>
      <w:r w:rsidRPr="00B6078F">
        <w:rPr>
          <w:rFonts w:ascii="Times New Roman" w:hAnsi="Times New Roman" w:cs="Times New Roman"/>
        </w:rPr>
        <w:t xml:space="preserve"> and data science. With market movements driven by a mix of structured numerical data and unstructured factors like investor sentiment and macroeconomic </w:t>
      </w:r>
      <w:r>
        <w:rPr>
          <w:rFonts w:ascii="Times New Roman" w:hAnsi="Times New Roman" w:cs="Times New Roman"/>
        </w:rPr>
        <w:t>trends</w:t>
      </w:r>
      <w:r w:rsidRPr="00B6078F">
        <w:rPr>
          <w:rFonts w:ascii="Times New Roman" w:hAnsi="Times New Roman" w:cs="Times New Roman"/>
        </w:rPr>
        <w:t xml:space="preserve">, traditional forecasting models often fall short of capturing these multidimensional influences. Advances in </w:t>
      </w:r>
      <w:r>
        <w:rPr>
          <w:rFonts w:ascii="Times New Roman" w:hAnsi="Times New Roman" w:cs="Times New Roman"/>
        </w:rPr>
        <w:t xml:space="preserve">statistical modeling, </w:t>
      </w:r>
      <w:r w:rsidRPr="00B6078F">
        <w:rPr>
          <w:rFonts w:ascii="Times New Roman" w:hAnsi="Times New Roman" w:cs="Times New Roman"/>
        </w:rPr>
        <w:t>machine learning (ML) and deep learning (DL) have introduced promising tools for identifying hidden patterns and dependencies in historical stock data, offering a more sophisticated approach to stock trend forecasting.</w:t>
      </w:r>
    </w:p>
    <w:p w14:paraId="5DC88F88"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This research presents a two-phase system for stock market prediction. The first phase employs regression and time-series analysis to uncover trends during historically stable periods. The second phase incorporates broader context—such as geopolitical events, financial news, and social sentiment—through hybrid ML and DL models. The ultimate goal is to improve predictive accuracy while enhancing model interpretability and practical relevance in real-time decision-making environments.</w:t>
      </w:r>
    </w:p>
    <w:p w14:paraId="72373403" w14:textId="0ED5C609" w:rsidR="00B6078F" w:rsidRPr="00B6078F" w:rsidRDefault="00B6078F" w:rsidP="00B6078F">
      <w:pPr>
        <w:rPr>
          <w:rFonts w:ascii="Times New Roman" w:hAnsi="Times New Roman" w:cs="Times New Roman"/>
        </w:rPr>
      </w:pPr>
    </w:p>
    <w:p w14:paraId="4AD34E9A" w14:textId="77777777" w:rsidR="00B6078F" w:rsidRPr="00B6078F" w:rsidRDefault="00B6078F" w:rsidP="00B6078F">
      <w:pPr>
        <w:rPr>
          <w:rFonts w:ascii="Times New Roman" w:hAnsi="Times New Roman" w:cs="Times New Roman"/>
          <w:b/>
          <w:bCs/>
        </w:rPr>
      </w:pPr>
      <w:r w:rsidRPr="00B6078F">
        <w:rPr>
          <w:rFonts w:ascii="Times New Roman" w:hAnsi="Times New Roman" w:cs="Times New Roman"/>
          <w:b/>
          <w:bCs/>
        </w:rPr>
        <w:t>Literature Review</w:t>
      </w:r>
    </w:p>
    <w:p w14:paraId="277B38FF" w14:textId="5D801D3A" w:rsidR="00B6078F" w:rsidRPr="00B6078F" w:rsidRDefault="00B6078F" w:rsidP="00B6078F">
      <w:pPr>
        <w:rPr>
          <w:rFonts w:ascii="Times New Roman" w:hAnsi="Times New Roman" w:cs="Times New Roman"/>
        </w:rPr>
      </w:pPr>
      <w:r w:rsidRPr="00B6078F">
        <w:rPr>
          <w:rFonts w:ascii="Times New Roman" w:hAnsi="Times New Roman" w:cs="Times New Roman"/>
        </w:rPr>
        <w:t xml:space="preserve">Recent research highlights the value of hybrid approaches that combine traditional statistical models with advanced deep learning techniques for stock prediction. </w:t>
      </w:r>
      <w:sdt>
        <w:sdtPr>
          <w:rPr>
            <w:rFonts w:ascii="Times New Roman" w:hAnsi="Times New Roman" w:cs="Times New Roman"/>
          </w:rPr>
          <w:id w:val="1825934594"/>
          <w:citation/>
        </w:sdtPr>
        <w:sdtContent>
          <w:r w:rsidR="00E2744D">
            <w:rPr>
              <w:rFonts w:ascii="Times New Roman" w:hAnsi="Times New Roman" w:cs="Times New Roman"/>
            </w:rPr>
            <w:fldChar w:fldCharType="begin"/>
          </w:r>
          <w:r w:rsidR="00E2744D">
            <w:rPr>
              <w:rFonts w:ascii="Times New Roman" w:hAnsi="Times New Roman" w:cs="Times New Roman"/>
            </w:rPr>
            <w:instrText xml:space="preserve">CITATION Bin25 \l 1033 </w:instrText>
          </w:r>
          <w:r w:rsidR="00E2744D">
            <w:rPr>
              <w:rFonts w:ascii="Times New Roman" w:hAnsi="Times New Roman" w:cs="Times New Roman"/>
            </w:rPr>
            <w:fldChar w:fldCharType="separate"/>
          </w:r>
          <w:r w:rsidR="00E2744D" w:rsidRPr="00E2744D">
            <w:rPr>
              <w:rFonts w:ascii="Times New Roman" w:hAnsi="Times New Roman" w:cs="Times New Roman"/>
              <w:noProof/>
            </w:rPr>
            <w:t>(Liu, Zhang, Gao, Xu, &amp; Wang, 2025)</w:t>
          </w:r>
          <w:r w:rsidR="00E2744D">
            <w:rPr>
              <w:rFonts w:ascii="Times New Roman" w:hAnsi="Times New Roman" w:cs="Times New Roman"/>
            </w:rPr>
            <w:fldChar w:fldCharType="end"/>
          </w:r>
        </w:sdtContent>
      </w:sdt>
      <w:r w:rsidRPr="00B6078F">
        <w:rPr>
          <w:rFonts w:ascii="Times New Roman" w:hAnsi="Times New Roman" w:cs="Times New Roman"/>
        </w:rPr>
        <w:t>introduced a Vector Error Correction Model (VECM) combined with a Bidirectional Long Short-Term Memory (</w:t>
      </w:r>
      <w:proofErr w:type="spellStart"/>
      <w:r w:rsidRPr="00B6078F">
        <w:rPr>
          <w:rFonts w:ascii="Times New Roman" w:hAnsi="Times New Roman" w:cs="Times New Roman"/>
        </w:rPr>
        <w:t>BiLSTM</w:t>
      </w:r>
      <w:proofErr w:type="spellEnd"/>
      <w:r w:rsidRPr="00B6078F">
        <w:rPr>
          <w:rFonts w:ascii="Times New Roman" w:hAnsi="Times New Roman" w:cs="Times New Roman"/>
        </w:rPr>
        <w:t>) model to forecast China's energy stock price index. Their hybrid framework effectively integrates spillover effects from global economic indicators with deep learning’s sequential modeling capabilities. Results showed improved performance over classical models like ARIMA and Support Vector Regression (SVR), particularly in terms of Mean Absolute Percentage Error (MAPE) and Root Mean Square Error (RMSE).</w:t>
      </w:r>
    </w:p>
    <w:p w14:paraId="3D465A51"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Lin et al. (2022) presented a Spatial-Temporal Attention-based Convolutional Network (STACN) that combines numerical and textual data for stock price prediction. Their architecture uses Convolutional Neural Networks (CNNs) to extract local features, Long Short-Term Memory (LSTM) networks to handle temporal dependencies, and attention mechanisms to highlight critical input elements. The model demonstrated significant improvements in predictive accuracy over CNN-only and LSTM-only baselines, especially when incorporating financial news and sentiment.</w:t>
      </w:r>
    </w:p>
    <w:p w14:paraId="4F039A6F"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In line with these advancements, the present study uses a phased approach to model stock behavior. The first phase involves logistic and linear regression to identify trends in calm market periods, while the second phase explores DL models and external information integration, as outlined in the project design document. This structure enables both performance benchmarking and contextual model refinement.</w:t>
      </w:r>
    </w:p>
    <w:p w14:paraId="58487954" w14:textId="1D2FB2FC" w:rsidR="00B6078F" w:rsidRPr="00B6078F" w:rsidRDefault="00B6078F" w:rsidP="00B6078F">
      <w:pPr>
        <w:rPr>
          <w:rFonts w:ascii="Times New Roman" w:hAnsi="Times New Roman" w:cs="Times New Roman"/>
        </w:rPr>
      </w:pPr>
    </w:p>
    <w:p w14:paraId="6F635FA8" w14:textId="77777777" w:rsidR="00B6078F" w:rsidRPr="00B6078F" w:rsidRDefault="00B6078F" w:rsidP="00B6078F">
      <w:pPr>
        <w:rPr>
          <w:rFonts w:ascii="Times New Roman" w:hAnsi="Times New Roman" w:cs="Times New Roman"/>
          <w:b/>
          <w:bCs/>
        </w:rPr>
      </w:pPr>
      <w:r w:rsidRPr="00B6078F">
        <w:rPr>
          <w:rFonts w:ascii="Times New Roman" w:hAnsi="Times New Roman" w:cs="Times New Roman"/>
          <w:b/>
          <w:bCs/>
        </w:rPr>
        <w:t>Methodology</w:t>
      </w:r>
    </w:p>
    <w:p w14:paraId="5259AF8F"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This study follows a two-phase methodology designed to isolate the predictive value of both structured market data and external contextual factors.</w:t>
      </w:r>
    </w:p>
    <w:p w14:paraId="55B0E0A2" w14:textId="77777777" w:rsidR="00B6078F" w:rsidRPr="00B6078F" w:rsidRDefault="00B6078F" w:rsidP="00B6078F">
      <w:pPr>
        <w:rPr>
          <w:rFonts w:ascii="Times New Roman" w:hAnsi="Times New Roman" w:cs="Times New Roman"/>
          <w:b/>
          <w:bCs/>
        </w:rPr>
      </w:pPr>
      <w:r w:rsidRPr="00B6078F">
        <w:rPr>
          <w:rFonts w:ascii="Times New Roman" w:hAnsi="Times New Roman" w:cs="Times New Roman"/>
          <w:b/>
          <w:bCs/>
        </w:rPr>
        <w:t>Phase 1: Stable Market Trend Detection</w:t>
      </w:r>
    </w:p>
    <w:p w14:paraId="7DA67EF7" w14:textId="77777777" w:rsidR="00B6078F" w:rsidRPr="00B6078F" w:rsidRDefault="00B6078F" w:rsidP="00B6078F">
      <w:pPr>
        <w:numPr>
          <w:ilvl w:val="0"/>
          <w:numId w:val="1"/>
        </w:numPr>
        <w:rPr>
          <w:rFonts w:ascii="Times New Roman" w:hAnsi="Times New Roman" w:cs="Times New Roman"/>
        </w:rPr>
      </w:pPr>
      <w:r w:rsidRPr="00B6078F">
        <w:rPr>
          <w:rFonts w:ascii="Times New Roman" w:hAnsi="Times New Roman" w:cs="Times New Roman"/>
          <w:b/>
          <w:bCs/>
        </w:rPr>
        <w:t>Data Source:</w:t>
      </w:r>
      <w:r w:rsidRPr="00B6078F">
        <w:rPr>
          <w:rFonts w:ascii="Times New Roman" w:hAnsi="Times New Roman" w:cs="Times New Roman"/>
        </w:rPr>
        <w:t xml:space="preserve"> Historical stock data from a stable market period (free of major economic disruptions).</w:t>
      </w:r>
    </w:p>
    <w:p w14:paraId="7761BAF2" w14:textId="77777777" w:rsidR="00B6078F" w:rsidRPr="00B6078F" w:rsidRDefault="00B6078F" w:rsidP="00B6078F">
      <w:pPr>
        <w:numPr>
          <w:ilvl w:val="0"/>
          <w:numId w:val="1"/>
        </w:numPr>
        <w:rPr>
          <w:rFonts w:ascii="Times New Roman" w:hAnsi="Times New Roman" w:cs="Times New Roman"/>
        </w:rPr>
      </w:pPr>
      <w:r w:rsidRPr="00B6078F">
        <w:rPr>
          <w:rFonts w:ascii="Times New Roman" w:hAnsi="Times New Roman" w:cs="Times New Roman"/>
          <w:b/>
          <w:bCs/>
        </w:rPr>
        <w:t>Techniques:</w:t>
      </w:r>
      <w:r w:rsidRPr="00B6078F">
        <w:rPr>
          <w:rFonts w:ascii="Times New Roman" w:hAnsi="Times New Roman" w:cs="Times New Roman"/>
        </w:rPr>
        <w:t xml:space="preserve"> Linear regression and logistic regression.</w:t>
      </w:r>
    </w:p>
    <w:p w14:paraId="7B4DC16F" w14:textId="77777777" w:rsidR="00B6078F" w:rsidRPr="00B6078F" w:rsidRDefault="00B6078F" w:rsidP="00B6078F">
      <w:pPr>
        <w:numPr>
          <w:ilvl w:val="0"/>
          <w:numId w:val="1"/>
        </w:numPr>
        <w:rPr>
          <w:rFonts w:ascii="Times New Roman" w:hAnsi="Times New Roman" w:cs="Times New Roman"/>
        </w:rPr>
      </w:pPr>
      <w:r w:rsidRPr="00B6078F">
        <w:rPr>
          <w:rFonts w:ascii="Times New Roman" w:hAnsi="Times New Roman" w:cs="Times New Roman"/>
          <w:b/>
          <w:bCs/>
        </w:rPr>
        <w:t>Goal:</w:t>
      </w:r>
      <w:r w:rsidRPr="00B6078F">
        <w:rPr>
          <w:rFonts w:ascii="Times New Roman" w:hAnsi="Times New Roman" w:cs="Times New Roman"/>
        </w:rPr>
        <w:t xml:space="preserve"> Identify baseline stock movement trends using open, close, high, and low prices.</w:t>
      </w:r>
    </w:p>
    <w:p w14:paraId="7102B256" w14:textId="77777777" w:rsidR="00B6078F" w:rsidRPr="00B6078F" w:rsidRDefault="00B6078F" w:rsidP="00B6078F">
      <w:pPr>
        <w:numPr>
          <w:ilvl w:val="0"/>
          <w:numId w:val="1"/>
        </w:numPr>
        <w:rPr>
          <w:rFonts w:ascii="Times New Roman" w:hAnsi="Times New Roman" w:cs="Times New Roman"/>
        </w:rPr>
      </w:pPr>
      <w:r w:rsidRPr="00B6078F">
        <w:rPr>
          <w:rFonts w:ascii="Times New Roman" w:hAnsi="Times New Roman" w:cs="Times New Roman"/>
          <w:b/>
          <w:bCs/>
        </w:rPr>
        <w:t>Evaluation Metrics:</w:t>
      </w:r>
      <w:r w:rsidRPr="00B6078F">
        <w:rPr>
          <w:rFonts w:ascii="Times New Roman" w:hAnsi="Times New Roman" w:cs="Times New Roman"/>
        </w:rPr>
        <w:t xml:space="preserve"> Accuracy, R² score, and confusion matrix for classification tasks.</w:t>
      </w:r>
    </w:p>
    <w:p w14:paraId="0F80868E" w14:textId="77777777" w:rsidR="00B6078F" w:rsidRPr="00B6078F" w:rsidRDefault="00B6078F" w:rsidP="00B6078F">
      <w:pPr>
        <w:rPr>
          <w:rFonts w:ascii="Times New Roman" w:hAnsi="Times New Roman" w:cs="Times New Roman"/>
          <w:b/>
          <w:bCs/>
        </w:rPr>
      </w:pPr>
      <w:r w:rsidRPr="00B6078F">
        <w:rPr>
          <w:rFonts w:ascii="Times New Roman" w:hAnsi="Times New Roman" w:cs="Times New Roman"/>
          <w:b/>
          <w:bCs/>
        </w:rPr>
        <w:lastRenderedPageBreak/>
        <w:t>Phase 2: Context-Enriched Prediction</w:t>
      </w:r>
    </w:p>
    <w:p w14:paraId="50B6AC0F" w14:textId="77777777" w:rsidR="00B6078F" w:rsidRPr="00B6078F" w:rsidRDefault="00B6078F" w:rsidP="00B6078F">
      <w:pPr>
        <w:numPr>
          <w:ilvl w:val="0"/>
          <w:numId w:val="2"/>
        </w:numPr>
        <w:rPr>
          <w:rFonts w:ascii="Times New Roman" w:hAnsi="Times New Roman" w:cs="Times New Roman"/>
        </w:rPr>
      </w:pPr>
      <w:r w:rsidRPr="00B6078F">
        <w:rPr>
          <w:rFonts w:ascii="Times New Roman" w:hAnsi="Times New Roman" w:cs="Times New Roman"/>
          <w:b/>
          <w:bCs/>
        </w:rPr>
        <w:t>Data Source:</w:t>
      </w:r>
      <w:r w:rsidRPr="00B6078F">
        <w:rPr>
          <w:rFonts w:ascii="Times New Roman" w:hAnsi="Times New Roman" w:cs="Times New Roman"/>
        </w:rPr>
        <w:t xml:space="preserve"> Time series stock data combined with sentiment analysis of financial news and social media, macroeconomic indicators (e.g., interest rates, inflation), and significant global events.</w:t>
      </w:r>
    </w:p>
    <w:p w14:paraId="0AF39751" w14:textId="77777777" w:rsidR="00B6078F" w:rsidRPr="00B6078F" w:rsidRDefault="00B6078F" w:rsidP="00B6078F">
      <w:pPr>
        <w:numPr>
          <w:ilvl w:val="0"/>
          <w:numId w:val="2"/>
        </w:numPr>
        <w:rPr>
          <w:rFonts w:ascii="Times New Roman" w:hAnsi="Times New Roman" w:cs="Times New Roman"/>
        </w:rPr>
      </w:pPr>
      <w:r w:rsidRPr="00B6078F">
        <w:rPr>
          <w:rFonts w:ascii="Times New Roman" w:hAnsi="Times New Roman" w:cs="Times New Roman"/>
          <w:b/>
          <w:bCs/>
        </w:rPr>
        <w:t>Techniques:</w:t>
      </w:r>
      <w:r w:rsidRPr="00B6078F">
        <w:rPr>
          <w:rFonts w:ascii="Times New Roman" w:hAnsi="Times New Roman" w:cs="Times New Roman"/>
        </w:rPr>
        <w:t xml:space="preserve"> Hybrid deep learning models including </w:t>
      </w:r>
      <w:proofErr w:type="spellStart"/>
      <w:r w:rsidRPr="00B6078F">
        <w:rPr>
          <w:rFonts w:ascii="Times New Roman" w:hAnsi="Times New Roman" w:cs="Times New Roman"/>
        </w:rPr>
        <w:t>BiLSTM</w:t>
      </w:r>
      <w:proofErr w:type="spellEnd"/>
      <w:r w:rsidRPr="00B6078F">
        <w:rPr>
          <w:rFonts w:ascii="Times New Roman" w:hAnsi="Times New Roman" w:cs="Times New Roman"/>
        </w:rPr>
        <w:t>, CNN, and attention-based architectures.</w:t>
      </w:r>
    </w:p>
    <w:p w14:paraId="3E00A610" w14:textId="77777777" w:rsidR="00B6078F" w:rsidRPr="00B6078F" w:rsidRDefault="00B6078F" w:rsidP="00B6078F">
      <w:pPr>
        <w:numPr>
          <w:ilvl w:val="0"/>
          <w:numId w:val="2"/>
        </w:numPr>
        <w:rPr>
          <w:rFonts w:ascii="Times New Roman" w:hAnsi="Times New Roman" w:cs="Times New Roman"/>
        </w:rPr>
      </w:pPr>
      <w:r w:rsidRPr="00B6078F">
        <w:rPr>
          <w:rFonts w:ascii="Times New Roman" w:hAnsi="Times New Roman" w:cs="Times New Roman"/>
          <w:b/>
          <w:bCs/>
        </w:rPr>
        <w:t>Tools:</w:t>
      </w:r>
      <w:r w:rsidRPr="00B6078F">
        <w:rPr>
          <w:rFonts w:ascii="Times New Roman" w:hAnsi="Times New Roman" w:cs="Times New Roman"/>
        </w:rPr>
        <w:t xml:space="preserve"> Python, TensorFlow/</w:t>
      </w:r>
      <w:proofErr w:type="spellStart"/>
      <w:r w:rsidRPr="00B6078F">
        <w:rPr>
          <w:rFonts w:ascii="Times New Roman" w:hAnsi="Times New Roman" w:cs="Times New Roman"/>
        </w:rPr>
        <w:t>Keras</w:t>
      </w:r>
      <w:proofErr w:type="spellEnd"/>
      <w:r w:rsidRPr="00B6078F">
        <w:rPr>
          <w:rFonts w:ascii="Times New Roman" w:hAnsi="Times New Roman" w:cs="Times New Roman"/>
        </w:rPr>
        <w:t>, Scikit-learn, and financial APIs (e.g., Alpha Vantage, Twitter API).</w:t>
      </w:r>
    </w:p>
    <w:p w14:paraId="39EF9106" w14:textId="77777777" w:rsidR="00B6078F" w:rsidRPr="00B6078F" w:rsidRDefault="00B6078F" w:rsidP="00B6078F">
      <w:pPr>
        <w:numPr>
          <w:ilvl w:val="0"/>
          <w:numId w:val="2"/>
        </w:numPr>
        <w:rPr>
          <w:rFonts w:ascii="Times New Roman" w:hAnsi="Times New Roman" w:cs="Times New Roman"/>
        </w:rPr>
      </w:pPr>
      <w:r w:rsidRPr="00B6078F">
        <w:rPr>
          <w:rFonts w:ascii="Times New Roman" w:hAnsi="Times New Roman" w:cs="Times New Roman"/>
          <w:b/>
          <w:bCs/>
        </w:rPr>
        <w:t>Goal:</w:t>
      </w:r>
      <w:r w:rsidRPr="00B6078F">
        <w:rPr>
          <w:rFonts w:ascii="Times New Roman" w:hAnsi="Times New Roman" w:cs="Times New Roman"/>
        </w:rPr>
        <w:t xml:space="preserve"> Enhance model robustness by incorporating external drivers of volatility.</w:t>
      </w:r>
    </w:p>
    <w:p w14:paraId="369B6B85" w14:textId="77777777" w:rsidR="00B6078F" w:rsidRPr="00B6078F" w:rsidRDefault="00B6078F" w:rsidP="00B6078F">
      <w:pPr>
        <w:numPr>
          <w:ilvl w:val="0"/>
          <w:numId w:val="2"/>
        </w:numPr>
        <w:rPr>
          <w:rFonts w:ascii="Times New Roman" w:hAnsi="Times New Roman" w:cs="Times New Roman"/>
        </w:rPr>
      </w:pPr>
      <w:r w:rsidRPr="00B6078F">
        <w:rPr>
          <w:rFonts w:ascii="Times New Roman" w:hAnsi="Times New Roman" w:cs="Times New Roman"/>
          <w:b/>
          <w:bCs/>
        </w:rPr>
        <w:t>Evaluation Metrics:</w:t>
      </w:r>
      <w:r w:rsidRPr="00B6078F">
        <w:rPr>
          <w:rFonts w:ascii="Times New Roman" w:hAnsi="Times New Roman" w:cs="Times New Roman"/>
        </w:rPr>
        <w:t xml:space="preserve"> RMSE, MAPE, Precision, Recall, and F1-Score.</w:t>
      </w:r>
    </w:p>
    <w:p w14:paraId="0378AD14"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The dual-phase design allows for controlled evaluation: first measuring predictive accuracy in clean environments, then quantifying performance improvements when complexity and real-world variables are introduced.</w:t>
      </w:r>
    </w:p>
    <w:p w14:paraId="479490FC" w14:textId="77777777" w:rsidR="00B6078F" w:rsidRPr="00B6078F" w:rsidRDefault="00557167" w:rsidP="00B6078F">
      <w:pPr>
        <w:rPr>
          <w:rFonts w:ascii="Times New Roman" w:hAnsi="Times New Roman" w:cs="Times New Roman"/>
        </w:rPr>
      </w:pPr>
      <w:r w:rsidRPr="00557167">
        <w:rPr>
          <w:rFonts w:ascii="Times New Roman" w:hAnsi="Times New Roman" w:cs="Times New Roman"/>
          <w:noProof/>
        </w:rPr>
        <w:pict w14:anchorId="369277F2">
          <v:rect id="_x0000_i1025" alt="" style="width:468pt;height:.05pt;mso-width-percent:0;mso-height-percent:0;mso-width-percent:0;mso-height-percent:0" o:hralign="center" o:hrstd="t" o:hr="t" fillcolor="#a0a0a0" stroked="f"/>
        </w:pict>
      </w:r>
    </w:p>
    <w:p w14:paraId="298B00A5" w14:textId="77777777" w:rsidR="00B6078F" w:rsidRPr="00B6078F" w:rsidRDefault="00B6078F" w:rsidP="00B6078F">
      <w:pPr>
        <w:rPr>
          <w:rFonts w:ascii="Times New Roman" w:hAnsi="Times New Roman" w:cs="Times New Roman"/>
          <w:b/>
          <w:bCs/>
        </w:rPr>
      </w:pPr>
      <w:r w:rsidRPr="00B6078F">
        <w:rPr>
          <w:rFonts w:ascii="Times New Roman" w:hAnsi="Times New Roman" w:cs="Times New Roman"/>
          <w:b/>
          <w:bCs/>
        </w:rPr>
        <w:t>References (APA Style)</w:t>
      </w:r>
    </w:p>
    <w:p w14:paraId="54A47F66"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 xml:space="preserve">Liu, X., Chen, C., &amp; Yang, Z. (2025). </w:t>
      </w:r>
      <w:r w:rsidRPr="00B6078F">
        <w:rPr>
          <w:rFonts w:ascii="Times New Roman" w:hAnsi="Times New Roman" w:cs="Times New Roman"/>
          <w:i/>
          <w:iCs/>
        </w:rPr>
        <w:t>China’s energy stock price index prediction based on VECM–</w:t>
      </w:r>
      <w:proofErr w:type="spellStart"/>
      <w:r w:rsidRPr="00B6078F">
        <w:rPr>
          <w:rFonts w:ascii="Times New Roman" w:hAnsi="Times New Roman" w:cs="Times New Roman"/>
          <w:i/>
          <w:iCs/>
        </w:rPr>
        <w:t>BiLSTM</w:t>
      </w:r>
      <w:proofErr w:type="spellEnd"/>
      <w:r w:rsidRPr="00B6078F">
        <w:rPr>
          <w:rFonts w:ascii="Times New Roman" w:hAnsi="Times New Roman" w:cs="Times New Roman"/>
          <w:i/>
          <w:iCs/>
        </w:rPr>
        <w:t xml:space="preserve"> model</w:t>
      </w:r>
      <w:r w:rsidRPr="00B6078F">
        <w:rPr>
          <w:rFonts w:ascii="Times New Roman" w:hAnsi="Times New Roman" w:cs="Times New Roman"/>
        </w:rPr>
        <w:t>. Journal of Computational and Cognitive Engineering. https://doi.org/10.1007/s11831-025-00123</w:t>
      </w:r>
    </w:p>
    <w:p w14:paraId="45B85481" w14:textId="77777777" w:rsidR="00B6078F" w:rsidRPr="00B6078F" w:rsidRDefault="00B6078F" w:rsidP="00B6078F">
      <w:pPr>
        <w:rPr>
          <w:rFonts w:ascii="Times New Roman" w:hAnsi="Times New Roman" w:cs="Times New Roman"/>
        </w:rPr>
      </w:pPr>
      <w:r w:rsidRPr="00B6078F">
        <w:rPr>
          <w:rFonts w:ascii="Times New Roman" w:hAnsi="Times New Roman" w:cs="Times New Roman"/>
        </w:rPr>
        <w:t xml:space="preserve">Lin, Y., Zhang, Z., &amp; Zhang, W. (2022). Spatial-temporal attention-based convolutional network with text and numerical information for stock price prediction. </w:t>
      </w:r>
      <w:r w:rsidRPr="00B6078F">
        <w:rPr>
          <w:rFonts w:ascii="Times New Roman" w:hAnsi="Times New Roman" w:cs="Times New Roman"/>
          <w:i/>
          <w:iCs/>
        </w:rPr>
        <w:t>Applied Intelligence</w:t>
      </w:r>
      <w:r w:rsidRPr="00B6078F">
        <w:rPr>
          <w:rFonts w:ascii="Times New Roman" w:hAnsi="Times New Roman" w:cs="Times New Roman"/>
        </w:rPr>
        <w:t>, 52, 8570–8587. https://doi.org/10.1007/s10489-021-02653-z</w:t>
      </w:r>
    </w:p>
    <w:p w14:paraId="5EE80235" w14:textId="77777777" w:rsidR="00EF7E84" w:rsidRDefault="00EF7E84"/>
    <w:sectPr w:rsidR="00EF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3B3"/>
    <w:multiLevelType w:val="multilevel"/>
    <w:tmpl w:val="623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F5D1A"/>
    <w:multiLevelType w:val="multilevel"/>
    <w:tmpl w:val="E6A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151903">
    <w:abstractNumId w:val="0"/>
  </w:num>
  <w:num w:numId="2" w16cid:durableId="71542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8F"/>
    <w:rsid w:val="000A3063"/>
    <w:rsid w:val="00164932"/>
    <w:rsid w:val="00557167"/>
    <w:rsid w:val="00B6078F"/>
    <w:rsid w:val="00DA2BC7"/>
    <w:rsid w:val="00E2744D"/>
    <w:rsid w:val="00EA4D8C"/>
    <w:rsid w:val="00EF7E84"/>
    <w:rsid w:val="00F3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4CC7"/>
  <w15:chartTrackingRefBased/>
  <w15:docId w15:val="{17F9D5D6-93B1-2545-8D20-8EEFDDAC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7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7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7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7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78F"/>
    <w:rPr>
      <w:rFonts w:eastAsiaTheme="majorEastAsia" w:cstheme="majorBidi"/>
      <w:color w:val="272727" w:themeColor="text1" w:themeTint="D8"/>
    </w:rPr>
  </w:style>
  <w:style w:type="paragraph" w:styleId="Title">
    <w:name w:val="Title"/>
    <w:basedOn w:val="Normal"/>
    <w:next w:val="Normal"/>
    <w:link w:val="TitleChar"/>
    <w:uiPriority w:val="10"/>
    <w:qFormat/>
    <w:rsid w:val="00B607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7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7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78F"/>
    <w:rPr>
      <w:i/>
      <w:iCs/>
      <w:color w:val="404040" w:themeColor="text1" w:themeTint="BF"/>
    </w:rPr>
  </w:style>
  <w:style w:type="paragraph" w:styleId="ListParagraph">
    <w:name w:val="List Paragraph"/>
    <w:basedOn w:val="Normal"/>
    <w:uiPriority w:val="34"/>
    <w:qFormat/>
    <w:rsid w:val="00B6078F"/>
    <w:pPr>
      <w:ind w:left="720"/>
      <w:contextualSpacing/>
    </w:pPr>
  </w:style>
  <w:style w:type="character" w:styleId="IntenseEmphasis">
    <w:name w:val="Intense Emphasis"/>
    <w:basedOn w:val="DefaultParagraphFont"/>
    <w:uiPriority w:val="21"/>
    <w:qFormat/>
    <w:rsid w:val="00B6078F"/>
    <w:rPr>
      <w:i/>
      <w:iCs/>
      <w:color w:val="0F4761" w:themeColor="accent1" w:themeShade="BF"/>
    </w:rPr>
  </w:style>
  <w:style w:type="paragraph" w:styleId="IntenseQuote">
    <w:name w:val="Intense Quote"/>
    <w:basedOn w:val="Normal"/>
    <w:next w:val="Normal"/>
    <w:link w:val="IntenseQuoteChar"/>
    <w:uiPriority w:val="30"/>
    <w:qFormat/>
    <w:rsid w:val="00B60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78F"/>
    <w:rPr>
      <w:i/>
      <w:iCs/>
      <w:color w:val="0F4761" w:themeColor="accent1" w:themeShade="BF"/>
    </w:rPr>
  </w:style>
  <w:style w:type="character" w:styleId="IntenseReference">
    <w:name w:val="Intense Reference"/>
    <w:basedOn w:val="DefaultParagraphFont"/>
    <w:uiPriority w:val="32"/>
    <w:qFormat/>
    <w:rsid w:val="00B607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1124">
      <w:bodyDiv w:val="1"/>
      <w:marLeft w:val="0"/>
      <w:marRight w:val="0"/>
      <w:marTop w:val="0"/>
      <w:marBottom w:val="0"/>
      <w:divBdr>
        <w:top w:val="none" w:sz="0" w:space="0" w:color="auto"/>
        <w:left w:val="none" w:sz="0" w:space="0" w:color="auto"/>
        <w:bottom w:val="none" w:sz="0" w:space="0" w:color="auto"/>
        <w:right w:val="none" w:sz="0" w:space="0" w:color="auto"/>
      </w:divBdr>
    </w:div>
    <w:div w:id="255987209">
      <w:bodyDiv w:val="1"/>
      <w:marLeft w:val="0"/>
      <w:marRight w:val="0"/>
      <w:marTop w:val="0"/>
      <w:marBottom w:val="0"/>
      <w:divBdr>
        <w:top w:val="none" w:sz="0" w:space="0" w:color="auto"/>
        <w:left w:val="none" w:sz="0" w:space="0" w:color="auto"/>
        <w:bottom w:val="none" w:sz="0" w:space="0" w:color="auto"/>
        <w:right w:val="none" w:sz="0" w:space="0" w:color="auto"/>
      </w:divBdr>
    </w:div>
    <w:div w:id="660040039">
      <w:bodyDiv w:val="1"/>
      <w:marLeft w:val="0"/>
      <w:marRight w:val="0"/>
      <w:marTop w:val="0"/>
      <w:marBottom w:val="0"/>
      <w:divBdr>
        <w:top w:val="none" w:sz="0" w:space="0" w:color="auto"/>
        <w:left w:val="none" w:sz="0" w:space="0" w:color="auto"/>
        <w:bottom w:val="none" w:sz="0" w:space="0" w:color="auto"/>
        <w:right w:val="none" w:sz="0" w:space="0" w:color="auto"/>
      </w:divBdr>
    </w:div>
    <w:div w:id="991249764">
      <w:bodyDiv w:val="1"/>
      <w:marLeft w:val="0"/>
      <w:marRight w:val="0"/>
      <w:marTop w:val="0"/>
      <w:marBottom w:val="0"/>
      <w:divBdr>
        <w:top w:val="none" w:sz="0" w:space="0" w:color="auto"/>
        <w:left w:val="none" w:sz="0" w:space="0" w:color="auto"/>
        <w:bottom w:val="none" w:sz="0" w:space="0" w:color="auto"/>
        <w:right w:val="none" w:sz="0" w:space="0" w:color="auto"/>
      </w:divBdr>
    </w:div>
    <w:div w:id="1078941330">
      <w:bodyDiv w:val="1"/>
      <w:marLeft w:val="0"/>
      <w:marRight w:val="0"/>
      <w:marTop w:val="0"/>
      <w:marBottom w:val="0"/>
      <w:divBdr>
        <w:top w:val="none" w:sz="0" w:space="0" w:color="auto"/>
        <w:left w:val="none" w:sz="0" w:space="0" w:color="auto"/>
        <w:bottom w:val="none" w:sz="0" w:space="0" w:color="auto"/>
        <w:right w:val="none" w:sz="0" w:space="0" w:color="auto"/>
      </w:divBdr>
    </w:div>
    <w:div w:id="1126775095">
      <w:bodyDiv w:val="1"/>
      <w:marLeft w:val="0"/>
      <w:marRight w:val="0"/>
      <w:marTop w:val="0"/>
      <w:marBottom w:val="0"/>
      <w:divBdr>
        <w:top w:val="none" w:sz="0" w:space="0" w:color="auto"/>
        <w:left w:val="none" w:sz="0" w:space="0" w:color="auto"/>
        <w:bottom w:val="none" w:sz="0" w:space="0" w:color="auto"/>
        <w:right w:val="none" w:sz="0" w:space="0" w:color="auto"/>
      </w:divBdr>
    </w:div>
    <w:div w:id="1322469572">
      <w:bodyDiv w:val="1"/>
      <w:marLeft w:val="0"/>
      <w:marRight w:val="0"/>
      <w:marTop w:val="0"/>
      <w:marBottom w:val="0"/>
      <w:divBdr>
        <w:top w:val="none" w:sz="0" w:space="0" w:color="auto"/>
        <w:left w:val="none" w:sz="0" w:space="0" w:color="auto"/>
        <w:bottom w:val="none" w:sz="0" w:space="0" w:color="auto"/>
        <w:right w:val="none" w:sz="0" w:space="0" w:color="auto"/>
      </w:divBdr>
    </w:div>
    <w:div w:id="1328705764">
      <w:bodyDiv w:val="1"/>
      <w:marLeft w:val="0"/>
      <w:marRight w:val="0"/>
      <w:marTop w:val="0"/>
      <w:marBottom w:val="0"/>
      <w:divBdr>
        <w:top w:val="none" w:sz="0" w:space="0" w:color="auto"/>
        <w:left w:val="none" w:sz="0" w:space="0" w:color="auto"/>
        <w:bottom w:val="none" w:sz="0" w:space="0" w:color="auto"/>
        <w:right w:val="none" w:sz="0" w:space="0" w:color="auto"/>
      </w:divBdr>
    </w:div>
    <w:div w:id="1581870695">
      <w:bodyDiv w:val="1"/>
      <w:marLeft w:val="0"/>
      <w:marRight w:val="0"/>
      <w:marTop w:val="0"/>
      <w:marBottom w:val="0"/>
      <w:divBdr>
        <w:top w:val="none" w:sz="0" w:space="0" w:color="auto"/>
        <w:left w:val="none" w:sz="0" w:space="0" w:color="auto"/>
        <w:bottom w:val="none" w:sz="0" w:space="0" w:color="auto"/>
        <w:right w:val="none" w:sz="0" w:space="0" w:color="auto"/>
      </w:divBdr>
    </w:div>
    <w:div w:id="1583951250">
      <w:bodyDiv w:val="1"/>
      <w:marLeft w:val="0"/>
      <w:marRight w:val="0"/>
      <w:marTop w:val="0"/>
      <w:marBottom w:val="0"/>
      <w:divBdr>
        <w:top w:val="none" w:sz="0" w:space="0" w:color="auto"/>
        <w:left w:val="none" w:sz="0" w:space="0" w:color="auto"/>
        <w:bottom w:val="none" w:sz="0" w:space="0" w:color="auto"/>
        <w:right w:val="none" w:sz="0" w:space="0" w:color="auto"/>
      </w:divBdr>
    </w:div>
    <w:div w:id="1612739807">
      <w:bodyDiv w:val="1"/>
      <w:marLeft w:val="0"/>
      <w:marRight w:val="0"/>
      <w:marTop w:val="0"/>
      <w:marBottom w:val="0"/>
      <w:divBdr>
        <w:top w:val="none" w:sz="0" w:space="0" w:color="auto"/>
        <w:left w:val="none" w:sz="0" w:space="0" w:color="auto"/>
        <w:bottom w:val="none" w:sz="0" w:space="0" w:color="auto"/>
        <w:right w:val="none" w:sz="0" w:space="0" w:color="auto"/>
      </w:divBdr>
    </w:div>
    <w:div w:id="1906448267">
      <w:bodyDiv w:val="1"/>
      <w:marLeft w:val="0"/>
      <w:marRight w:val="0"/>
      <w:marTop w:val="0"/>
      <w:marBottom w:val="0"/>
      <w:divBdr>
        <w:top w:val="none" w:sz="0" w:space="0" w:color="auto"/>
        <w:left w:val="none" w:sz="0" w:space="0" w:color="auto"/>
        <w:bottom w:val="none" w:sz="0" w:space="0" w:color="auto"/>
        <w:right w:val="none" w:sz="0" w:space="0" w:color="auto"/>
      </w:divBdr>
    </w:div>
    <w:div w:id="1974754098">
      <w:bodyDiv w:val="1"/>
      <w:marLeft w:val="0"/>
      <w:marRight w:val="0"/>
      <w:marTop w:val="0"/>
      <w:marBottom w:val="0"/>
      <w:divBdr>
        <w:top w:val="none" w:sz="0" w:space="0" w:color="auto"/>
        <w:left w:val="none" w:sz="0" w:space="0" w:color="auto"/>
        <w:bottom w:val="none" w:sz="0" w:space="0" w:color="auto"/>
        <w:right w:val="none" w:sz="0" w:space="0" w:color="auto"/>
      </w:divBdr>
    </w:div>
    <w:div w:id="2048068505">
      <w:bodyDiv w:val="1"/>
      <w:marLeft w:val="0"/>
      <w:marRight w:val="0"/>
      <w:marTop w:val="0"/>
      <w:marBottom w:val="0"/>
      <w:divBdr>
        <w:top w:val="none" w:sz="0" w:space="0" w:color="auto"/>
        <w:left w:val="none" w:sz="0" w:space="0" w:color="auto"/>
        <w:bottom w:val="none" w:sz="0" w:space="0" w:color="auto"/>
        <w:right w:val="none" w:sz="0" w:space="0" w:color="auto"/>
      </w:divBdr>
    </w:div>
    <w:div w:id="2095005945">
      <w:bodyDiv w:val="1"/>
      <w:marLeft w:val="0"/>
      <w:marRight w:val="0"/>
      <w:marTop w:val="0"/>
      <w:marBottom w:val="0"/>
      <w:divBdr>
        <w:top w:val="none" w:sz="0" w:space="0" w:color="auto"/>
        <w:left w:val="none" w:sz="0" w:space="0" w:color="auto"/>
        <w:bottom w:val="none" w:sz="0" w:space="0" w:color="auto"/>
        <w:right w:val="none" w:sz="0" w:space="0" w:color="auto"/>
      </w:divBdr>
    </w:div>
    <w:div w:id="211401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Bin25</b:Tag>
    <b:SourceType>Book</b:SourceType>
    <b:Guid>{B56D4B65-9DB7-1E4F-B921-A604D2528639}</b:Guid>
    <b:Author>
      <b:Author>
        <b:NameList>
          <b:Person>
            <b:Last>Liu</b:Last>
            <b:First>Bingchun</b:First>
          </b:Person>
          <b:Person>
            <b:Last>Zhang</b:Last>
            <b:First>Xia</b:First>
          </b:Person>
          <b:Person>
            <b:Last>Gao</b:Last>
            <b:First>Yuan</b:First>
          </b:Person>
          <b:Person>
            <b:Last>Xu</b:Last>
            <b:First>Minghui</b:First>
          </b:Person>
          <b:Person>
            <b:Last>Wang</b:Last>
            <b:First>Xiaobo</b:First>
          </b:Person>
        </b:NameList>
      </b:Author>
      <b:Editor>
        <b:NameList>
          <b:Person>
            <b:Last>Schaeffer</b:Last>
            <b:First>Peter</b:First>
            <b:Middle>V.</b:Middle>
          </b:Person>
        </b:NameList>
      </b:Editor>
    </b:Author>
    <b:Title>China’s Energy Stock Price Index Prediction Based on VECM–BiLSTM Model</b:Title>
    <b:Publisher>Energies</b:Publisher>
    <b:Year>2025</b:Year>
    <b:RefOrder>1</b:RefOrder>
  </b:Source>
</b:Sources>
</file>

<file path=customXml/itemProps1.xml><?xml version="1.0" encoding="utf-8"?>
<ds:datastoreItem xmlns:ds="http://schemas.openxmlformats.org/officeDocument/2006/customXml" ds:itemID="{3D88539F-A7A9-3942-BF5F-B7B0C0D1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656</Words>
  <Characters>3978</Characters>
  <Application>Microsoft Office Word</Application>
  <DocSecurity>0</DocSecurity>
  <Lines>90</Lines>
  <Paragraphs>72</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Ugbala, Martin</dc:creator>
  <cp:keywords/>
  <dc:description/>
  <cp:lastModifiedBy>Ugbala, Martin</cp:lastModifiedBy>
  <cp:revision>2</cp:revision>
  <dcterms:created xsi:type="dcterms:W3CDTF">2025-06-01T01:47:00Z</dcterms:created>
  <dcterms:modified xsi:type="dcterms:W3CDTF">2025-06-01T02:12:00Z</dcterms:modified>
</cp:coreProperties>
</file>