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Metadata/LabelInfo.xml" ContentType="application/vnd.ms-office.classificationlabel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FE7" w:rsidRDefault="006B44E7">
      <w:pPr>
        <w:pStyle w:val="BodyText"/>
        <w:spacing w:after="0" w:line="240" w:lineRule="auto"/>
        <w:jc w:val="center"/>
        <w:rPr>
          <w:rFonts w:cs="Calibri"/>
          <w:b/>
          <w:sz w:val="40"/>
          <w:szCs w:val="40"/>
        </w:rPr>
      </w:pPr>
      <w:r>
        <w:rPr>
          <w:rFonts w:cs="Calibri"/>
          <w:b/>
          <w:noProof/>
          <w:sz w:val="32"/>
          <w:szCs w:val="32"/>
        </w:rPr>
        <w:drawing>
          <wp:inline distT="0" distB="0" distL="0" distR="0" wp14:anchorId="25191226" wp14:editId="4DDA1318">
            <wp:extent cx="4342582" cy="801310"/>
            <wp:effectExtent l="0" t="0" r="1270" b="0"/>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foglg\Desktop\Microsoft.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25135" b="24594"/>
                    <a:stretch/>
                  </pic:blipFill>
                  <pic:spPr bwMode="auto">
                    <a:xfrm>
                      <a:off x="0" y="0"/>
                      <a:ext cx="4343330" cy="801448"/>
                    </a:xfrm>
                    <a:prstGeom prst="rect">
                      <a:avLst/>
                    </a:prstGeom>
                    <a:noFill/>
                    <a:ln>
                      <a:noFill/>
                    </a:ln>
                    <a:extLst>
                      <a:ext uri="{53640926-AAD7-44D8-BBD7-CCE9431645EC}">
                        <a14:shadowObscured xmlns:a14="http://schemas.microsoft.com/office/drawing/2010/main"/>
                      </a:ext>
                    </a:extLst>
                  </pic:spPr>
                </pic:pic>
              </a:graphicData>
            </a:graphic>
          </wp:inline>
        </w:drawing>
      </w:r>
    </w:p>
    <w:p w:rsidR="00C60FE7" w:rsidRDefault="006B44E7">
      <w:pPr>
        <w:ind w:left="-90" w:right="-88"/>
        <w:jc w:val="center"/>
        <w:rPr>
          <w:rFonts w:eastAsia="Times New Roman" w:cs="Calibri"/>
          <w:b/>
          <w:sz w:val="28"/>
          <w:szCs w:val="28"/>
        </w:rPr>
      </w:pPr>
      <w:r>
        <w:rPr>
          <w:rFonts w:eastAsia="Times New Roman" w:cs="Calibri"/>
          <w:b/>
          <w:sz w:val="28"/>
          <w:szCs w:val="28"/>
        </w:rPr>
        <w:t>Employee Information Supplement</w:t>
      </w:r>
      <w:r>
        <w:rPr>
          <w:rFonts w:eastAsia="Times New Roman" w:cs="Calibri"/>
          <w:b/>
          <w:sz w:val="28"/>
          <w:szCs w:val="28"/>
        </w:rPr>
        <w:br/>
        <w:t>Stock Awar</w:t>
      </w:r>
      <w:bookmarkStart w:name="_GoBack" w:id="0"/>
      <w:bookmarkEnd w:id="0"/>
      <w:r>
        <w:rPr>
          <w:rFonts w:eastAsia="Times New Roman" w:cs="Calibri"/>
          <w:b/>
          <w:sz w:val="28"/>
          <w:szCs w:val="28"/>
        </w:rPr>
        <w:t>ds</w:t>
      </w:r>
    </w:p>
    <w:p w:rsidR="00C60FE7" w:rsidRDefault="00C60FE7">
      <w:pPr>
        <w:ind w:left="-90" w:right="-88"/>
        <w:jc w:val="center"/>
        <w:rPr>
          <w:rFonts w:eastAsia="Times New Roman" w:cs="Calibri"/>
          <w:b/>
          <w:sz w:val="16"/>
          <w:szCs w:val="16"/>
        </w:rPr>
      </w:pPr>
    </w:p>
    <w:p w:rsidR="00C60FE7" w:rsidRDefault="006B44E7">
      <w:pPr>
        <w:ind w:left="-90" w:right="-88"/>
        <w:jc w:val="center"/>
        <w:rPr>
          <w:rFonts w:eastAsia="Times New Roman" w:cs="Calibri"/>
          <w:b/>
          <w:sz w:val="32"/>
          <w:szCs w:val="32"/>
        </w:rPr>
      </w:pPr>
      <w:r>
        <w:rPr>
          <w:rFonts w:eastAsia="Times New Roman" w:cs="Calibri"/>
          <w:b/>
          <w:sz w:val="32"/>
          <w:szCs w:val="32"/>
        </w:rPr>
        <w:t>CANADA</w:t>
      </w:r>
    </w:p>
    <w:p w:rsidR="00C60FE7" w:rsidRDefault="00C60FE7">
      <w:pPr>
        <w:ind w:left="-90" w:right="-88"/>
        <w:jc w:val="center"/>
        <w:rPr>
          <w:rFonts w:eastAsia="Times New Roman" w:cs="Calibri"/>
          <w:b/>
          <w:sz w:val="16"/>
          <w:szCs w:val="16"/>
        </w:rPr>
      </w:pPr>
    </w:p>
    <w:tbl>
      <w:tblPr>
        <w:tblStyle w:val="TableGrid"/>
        <w:tblW w:w="0" w:type="auto"/>
        <w:tblLook w:val="04A0" w:firstRow="1" w:lastRow="0" w:firstColumn="1" w:lastColumn="0" w:noHBand="0" w:noVBand="1"/>
      </w:tblPr>
      <w:tblGrid>
        <w:gridCol w:w="10072"/>
      </w:tblGrid>
      <w:tr w:rsidR="00EA5816">
        <w:tc>
          <w:tcPr>
            <w:tcW w:w="10278" w:type="dxa"/>
            <w:shd w:val="clear" w:color="auto" w:fill="001D58"/>
          </w:tcPr>
          <w:p w:rsidR="00C60FE7" w:rsidRDefault="006B44E7">
            <w:pPr>
              <w:spacing w:before="120" w:after="120"/>
              <w:jc w:val="center"/>
              <w:rPr>
                <w:rFonts w:eastAsia="Times New Roman" w:cs="Calibri"/>
                <w:b/>
                <w:caps/>
                <w:sz w:val="24"/>
                <w:szCs w:val="24"/>
              </w:rPr>
            </w:pPr>
            <w:r>
              <w:rPr>
                <w:rFonts w:eastAsia="Times New Roman" w:cs="Calibri"/>
                <w:b/>
                <w:caps/>
                <w:sz w:val="24"/>
                <w:szCs w:val="24"/>
              </w:rPr>
              <w:t>Overview</w:t>
            </w:r>
          </w:p>
        </w:tc>
      </w:tr>
      <w:tr w:rsidR="00EA5816">
        <w:tc>
          <w:tcPr>
            <w:tcW w:w="10278" w:type="dxa"/>
          </w:tcPr>
          <w:p w:rsidR="00C60FE7" w:rsidRDefault="006B44E7">
            <w:pPr>
              <w:spacing w:before="120" w:after="120"/>
              <w:jc w:val="both"/>
              <w:rPr>
                <w:rFonts w:eastAsia="Times New Roman" w:cs="Calibri"/>
              </w:rPr>
            </w:pPr>
            <w:r>
              <w:rPr>
                <w:rFonts w:eastAsia="Times New Roman" w:cs="Calibri"/>
              </w:rPr>
              <w:t xml:space="preserve">This supplement has been prepared to provide you with a summary of the tax consequences and certain other issues associated with the grant of </w:t>
            </w:r>
            <w:r w:rsidR="00B17E57">
              <w:rPr>
                <w:rFonts w:eastAsia="Times New Roman" w:cs="Calibri"/>
              </w:rPr>
              <w:t>Stock A</w:t>
            </w:r>
            <w:r w:rsidR="00DD32EF">
              <w:rPr>
                <w:rFonts w:eastAsia="Times New Roman" w:cs="Calibri"/>
              </w:rPr>
              <w:t>wards</w:t>
            </w:r>
            <w:r>
              <w:rPr>
                <w:rFonts w:eastAsia="Times New Roman" w:cs="Calibri"/>
              </w:rPr>
              <w:t xml:space="preserve"> (“</w:t>
            </w:r>
            <w:proofErr w:type="spellStart"/>
            <w:r>
              <w:rPr>
                <w:rFonts w:eastAsia="Times New Roman" w:cs="Calibri"/>
              </w:rPr>
              <w:t>SAs</w:t>
            </w:r>
            <w:proofErr w:type="spellEnd"/>
            <w:r>
              <w:rPr>
                <w:rFonts w:eastAsia="Times New Roman" w:cs="Calibri"/>
              </w:rPr>
              <w:t xml:space="preserve">”) </w:t>
            </w:r>
            <w:r>
              <w:rPr>
                <w:rStyle w:val="FootnoteReference"/>
                <w:rFonts w:eastAsia="Times New Roman"/>
                <w:szCs w:val="24"/>
              </w:rPr>
              <w:footnoteReference w:id="1"/>
            </w:r>
            <w:r>
              <w:rPr>
                <w:rFonts w:eastAsia="Times New Roman" w:cs="Calibri"/>
              </w:rPr>
              <w:t xml:space="preserve"> by </w:t>
            </w:r>
            <w:sdt>
              <w:sdtPr>
                <w:alias w:val="Contract Express"/>
                <w:tag w:val="d=CoName&amp;r="/>
                <w:id w:val="1226499613"/>
              </w:sdtPr>
              <w:sdtEndPr/>
              <w:sdtContent>
                <w:r>
                  <w:rPr>
                    <w:rFonts w:eastAsia="Times New Roman" w:cs="Calibri"/>
                    <w:b/>
                  </w:rPr>
                  <w:t>Microsoft Corporation</w:t>
                </w:r>
              </w:sdtContent>
            </w:sdt>
            <w:r>
              <w:rPr>
                <w:rFonts w:eastAsia="Times New Roman" w:cs="Calibri"/>
              </w:rPr>
              <w:t xml:space="preserve"> (the “Company”) under the </w:t>
            </w:r>
            <w:sdt>
              <w:sdtPr>
                <w:alias w:val="Contract Express"/>
                <w:tag w:val="d=PlanName&amp;r="/>
                <w:id w:val="1868025591"/>
              </w:sdtPr>
              <w:sdtEndPr/>
              <w:sdtContent>
                <w:r>
                  <w:rPr>
                    <w:rFonts w:eastAsia="Times New Roman" w:cs="Calibri"/>
                    <w:b/>
                  </w:rPr>
                  <w:t>2017 Stock Plan</w:t>
                </w:r>
              </w:sdtContent>
            </w:sdt>
            <w:r>
              <w:rPr>
                <w:rFonts w:eastAsia="Times New Roman" w:cs="Calibri"/>
              </w:rPr>
              <w:t xml:space="preserve"> (the “Plan”).</w:t>
            </w:r>
          </w:p>
          <w:p w:rsidR="00C60FE7" w:rsidRDefault="006B44E7">
            <w:pPr>
              <w:tabs>
                <w:tab w:val="left" w:pos="3870"/>
              </w:tabs>
              <w:spacing w:before="120" w:after="120"/>
              <w:jc w:val="both"/>
              <w:rPr>
                <w:rFonts w:eastAsia="Times New Roman" w:cs="Calibri"/>
              </w:rPr>
            </w:pPr>
            <w:r>
              <w:rPr>
                <w:rFonts w:eastAsia="Times New Roman" w:cs="Calibri"/>
              </w:rPr>
              <w:t xml:space="preserve">This supplement is based on the tax laws in effect in your country as of </w:t>
            </w:r>
            <w:sdt>
              <w:sdtPr>
                <w:alias w:val="Contract Express"/>
                <w:tag w:val="d=EffectiveDate&amp;r="/>
                <w:id w:val="1982667652"/>
              </w:sdtPr>
              <w:sdtEndPr/>
              <w:sdtContent>
                <w:r>
                  <w:rPr>
                    <w:rFonts w:eastAsia="Times New Roman" w:cs="Calibri"/>
                    <w:b/>
                  </w:rPr>
                  <w:t>December 2022</w:t>
                </w:r>
              </w:sdtContent>
            </w:sdt>
            <w:r>
              <w:rPr>
                <w:rFonts w:eastAsia="Times New Roman" w:cs="Calibri"/>
              </w:rPr>
              <w:t xml:space="preserve">. </w:t>
            </w:r>
          </w:p>
          <w:p w:rsidR="00C60FE7" w:rsidRDefault="006B44E7">
            <w:pPr>
              <w:tabs>
                <w:tab w:val="left" w:pos="3870"/>
              </w:tabs>
              <w:spacing w:before="120" w:after="120"/>
              <w:jc w:val="both"/>
              <w:rPr>
                <w:rFonts w:eastAsia="Times New Roman" w:cs="Calibri"/>
                <w:bCs/>
              </w:rPr>
            </w:pPr>
            <w:r>
              <w:rPr>
                <w:rFonts w:eastAsia="Times New Roman" w:cs="Calibri"/>
              </w:rPr>
              <w:t>Tax</w:t>
            </w:r>
            <w:r>
              <w:rPr>
                <w:rFonts w:eastAsia="Times New Roman" w:cs="Calibri"/>
                <w:bCs/>
              </w:rPr>
              <w:t xml:space="preserve"> laws often are complex and can change frequently. As a result, you should consult with your personal tax advisor for current information and further guidance regarding your personal tax liabilities and responsibilities associated with the grant of your </w:t>
            </w:r>
            <w:proofErr w:type="spellStart"/>
            <w:r>
              <w:rPr>
                <w:rFonts w:eastAsia="Times New Roman" w:cs="Calibri"/>
                <w:bCs/>
              </w:rPr>
              <w:t>SAs</w:t>
            </w:r>
            <w:proofErr w:type="spellEnd"/>
            <w:r>
              <w:rPr>
                <w:rFonts w:eastAsia="Times New Roman" w:cs="Calibri"/>
                <w:bCs/>
              </w:rPr>
              <w:t xml:space="preserve">, the vesting of your </w:t>
            </w:r>
            <w:proofErr w:type="spellStart"/>
            <w:r>
              <w:rPr>
                <w:rFonts w:eastAsia="Times New Roman" w:cs="Calibri"/>
                <w:bCs/>
              </w:rPr>
              <w:t>SAs</w:t>
            </w:r>
            <w:proofErr w:type="spellEnd"/>
            <w:r>
              <w:rPr>
                <w:rFonts w:eastAsia="Times New Roman" w:cs="Calibri"/>
                <w:bCs/>
              </w:rPr>
              <w:t xml:space="preserve"> and issuance of Company shares, the payment of any dividends on such shares, and the sale of Company shares acquired under the Plan.</w:t>
            </w:r>
          </w:p>
          <w:p w:rsidR="00C60FE7" w:rsidRDefault="006B44E7">
            <w:pPr>
              <w:pStyle w:val="BodyText"/>
              <w:spacing w:before="120" w:after="120" w:line="240" w:lineRule="auto"/>
              <w:jc w:val="both"/>
              <w:rPr>
                <w:rFonts w:eastAsia="Times New Roman" w:cs="Calibri"/>
              </w:rPr>
            </w:pPr>
            <w:r>
              <w:rPr>
                <w:rFonts w:eastAsia="Times New Roman" w:cs="Calibri"/>
              </w:rPr>
              <w:t xml:space="preserve">Please note that this supplement is general in nature and does not discuss all of the various laws, rules and regulations that may apply.  It may not apply to your particular tax or financial situation, and the Company is not in a position to assure you of any particular tax result. The information in this supplement assumes that the </w:t>
            </w:r>
            <w:proofErr w:type="spellStart"/>
            <w:r>
              <w:rPr>
                <w:rFonts w:eastAsia="Times New Roman" w:cs="Calibri"/>
              </w:rPr>
              <w:t>SAs</w:t>
            </w:r>
            <w:proofErr w:type="spellEnd"/>
            <w:r>
              <w:rPr>
                <w:rFonts w:eastAsia="Times New Roman" w:cs="Calibri"/>
              </w:rPr>
              <w:t xml:space="preserve"> will be settled in shares and that the shares will be issued as soon as administratively practicable following the date of vesting. If any dividends are paid on shares, it is assumed that the dividends will be paid into an offshore brokerage account (</w:t>
            </w:r>
            <w:r>
              <w:rPr>
                <w:rFonts w:eastAsia="Times New Roman" w:cs="Calibri"/>
                <w:i/>
              </w:rPr>
              <w:t>i.e.,</w:t>
            </w:r>
            <w:r>
              <w:rPr>
                <w:rFonts w:eastAsia="Times New Roman" w:cs="Calibri"/>
              </w:rPr>
              <w:t xml:space="preserve"> they will not be paid by a bank in your country or into an account in your country). </w:t>
            </w:r>
            <w:r>
              <w:rPr>
                <w:rFonts w:eastAsia="Times New Roman" w:cs="Calibri"/>
                <w:b/>
                <w:bCs/>
              </w:rPr>
              <w:t>You should consult with an appropriate professional advisor as to how the tax or other laws in your country apply to your specific situation.</w:t>
            </w:r>
          </w:p>
          <w:p w:rsidR="00C60FE7" w:rsidRDefault="006B44E7">
            <w:pPr>
              <w:pStyle w:val="BodyText"/>
              <w:spacing w:before="120" w:after="120" w:line="240" w:lineRule="auto"/>
              <w:jc w:val="both"/>
              <w:rPr>
                <w:rFonts w:eastAsia="Times New Roman" w:cs="Calibri"/>
              </w:rPr>
            </w:pPr>
            <w:r>
              <w:rPr>
                <w:rFonts w:eastAsia="Times New Roman" w:cs="Calibri"/>
              </w:rPr>
              <w:t xml:space="preserve">If you are a citizen or resident of another country or transfer employment and/or residency after </w:t>
            </w:r>
            <w:proofErr w:type="spellStart"/>
            <w:r>
              <w:rPr>
                <w:rFonts w:eastAsia="Times New Roman" w:cs="Calibri"/>
              </w:rPr>
              <w:t>SAs</w:t>
            </w:r>
            <w:proofErr w:type="spellEnd"/>
            <w:r>
              <w:rPr>
                <w:rFonts w:eastAsia="Times New Roman" w:cs="Calibri"/>
              </w:rPr>
              <w:t xml:space="preserve"> are granted to you or if you are no longer actively employed at the time of the taxable event, the information contained in this supplement may not be applicable to you.</w:t>
            </w:r>
          </w:p>
          <w:p w:rsidR="00C60FE7" w:rsidRDefault="006B44E7">
            <w:pPr>
              <w:pStyle w:val="BodyText"/>
              <w:spacing w:before="120" w:after="120"/>
              <w:jc w:val="both"/>
              <w:rPr>
                <w:rFonts w:cs="Calibri"/>
              </w:rPr>
            </w:pPr>
            <w:r>
              <w:rPr>
                <w:rFonts w:eastAsia="Times New Roman" w:cs="Calibri"/>
              </w:rPr>
              <w:t>Finally, the information in this supplement assumes that you are not a U.S. tax resident and that you have completed a Form W-</w:t>
            </w:r>
            <w:proofErr w:type="spellStart"/>
            <w:r>
              <w:rPr>
                <w:rFonts w:eastAsia="Times New Roman" w:cs="Calibri"/>
              </w:rPr>
              <w:t>8BEN</w:t>
            </w:r>
            <w:proofErr w:type="spellEnd"/>
            <w:r>
              <w:rPr>
                <w:rFonts w:eastAsia="Times New Roman" w:cs="Calibri"/>
              </w:rPr>
              <w:t xml:space="preserve"> to certify your status as a non-U.S. person.  </w:t>
            </w:r>
          </w:p>
        </w:tc>
      </w:tr>
    </w:tbl>
    <w:p w:rsidR="00C60FE7" w:rsidRDefault="00C60FE7">
      <w:pPr>
        <w:spacing w:before="80" w:after="80"/>
        <w:rPr>
          <w:rFonts w:cs="Calibri"/>
          <w:sz w:val="8"/>
          <w:szCs w:val="8"/>
        </w:rPr>
      </w:pPr>
    </w:p>
    <w:tbl>
      <w:tblPr>
        <w:tblStyle w:val="TableGrid"/>
        <w:tblW w:w="0" w:type="auto"/>
        <w:tblInd w:w="1818" w:type="dxa"/>
        <w:tblLook w:val="04A0" w:firstRow="1" w:lastRow="0" w:firstColumn="1" w:lastColumn="0" w:noHBand="0" w:noVBand="1"/>
      </w:tblPr>
      <w:tblGrid>
        <w:gridCol w:w="6660"/>
      </w:tblGrid>
      <w:tr w:rsidR="00EA5816">
        <w:tc>
          <w:tcPr>
            <w:tcW w:w="6660" w:type="dxa"/>
            <w:tcBorders>
              <w:top w:val="single" w:color="auto" w:sz="4" w:space="0"/>
              <w:left w:val="single" w:color="auto" w:sz="4" w:space="0"/>
              <w:bottom w:val="single" w:color="auto" w:sz="4" w:space="0"/>
              <w:right w:val="single" w:color="auto" w:sz="4" w:space="0"/>
            </w:tcBorders>
            <w:hideMark/>
          </w:tcPr>
          <w:p w:rsidR="00C60FE7" w:rsidRDefault="006B44E7">
            <w:pPr>
              <w:jc w:val="both"/>
              <w:rPr>
                <w:rFonts w:cs="Calibri"/>
                <w:b/>
                <w:lang w:val="en-GB" w:eastAsia="zh-TW"/>
              </w:rPr>
            </w:pPr>
            <w:bookmarkStart w:name="securitydisclaimer" w:id="3"/>
            <w:r>
              <w:rPr>
                <w:rFonts w:cs="Calibri"/>
                <w:b/>
                <w:lang w:val="en-GB" w:eastAsia="zh-TW"/>
              </w:rPr>
              <w:t>This document constitutes part of a prospectus covering securities that have been registered with the U.S. Securities and Exchange Commission under the U.S. Securities Act of 1933, as amended.</w:t>
            </w:r>
            <w:bookmarkEnd w:id="3"/>
          </w:p>
        </w:tc>
      </w:tr>
    </w:tbl>
    <w:p w:rsidR="00C60FE7" w:rsidRDefault="006B44E7">
      <w:r>
        <w:br w:type="page"/>
      </w:r>
    </w:p>
    <w:tbl>
      <w:tblPr>
        <w:tblStyle w:val="TableGrid"/>
        <w:tblW w:w="10278" w:type="dxa"/>
        <w:tblLook w:val="04A0" w:firstRow="1" w:lastRow="0" w:firstColumn="1" w:lastColumn="0" w:noHBand="0" w:noVBand="1"/>
      </w:tblPr>
      <w:tblGrid>
        <w:gridCol w:w="10278"/>
      </w:tblGrid>
      <w:tr w:rsidR="00EA5816">
        <w:trPr>
          <w:tblHeader/>
        </w:trPr>
        <w:tc>
          <w:tcPr>
            <w:tcW w:w="10278" w:type="dxa"/>
            <w:tcBorders>
              <w:bottom w:val="single" w:color="auto" w:sz="4" w:space="0"/>
            </w:tcBorders>
            <w:shd w:val="clear" w:color="auto" w:fill="002060"/>
          </w:tcPr>
          <w:p w:rsidR="00C60FE7" w:rsidRDefault="006B44E7">
            <w:pPr>
              <w:spacing w:before="120" w:after="120"/>
              <w:jc w:val="center"/>
              <w:rPr>
                <w:rFonts w:eastAsia="Times New Roman" w:cs="Calibri"/>
                <w:b/>
                <w:caps/>
                <w:sz w:val="24"/>
                <w:szCs w:val="24"/>
              </w:rPr>
            </w:pPr>
            <w:r>
              <w:rPr>
                <w:rFonts w:eastAsia="Times New Roman" w:cs="Calibri"/>
                <w:b/>
                <w:caps/>
                <w:sz w:val="24"/>
                <w:szCs w:val="24"/>
              </w:rPr>
              <w:lastRenderedPageBreak/>
              <w:t>IMPORTANT INFORMATION</w:t>
            </w:r>
          </w:p>
        </w:tc>
      </w:tr>
      <w:tr w:rsidR="00EA5816">
        <w:tc>
          <w:tcPr>
            <w:tcW w:w="10278" w:type="dxa"/>
            <w:tcBorders>
              <w:bottom w:val="single" w:color="auto" w:sz="4" w:space="0"/>
            </w:tcBorders>
          </w:tcPr>
          <w:p w:rsidR="00C60FE7" w:rsidP="00DD32EF" w:rsidRDefault="00E923FD">
            <w:pPr>
              <w:spacing w:before="120" w:after="120"/>
              <w:jc w:val="both"/>
              <w:rPr>
                <w:rFonts w:eastAsia="Times New Roman" w:cs="Calibri"/>
              </w:rPr>
            </w:pPr>
            <w:r w:rsidRPr="0071527F">
              <w:rPr>
                <w:rFonts w:eastAsia="Times New Roman" w:cs="Calibri"/>
                <w:b/>
              </w:rPr>
              <w:t>Securities Notification</w:t>
            </w:r>
            <w:r>
              <w:rPr>
                <w:rFonts w:eastAsia="Times New Roman" w:cs="Calibri"/>
              </w:rPr>
              <w:t xml:space="preserve">:  </w:t>
            </w:r>
            <w:r w:rsidR="006B44E7">
              <w:rPr>
                <w:rFonts w:eastAsia="Times New Roman" w:cs="Calibri"/>
              </w:rPr>
              <w:t>In addition to any other applicable restrictions on resale and transfer, shares purchased under the Plan may be subject to certain restrictions on resale imposed by Canadian provincial securities laws.  You are permitted to sell shares acquired pu</w:t>
            </w:r>
            <w:r w:rsidR="00DD32EF">
              <w:rPr>
                <w:rFonts w:eastAsia="Times New Roman" w:cs="Calibri"/>
              </w:rPr>
              <w:t>rsu</w:t>
            </w:r>
            <w:r w:rsidR="006B44E7">
              <w:rPr>
                <w:rFonts w:eastAsia="Times New Roman" w:cs="Calibri"/>
              </w:rPr>
              <w:t xml:space="preserve">ant to the Plan through the designated broker appointed under the Plan, provided the </w:t>
            </w:r>
            <w:r w:rsidR="00DD32EF">
              <w:rPr>
                <w:rFonts w:eastAsia="Times New Roman" w:cs="Calibri"/>
              </w:rPr>
              <w:t>sale of the shares acquired pursua</w:t>
            </w:r>
            <w:r w:rsidR="006B44E7">
              <w:rPr>
                <w:rFonts w:eastAsia="Times New Roman" w:cs="Calibri"/>
              </w:rPr>
              <w:t>nt to the Plan takes place outside of Canada through the facilities of a stock exchange on which the shares are listed.</w:t>
            </w:r>
          </w:p>
          <w:p w:rsidR="00305B4F" w:rsidP="00E923FD" w:rsidRDefault="00E923FD">
            <w:pPr>
              <w:spacing w:before="120" w:after="120"/>
              <w:jc w:val="both"/>
              <w:rPr>
                <w:rFonts w:cs="Calibri"/>
              </w:rPr>
            </w:pPr>
            <w:r w:rsidRPr="0071527F">
              <w:rPr>
                <w:rFonts w:cs="Calibri"/>
                <w:b/>
              </w:rPr>
              <w:t>Tax Notification</w:t>
            </w:r>
            <w:r>
              <w:rPr>
                <w:rFonts w:cs="Calibri"/>
              </w:rPr>
              <w:t xml:space="preserve">:  </w:t>
            </w:r>
            <w:r w:rsidR="00305B4F">
              <w:rPr>
                <w:rFonts w:cs="Calibri"/>
              </w:rPr>
              <w:t xml:space="preserve">You are hereby by notified that the </w:t>
            </w:r>
            <w:proofErr w:type="spellStart"/>
            <w:r w:rsidR="00305B4F">
              <w:rPr>
                <w:rFonts w:cs="Calibri"/>
              </w:rPr>
              <w:t>SAs</w:t>
            </w:r>
            <w:proofErr w:type="spellEnd"/>
            <w:r w:rsidR="00305B4F">
              <w:rPr>
                <w:rFonts w:cs="Calibri"/>
              </w:rPr>
              <w:t xml:space="preserve"> </w:t>
            </w:r>
            <w:r w:rsidRPr="00305B4F" w:rsidR="00305B4F">
              <w:rPr>
                <w:rFonts w:cs="Calibri"/>
              </w:rPr>
              <w:t xml:space="preserve">are </w:t>
            </w:r>
            <w:r w:rsidR="00305B4F">
              <w:rPr>
                <w:rFonts w:cs="Calibri"/>
                <w:bCs/>
              </w:rPr>
              <w:t>non-qualified a</w:t>
            </w:r>
            <w:r w:rsidRPr="00305B4F" w:rsidR="00305B4F">
              <w:rPr>
                <w:rFonts w:cs="Calibri"/>
                <w:bCs/>
              </w:rPr>
              <w:t>wards</w:t>
            </w:r>
            <w:r w:rsidR="00305B4F">
              <w:rPr>
                <w:rFonts w:cs="Calibri"/>
                <w:bCs/>
              </w:rPr>
              <w:t xml:space="preserve"> for Canadian tax purposes</w:t>
            </w:r>
            <w:r w:rsidRPr="00305B4F" w:rsidR="00305B4F">
              <w:rPr>
                <w:rFonts w:cs="Calibri"/>
                <w:b/>
                <w:bCs/>
              </w:rPr>
              <w:t xml:space="preserve"> </w:t>
            </w:r>
            <w:r w:rsidRPr="00305B4F" w:rsidR="00305B4F">
              <w:rPr>
                <w:rFonts w:cs="Calibri"/>
              </w:rPr>
              <w:t xml:space="preserve">and therefore are not eligible for the 50% </w:t>
            </w:r>
            <w:r>
              <w:rPr>
                <w:rFonts w:cs="Calibri"/>
              </w:rPr>
              <w:t>tax</w:t>
            </w:r>
            <w:r w:rsidRPr="00305B4F" w:rsidR="00305B4F">
              <w:rPr>
                <w:rFonts w:cs="Calibri"/>
              </w:rPr>
              <w:t xml:space="preserve"> deduction</w:t>
            </w:r>
            <w:r>
              <w:rPr>
                <w:rFonts w:cs="Calibri"/>
              </w:rPr>
              <w:t xml:space="preserve"> that may apply to income from stock options</w:t>
            </w:r>
            <w:r w:rsidRPr="00305B4F" w:rsidR="00305B4F">
              <w:rPr>
                <w:rFonts w:cs="Calibri"/>
              </w:rPr>
              <w:t>.</w:t>
            </w:r>
            <w:r w:rsidR="00305B4F">
              <w:rPr>
                <w:rFonts w:cs="Calibri"/>
              </w:rPr>
              <w:t xml:space="preserve"> </w:t>
            </w:r>
          </w:p>
        </w:tc>
      </w:tr>
    </w:tbl>
    <w:p w:rsidR="00C60FE7" w:rsidRDefault="00C60FE7">
      <w:pPr>
        <w:spacing w:before="80" w:after="80"/>
        <w:rPr>
          <w:rFonts w:cs="Calibri"/>
        </w:rPr>
      </w:pPr>
    </w:p>
    <w:tbl>
      <w:tblPr>
        <w:tblStyle w:val="TableGrid"/>
        <w:tblW w:w="10278" w:type="dxa"/>
        <w:tblLayout w:type="fixed"/>
        <w:tblLook w:val="04A0" w:firstRow="1" w:lastRow="0" w:firstColumn="1" w:lastColumn="0" w:noHBand="0" w:noVBand="1"/>
      </w:tblPr>
      <w:tblGrid>
        <w:gridCol w:w="3227"/>
        <w:gridCol w:w="7051"/>
      </w:tblGrid>
      <w:tr w:rsidR="00EA5816">
        <w:tc>
          <w:tcPr>
            <w:tcW w:w="10278" w:type="dxa"/>
            <w:gridSpan w:val="2"/>
            <w:tcBorders>
              <w:bottom w:val="single" w:color="auto" w:sz="4" w:space="0"/>
            </w:tcBorders>
            <w:shd w:val="clear" w:color="auto" w:fill="001D58"/>
          </w:tcPr>
          <w:p w:rsidR="00C60FE7" w:rsidRDefault="006B44E7">
            <w:pPr>
              <w:keepNext/>
              <w:spacing w:before="120" w:after="120"/>
              <w:jc w:val="center"/>
              <w:rPr>
                <w:rFonts w:eastAsia="Times New Roman" w:cs="Calibri"/>
                <w:b/>
                <w:caps/>
                <w:color w:val="FFFFFF" w:themeColor="background1"/>
                <w:sz w:val="24"/>
                <w:szCs w:val="24"/>
              </w:rPr>
            </w:pPr>
            <w:r>
              <w:rPr>
                <w:rFonts w:eastAsia="Times New Roman" w:cs="Calibri"/>
                <w:b/>
                <w:caps/>
                <w:color w:val="FFFFFF" w:themeColor="background1"/>
                <w:sz w:val="24"/>
                <w:szCs w:val="24"/>
              </w:rPr>
              <w:t>Tax</w:t>
            </w:r>
          </w:p>
        </w:tc>
      </w:tr>
      <w:tr w:rsidR="00EA5816">
        <w:tc>
          <w:tcPr>
            <w:tcW w:w="3227" w:type="dxa"/>
            <w:tcBorders>
              <w:bottom w:val="single" w:color="auto" w:sz="4" w:space="0"/>
            </w:tcBorders>
          </w:tcPr>
          <w:p w:rsidR="00C60FE7" w:rsidRDefault="006B44E7">
            <w:pPr>
              <w:spacing w:before="120" w:after="120"/>
              <w:ind w:left="360"/>
              <w:rPr>
                <w:rFonts w:cs="Calibri"/>
                <w:b/>
              </w:rPr>
            </w:pPr>
            <w:r>
              <w:rPr>
                <w:rFonts w:cs="Calibri"/>
                <w:b/>
              </w:rPr>
              <w:t>Grant</w:t>
            </w:r>
          </w:p>
        </w:tc>
        <w:tc>
          <w:tcPr>
            <w:tcW w:w="7051" w:type="dxa"/>
            <w:tcBorders>
              <w:bottom w:val="single" w:color="auto" w:sz="4" w:space="0"/>
            </w:tcBorders>
          </w:tcPr>
          <w:p w:rsidR="00C60FE7" w:rsidRDefault="006B44E7">
            <w:pPr>
              <w:pStyle w:val="BodyText"/>
              <w:spacing w:before="120" w:after="120" w:line="240" w:lineRule="auto"/>
              <w:jc w:val="both"/>
              <w:rPr>
                <w:rFonts w:cs="Calibri"/>
              </w:rPr>
            </w:pPr>
            <w:r>
              <w:rPr>
                <w:rFonts w:eastAsia="Times New Roman" w:cs="Calibri"/>
              </w:rPr>
              <w:t>No taxation.</w:t>
            </w:r>
          </w:p>
        </w:tc>
      </w:tr>
      <w:tr w:rsidR="00EA5816">
        <w:tc>
          <w:tcPr>
            <w:tcW w:w="3227" w:type="dxa"/>
            <w:tcBorders>
              <w:bottom w:val="dotted" w:color="auto" w:sz="2" w:space="0"/>
            </w:tcBorders>
          </w:tcPr>
          <w:p w:rsidR="00C60FE7" w:rsidRDefault="006B44E7">
            <w:pPr>
              <w:spacing w:before="120" w:after="120"/>
              <w:ind w:left="360"/>
              <w:rPr>
                <w:rFonts w:cs="Calibri"/>
                <w:b/>
              </w:rPr>
            </w:pPr>
            <w:r>
              <w:rPr>
                <w:rFonts w:cs="Calibri"/>
                <w:b/>
              </w:rPr>
              <w:t>Vesting</w:t>
            </w:r>
          </w:p>
        </w:tc>
        <w:tc>
          <w:tcPr>
            <w:tcW w:w="7051" w:type="dxa"/>
            <w:tcBorders>
              <w:bottom w:val="dotted" w:color="auto" w:sz="2" w:space="0"/>
            </w:tcBorders>
          </w:tcPr>
          <w:p w:rsidR="00C60FE7" w:rsidRDefault="006B44E7">
            <w:pPr>
              <w:pStyle w:val="BodyText"/>
              <w:spacing w:before="120" w:after="120" w:line="240" w:lineRule="auto"/>
              <w:jc w:val="both"/>
              <w:rPr>
                <w:rFonts w:eastAsia="Times New Roman" w:cs="Calibri"/>
              </w:rPr>
            </w:pPr>
            <w:r>
              <w:rPr>
                <w:rFonts w:eastAsia="Times New Roman" w:cs="Calibri"/>
              </w:rPr>
              <w:t xml:space="preserve">On the date(s) the </w:t>
            </w:r>
            <w:proofErr w:type="spellStart"/>
            <w:r>
              <w:rPr>
                <w:rFonts w:eastAsia="Times New Roman" w:cs="Calibri"/>
              </w:rPr>
              <w:t>SAs</w:t>
            </w:r>
            <w:proofErr w:type="spellEnd"/>
            <w:r>
              <w:rPr>
                <w:rFonts w:eastAsia="Times New Roman" w:cs="Calibri"/>
              </w:rPr>
              <w:t xml:space="preserve"> vest and you acquire shares, you will be subject to taxation.</w:t>
            </w:r>
          </w:p>
        </w:tc>
      </w:tr>
      <w:tr w:rsidR="00EA5816">
        <w:tc>
          <w:tcPr>
            <w:tcW w:w="3227" w:type="dxa"/>
            <w:tcBorders>
              <w:top w:val="dotted" w:color="auto" w:sz="2" w:space="0"/>
              <w:bottom w:val="dotted" w:color="auto" w:sz="2" w:space="0"/>
            </w:tcBorders>
          </w:tcPr>
          <w:p w:rsidR="00C60FE7" w:rsidRDefault="006B44E7">
            <w:pPr>
              <w:spacing w:before="120" w:after="120"/>
              <w:ind w:left="634"/>
              <w:rPr>
                <w:rFonts w:cs="Calibri"/>
                <w:i/>
              </w:rPr>
            </w:pPr>
            <w:r>
              <w:rPr>
                <w:rFonts w:cs="Calibri"/>
                <w:i/>
              </w:rPr>
              <w:t>Taxable Amount</w:t>
            </w:r>
          </w:p>
        </w:tc>
        <w:tc>
          <w:tcPr>
            <w:tcW w:w="7051" w:type="dxa"/>
            <w:tcBorders>
              <w:top w:val="dotted" w:color="auto" w:sz="2" w:space="0"/>
              <w:bottom w:val="dotted" w:color="auto" w:sz="2" w:space="0"/>
            </w:tcBorders>
          </w:tcPr>
          <w:p w:rsidR="00C60FE7" w:rsidRDefault="006B44E7">
            <w:pPr>
              <w:pStyle w:val="BodyText"/>
              <w:spacing w:before="120" w:after="120" w:line="240" w:lineRule="auto"/>
              <w:ind w:left="432"/>
              <w:jc w:val="both"/>
              <w:rPr>
                <w:rFonts w:eastAsia="Times New Roman" w:cs="Calibri"/>
              </w:rPr>
            </w:pPr>
            <w:r>
              <w:rPr>
                <w:rFonts w:eastAsia="Times New Roman" w:cs="Calibri"/>
              </w:rPr>
              <w:t>The fair market value of the shares on the date of vesting.</w:t>
            </w:r>
            <w:r w:rsidR="00E923FD">
              <w:rPr>
                <w:rFonts w:eastAsia="Times New Roman" w:cs="Calibri"/>
              </w:rPr>
              <w:t xml:space="preserve">  As noted above, the 50% tax deduction does not apply to </w:t>
            </w:r>
            <w:proofErr w:type="spellStart"/>
            <w:r w:rsidR="00E923FD">
              <w:rPr>
                <w:rFonts w:eastAsia="Times New Roman" w:cs="Calibri"/>
              </w:rPr>
              <w:t>SAs</w:t>
            </w:r>
            <w:proofErr w:type="spellEnd"/>
            <w:r w:rsidR="00E923FD">
              <w:rPr>
                <w:rFonts w:eastAsia="Times New Roman" w:cs="Calibri"/>
              </w:rPr>
              <w:t xml:space="preserve">.  </w:t>
            </w:r>
          </w:p>
        </w:tc>
      </w:tr>
      <w:tr w:rsidR="00EA5816">
        <w:tc>
          <w:tcPr>
            <w:tcW w:w="3227" w:type="dxa"/>
            <w:tcBorders>
              <w:top w:val="dotted" w:color="auto" w:sz="2" w:space="0"/>
              <w:bottom w:val="dotted" w:color="auto" w:sz="2" w:space="0"/>
            </w:tcBorders>
          </w:tcPr>
          <w:p w:rsidR="00C60FE7" w:rsidRDefault="006B44E7">
            <w:pPr>
              <w:spacing w:before="120" w:after="120"/>
              <w:ind w:left="634"/>
              <w:rPr>
                <w:rFonts w:cs="Calibri"/>
                <w:i/>
                <w:highlight w:val="yellow"/>
              </w:rPr>
            </w:pPr>
            <w:r>
              <w:rPr>
                <w:rFonts w:cs="Calibri"/>
                <w:i/>
              </w:rPr>
              <w:t>Nature of Taxable Amount</w:t>
            </w:r>
          </w:p>
        </w:tc>
        <w:tc>
          <w:tcPr>
            <w:tcW w:w="7051" w:type="dxa"/>
            <w:tcBorders>
              <w:top w:val="dotted" w:color="auto" w:sz="2" w:space="0"/>
              <w:bottom w:val="dotted" w:color="auto" w:sz="2" w:space="0"/>
            </w:tcBorders>
          </w:tcPr>
          <w:p w:rsidR="00C60FE7" w:rsidRDefault="006B44E7">
            <w:pPr>
              <w:pStyle w:val="BodyText"/>
              <w:spacing w:before="120" w:after="120" w:line="240" w:lineRule="auto"/>
              <w:ind w:firstLine="432"/>
              <w:jc w:val="both"/>
              <w:rPr>
                <w:rFonts w:cs="Calibri"/>
                <w:highlight w:val="yellow"/>
              </w:rPr>
            </w:pPr>
            <w:r>
              <w:rPr>
                <w:rFonts w:eastAsia="Times New Roman" w:cs="Calibri"/>
              </w:rPr>
              <w:t xml:space="preserve">Employment compensation. </w:t>
            </w:r>
          </w:p>
        </w:tc>
      </w:tr>
      <w:tr w:rsidR="00EA5816">
        <w:tc>
          <w:tcPr>
            <w:tcW w:w="3227" w:type="dxa"/>
            <w:tcBorders>
              <w:top w:val="dotted" w:color="auto" w:sz="2" w:space="0"/>
              <w:bottom w:val="dotted" w:color="auto" w:sz="2" w:space="0"/>
            </w:tcBorders>
          </w:tcPr>
          <w:p w:rsidR="00C60FE7" w:rsidRDefault="006B44E7">
            <w:pPr>
              <w:spacing w:before="120" w:after="120"/>
              <w:ind w:left="634"/>
              <w:rPr>
                <w:rFonts w:cs="Calibri"/>
                <w:i/>
              </w:rPr>
            </w:pPr>
            <w:r>
              <w:rPr>
                <w:rFonts w:cs="Calibri"/>
                <w:i/>
              </w:rPr>
              <w:t>Is Income Tax Payable?</w:t>
            </w:r>
          </w:p>
        </w:tc>
        <w:tc>
          <w:tcPr>
            <w:tcW w:w="7051" w:type="dxa"/>
            <w:tcBorders>
              <w:top w:val="dotted" w:color="auto" w:sz="2" w:space="0"/>
              <w:bottom w:val="dotted" w:color="auto" w:sz="2" w:space="0"/>
            </w:tcBorders>
          </w:tcPr>
          <w:p w:rsidR="00C60FE7" w:rsidRDefault="006B44E7">
            <w:pPr>
              <w:pStyle w:val="BodyText"/>
              <w:spacing w:before="120" w:after="120" w:line="240" w:lineRule="auto"/>
              <w:ind w:left="432"/>
              <w:jc w:val="both"/>
              <w:rPr>
                <w:rFonts w:eastAsia="Times New Roman" w:cs="Calibri"/>
              </w:rPr>
            </w:pPr>
            <w:r>
              <w:rPr>
                <w:rFonts w:eastAsia="Times New Roman" w:cs="Calibri"/>
                <w:lang w:val="en-AU"/>
              </w:rPr>
              <w:t>Yes.</w:t>
            </w:r>
          </w:p>
        </w:tc>
      </w:tr>
      <w:tr w:rsidR="00EA5816">
        <w:trPr>
          <w:trHeight w:val="922"/>
        </w:trPr>
        <w:tc>
          <w:tcPr>
            <w:tcW w:w="3227" w:type="dxa"/>
            <w:tcBorders>
              <w:top w:val="dotted" w:color="auto" w:sz="2" w:space="0"/>
              <w:bottom w:val="dotted" w:color="auto" w:sz="2" w:space="0"/>
            </w:tcBorders>
          </w:tcPr>
          <w:p w:rsidR="00C60FE7" w:rsidRDefault="006B44E7">
            <w:pPr>
              <w:spacing w:before="120" w:after="120"/>
              <w:ind w:left="634"/>
              <w:rPr>
                <w:rFonts w:cs="Calibri"/>
                <w:i/>
              </w:rPr>
            </w:pPr>
            <w:r>
              <w:rPr>
                <w:rFonts w:cs="Calibri"/>
                <w:i/>
              </w:rPr>
              <w:t>Are Employee Social Insurance Contributions Payable?</w:t>
            </w:r>
          </w:p>
        </w:tc>
        <w:tc>
          <w:tcPr>
            <w:tcW w:w="7051" w:type="dxa"/>
            <w:tcBorders>
              <w:top w:val="dotted" w:color="auto" w:sz="2" w:space="0"/>
              <w:bottom w:val="dotted" w:color="auto" w:sz="2" w:space="0"/>
            </w:tcBorders>
          </w:tcPr>
          <w:p w:rsidR="00C60FE7" w:rsidRDefault="006B44E7">
            <w:pPr>
              <w:pStyle w:val="BodyText"/>
              <w:spacing w:before="120" w:after="120" w:line="240" w:lineRule="auto"/>
              <w:ind w:left="432"/>
              <w:jc w:val="both"/>
              <w:rPr>
                <w:rFonts w:eastAsia="Times New Roman" w:cs="Calibri"/>
                <w:lang w:val="en-AU"/>
              </w:rPr>
            </w:pPr>
            <w:r>
              <w:rPr>
                <w:rFonts w:eastAsia="Times New Roman" w:cs="Calibri"/>
                <w:lang w:val="en-AU"/>
              </w:rPr>
              <w:t>Yes, you will be subject to Canada Pension Plan (“</w:t>
            </w:r>
            <w:proofErr w:type="spellStart"/>
            <w:r>
              <w:rPr>
                <w:rFonts w:eastAsia="Times New Roman" w:cs="Calibri"/>
                <w:lang w:val="en-AU"/>
              </w:rPr>
              <w:t>CPP</w:t>
            </w:r>
            <w:proofErr w:type="spellEnd"/>
            <w:r>
              <w:rPr>
                <w:rFonts w:eastAsia="Times New Roman" w:cs="Calibri"/>
                <w:lang w:val="en-AU"/>
              </w:rPr>
              <w:t>”) contributions (or Quebec Pension Plan (“</w:t>
            </w:r>
            <w:proofErr w:type="spellStart"/>
            <w:r>
              <w:rPr>
                <w:rFonts w:eastAsia="Times New Roman" w:cs="Calibri"/>
                <w:lang w:val="en-AU"/>
              </w:rPr>
              <w:t>QPP</w:t>
            </w:r>
            <w:proofErr w:type="spellEnd"/>
            <w:r>
              <w:rPr>
                <w:rFonts w:eastAsia="Times New Roman" w:cs="Calibri"/>
                <w:lang w:val="en-AU"/>
              </w:rPr>
              <w:t>”) contributions, if you reside in Quebec), on the taxable amount (</w:t>
            </w:r>
            <w:r>
              <w:rPr>
                <w:rFonts w:eastAsia="Times New Roman" w:cs="Calibri"/>
              </w:rPr>
              <w:t>to the extent the applicable contribution ceiling has not been exceeded).</w:t>
            </w:r>
          </w:p>
        </w:tc>
      </w:tr>
      <w:tr w:rsidR="00EA5816">
        <w:tc>
          <w:tcPr>
            <w:tcW w:w="3227" w:type="dxa"/>
            <w:tcBorders>
              <w:top w:val="dotted" w:color="auto" w:sz="2" w:space="0"/>
              <w:bottom w:val="single" w:color="auto" w:sz="4" w:space="0"/>
            </w:tcBorders>
          </w:tcPr>
          <w:p w:rsidR="00C60FE7" w:rsidRDefault="006B44E7">
            <w:pPr>
              <w:spacing w:before="120" w:after="120"/>
              <w:ind w:left="634"/>
              <w:rPr>
                <w:rFonts w:cs="Calibri"/>
                <w:i/>
              </w:rPr>
            </w:pPr>
            <w:r>
              <w:rPr>
                <w:rFonts w:cs="Calibri"/>
                <w:i/>
              </w:rPr>
              <w:t>Are Other Taxes Payable?</w:t>
            </w:r>
          </w:p>
        </w:tc>
        <w:tc>
          <w:tcPr>
            <w:tcW w:w="7051" w:type="dxa"/>
            <w:tcBorders>
              <w:top w:val="dotted" w:color="auto" w:sz="2" w:space="0"/>
              <w:bottom w:val="single" w:color="auto" w:sz="4" w:space="0"/>
            </w:tcBorders>
          </w:tcPr>
          <w:p w:rsidR="00C60FE7" w:rsidRDefault="006B44E7">
            <w:pPr>
              <w:pStyle w:val="BodyText"/>
              <w:spacing w:before="120" w:after="120" w:line="240" w:lineRule="auto"/>
              <w:ind w:left="432"/>
              <w:jc w:val="both"/>
              <w:rPr>
                <w:rFonts w:eastAsia="Times New Roman" w:cs="Calibri"/>
              </w:rPr>
            </w:pPr>
            <w:r>
              <w:rPr>
                <w:rFonts w:eastAsia="Times New Roman" w:cs="Calibri"/>
              </w:rPr>
              <w:t>No.</w:t>
            </w:r>
          </w:p>
        </w:tc>
      </w:tr>
    </w:tbl>
    <w:p w:rsidR="00C60FE7" w:rsidRDefault="00C60FE7">
      <w:pPr>
        <w:spacing w:before="80" w:after="80"/>
        <w:rPr>
          <w:rFonts w:cs="Calibri"/>
        </w:rPr>
      </w:pPr>
    </w:p>
    <w:tbl>
      <w:tblPr>
        <w:tblStyle w:val="TableGrid"/>
        <w:tblW w:w="10278" w:type="dxa"/>
        <w:tblLook w:val="04A0" w:firstRow="1" w:lastRow="0" w:firstColumn="1" w:lastColumn="0" w:noHBand="0" w:noVBand="1"/>
      </w:tblPr>
      <w:tblGrid>
        <w:gridCol w:w="3258"/>
        <w:gridCol w:w="7020"/>
      </w:tblGrid>
      <w:tr w:rsidR="00EA5816">
        <w:tc>
          <w:tcPr>
            <w:tcW w:w="10278" w:type="dxa"/>
            <w:gridSpan w:val="2"/>
            <w:tcBorders>
              <w:bottom w:val="single" w:color="auto" w:sz="4" w:space="0"/>
            </w:tcBorders>
            <w:shd w:val="clear" w:color="auto" w:fill="001D58"/>
          </w:tcPr>
          <w:p w:rsidR="00C60FE7" w:rsidRDefault="006B44E7">
            <w:pPr>
              <w:keepNext/>
              <w:spacing w:before="120" w:after="120"/>
              <w:jc w:val="center"/>
              <w:rPr>
                <w:rFonts w:eastAsia="Times New Roman" w:cs="Calibri"/>
                <w:b/>
                <w:caps/>
                <w:sz w:val="24"/>
                <w:szCs w:val="24"/>
              </w:rPr>
            </w:pPr>
            <w:r>
              <w:rPr>
                <w:rFonts w:eastAsia="Times New Roman" w:cs="Calibri"/>
                <w:b/>
                <w:caps/>
                <w:sz w:val="24"/>
                <w:szCs w:val="24"/>
              </w:rPr>
              <w:t>company/employer tax withholding and reporting</w:t>
            </w:r>
          </w:p>
        </w:tc>
      </w:tr>
      <w:tr w:rsidR="00EA5816">
        <w:tc>
          <w:tcPr>
            <w:tcW w:w="10278" w:type="dxa"/>
            <w:gridSpan w:val="2"/>
            <w:tcBorders>
              <w:bottom w:val="single" w:color="auto" w:sz="4" w:space="0"/>
            </w:tcBorders>
          </w:tcPr>
          <w:p w:rsidR="00C60FE7" w:rsidRDefault="006B44E7">
            <w:pPr>
              <w:pStyle w:val="BodyText"/>
              <w:keepNext/>
              <w:spacing w:before="120" w:after="120" w:line="240" w:lineRule="auto"/>
              <w:ind w:left="360"/>
              <w:jc w:val="both"/>
              <w:rPr>
                <w:rFonts w:eastAsia="Times New Roman" w:cs="Calibri"/>
              </w:rPr>
            </w:pPr>
            <w:r>
              <w:rPr>
                <w:rFonts w:cs="Calibri"/>
                <w:b/>
              </w:rPr>
              <w:t>Withholding</w:t>
            </w:r>
          </w:p>
        </w:tc>
      </w:tr>
      <w:tr w:rsidR="00EA5816">
        <w:tc>
          <w:tcPr>
            <w:tcW w:w="3258" w:type="dxa"/>
            <w:tcBorders>
              <w:top w:val="single" w:color="auto" w:sz="4" w:space="0"/>
              <w:bottom w:val="dotted" w:color="auto" w:sz="2" w:space="0"/>
            </w:tcBorders>
          </w:tcPr>
          <w:p w:rsidR="00C60FE7" w:rsidRDefault="006B44E7">
            <w:pPr>
              <w:spacing w:before="120" w:after="120"/>
              <w:ind w:left="634"/>
              <w:rPr>
                <w:rFonts w:cs="Calibri"/>
                <w:b/>
                <w:i/>
              </w:rPr>
            </w:pPr>
            <w:r>
              <w:rPr>
                <w:rFonts w:cs="Calibri"/>
                <w:i/>
              </w:rPr>
              <w:t>Is Income Tax Withheld?</w:t>
            </w:r>
          </w:p>
        </w:tc>
        <w:tc>
          <w:tcPr>
            <w:tcW w:w="7020" w:type="dxa"/>
            <w:tcBorders>
              <w:top w:val="single" w:color="auto" w:sz="4" w:space="0"/>
              <w:bottom w:val="dotted" w:color="auto" w:sz="2" w:space="0"/>
            </w:tcBorders>
          </w:tcPr>
          <w:p w:rsidR="00C60FE7" w:rsidRDefault="006B44E7">
            <w:pPr>
              <w:pStyle w:val="BodyText"/>
              <w:spacing w:before="120" w:after="120" w:line="240" w:lineRule="auto"/>
              <w:ind w:left="432"/>
              <w:jc w:val="both"/>
              <w:rPr>
                <w:rFonts w:cs="Calibri"/>
                <w:b/>
              </w:rPr>
            </w:pPr>
            <w:r>
              <w:rPr>
                <w:rFonts w:cs="Calibri"/>
              </w:rPr>
              <w:t>Yes.</w:t>
            </w:r>
          </w:p>
        </w:tc>
      </w:tr>
      <w:tr w:rsidR="00EA5816">
        <w:tc>
          <w:tcPr>
            <w:tcW w:w="3258" w:type="dxa"/>
            <w:tcBorders>
              <w:top w:val="dotted" w:color="auto" w:sz="2" w:space="0"/>
              <w:bottom w:val="dotted" w:color="auto" w:sz="2" w:space="0"/>
            </w:tcBorders>
          </w:tcPr>
          <w:p w:rsidR="00C60FE7" w:rsidRDefault="006B44E7">
            <w:pPr>
              <w:spacing w:before="120" w:after="120"/>
              <w:ind w:left="634"/>
              <w:rPr>
                <w:rFonts w:cs="Calibri"/>
                <w:i/>
              </w:rPr>
            </w:pPr>
            <w:r>
              <w:rPr>
                <w:rFonts w:cs="Calibri"/>
                <w:i/>
              </w:rPr>
              <w:t>Are Employee Social Insurance Contributions Withheld?</w:t>
            </w:r>
          </w:p>
        </w:tc>
        <w:tc>
          <w:tcPr>
            <w:tcW w:w="7020" w:type="dxa"/>
            <w:tcBorders>
              <w:top w:val="dotted" w:color="auto" w:sz="2" w:space="0"/>
              <w:bottom w:val="dotted" w:color="auto" w:sz="2" w:space="0"/>
            </w:tcBorders>
          </w:tcPr>
          <w:p w:rsidR="00C60FE7" w:rsidRDefault="006B44E7">
            <w:pPr>
              <w:pStyle w:val="BodyText"/>
              <w:spacing w:before="120" w:after="120" w:line="240" w:lineRule="auto"/>
              <w:ind w:left="432"/>
              <w:jc w:val="both"/>
              <w:rPr>
                <w:rFonts w:cs="Calibri"/>
              </w:rPr>
            </w:pPr>
            <w:r>
              <w:rPr>
                <w:rFonts w:cs="Calibri"/>
              </w:rPr>
              <w:t>Yes (to the extent the applicable contribution ceiling has not been exceeded).</w:t>
            </w:r>
          </w:p>
        </w:tc>
      </w:tr>
      <w:tr w:rsidR="00EA5816">
        <w:tc>
          <w:tcPr>
            <w:tcW w:w="3258" w:type="dxa"/>
            <w:tcBorders>
              <w:top w:val="dotted" w:color="auto" w:sz="2" w:space="0"/>
              <w:bottom w:val="single" w:color="auto" w:sz="4" w:space="0"/>
            </w:tcBorders>
          </w:tcPr>
          <w:p w:rsidR="00C60FE7" w:rsidRDefault="006B44E7">
            <w:pPr>
              <w:spacing w:before="120" w:after="120"/>
              <w:ind w:left="634"/>
              <w:rPr>
                <w:rFonts w:cs="Calibri"/>
                <w:i/>
              </w:rPr>
            </w:pPr>
            <w:r>
              <w:rPr>
                <w:rFonts w:cs="Calibri"/>
                <w:i/>
              </w:rPr>
              <w:t>Are Other Taxes Withheld?</w:t>
            </w:r>
          </w:p>
        </w:tc>
        <w:tc>
          <w:tcPr>
            <w:tcW w:w="7020" w:type="dxa"/>
            <w:tcBorders>
              <w:top w:val="dotted" w:color="auto" w:sz="2" w:space="0"/>
              <w:bottom w:val="single" w:color="auto" w:sz="4" w:space="0"/>
            </w:tcBorders>
          </w:tcPr>
          <w:p w:rsidR="00C60FE7" w:rsidRDefault="006B44E7">
            <w:pPr>
              <w:pStyle w:val="BodyText"/>
              <w:spacing w:before="120" w:after="120" w:line="240" w:lineRule="auto"/>
              <w:ind w:left="432"/>
              <w:jc w:val="both"/>
              <w:rPr>
                <w:rFonts w:cs="Calibri"/>
              </w:rPr>
            </w:pPr>
            <w:r>
              <w:rPr>
                <w:rFonts w:cs="Calibri"/>
              </w:rPr>
              <w:t>Not applicable.</w:t>
            </w:r>
          </w:p>
        </w:tc>
      </w:tr>
      <w:tr w:rsidR="00EA5816">
        <w:tc>
          <w:tcPr>
            <w:tcW w:w="10278" w:type="dxa"/>
            <w:gridSpan w:val="2"/>
            <w:tcBorders>
              <w:bottom w:val="single" w:color="auto" w:sz="4" w:space="0"/>
            </w:tcBorders>
          </w:tcPr>
          <w:p w:rsidR="00C60FE7" w:rsidRDefault="006B44E7">
            <w:pPr>
              <w:pStyle w:val="BodyText"/>
              <w:keepNext/>
              <w:spacing w:before="120" w:after="120" w:line="240" w:lineRule="auto"/>
              <w:ind w:left="360"/>
              <w:jc w:val="both"/>
              <w:rPr>
                <w:rFonts w:cs="Calibri"/>
                <w:b/>
              </w:rPr>
            </w:pPr>
            <w:r>
              <w:rPr>
                <w:rFonts w:cs="Calibri"/>
                <w:b/>
              </w:rPr>
              <w:t>Reporting</w:t>
            </w:r>
          </w:p>
        </w:tc>
      </w:tr>
      <w:tr w:rsidR="00EA5816">
        <w:tc>
          <w:tcPr>
            <w:tcW w:w="3258" w:type="dxa"/>
            <w:tcBorders>
              <w:bottom w:val="single" w:color="auto" w:sz="4" w:space="0"/>
            </w:tcBorders>
          </w:tcPr>
          <w:p w:rsidR="00C60FE7" w:rsidRDefault="006B44E7">
            <w:pPr>
              <w:spacing w:before="120" w:after="120"/>
              <w:ind w:left="630"/>
              <w:rPr>
                <w:rFonts w:cs="Calibri"/>
              </w:rPr>
            </w:pPr>
            <w:r>
              <w:rPr>
                <w:rFonts w:cs="Calibri"/>
                <w:i/>
                <w:iCs/>
                <w:lang w:val="en-AU"/>
              </w:rPr>
              <w:t>Does the Taxable Amount Need to be Reported?</w:t>
            </w:r>
          </w:p>
        </w:tc>
        <w:tc>
          <w:tcPr>
            <w:tcW w:w="7020" w:type="dxa"/>
            <w:tcBorders>
              <w:bottom w:val="single" w:color="auto" w:sz="4" w:space="0"/>
            </w:tcBorders>
          </w:tcPr>
          <w:p w:rsidR="00C60FE7" w:rsidRDefault="006B44E7">
            <w:pPr>
              <w:pStyle w:val="BodyText"/>
              <w:spacing w:before="120" w:after="120"/>
              <w:ind w:left="432"/>
              <w:jc w:val="both"/>
              <w:rPr>
                <w:rFonts w:cs="Calibri"/>
                <w:bCs/>
                <w:snapToGrid w:val="0"/>
                <w:lang w:val="en-AU"/>
              </w:rPr>
            </w:pPr>
            <w:r>
              <w:rPr>
                <w:rFonts w:cs="Calibri"/>
              </w:rPr>
              <w:t>Your employer will report the taxable amount as taxable income to the Canada Revenue Agency (“</w:t>
            </w:r>
            <w:proofErr w:type="spellStart"/>
            <w:r>
              <w:rPr>
                <w:rFonts w:cs="Calibri"/>
              </w:rPr>
              <w:t>CRA</w:t>
            </w:r>
            <w:proofErr w:type="spellEnd"/>
            <w:r>
              <w:rPr>
                <w:rFonts w:cs="Calibri"/>
              </w:rPr>
              <w:t xml:space="preserve">”) on Form </w:t>
            </w:r>
            <w:proofErr w:type="spellStart"/>
            <w:r>
              <w:rPr>
                <w:rFonts w:cs="Calibri"/>
              </w:rPr>
              <w:t>T4</w:t>
            </w:r>
            <w:proofErr w:type="spellEnd"/>
            <w:r>
              <w:rPr>
                <w:rFonts w:cs="Calibri"/>
              </w:rPr>
              <w:t xml:space="preserve"> and if applicable, to </w:t>
            </w:r>
            <w:proofErr w:type="spellStart"/>
            <w:r>
              <w:rPr>
                <w:rFonts w:cs="Calibri"/>
              </w:rPr>
              <w:lastRenderedPageBreak/>
              <w:t>Revenu</w:t>
            </w:r>
            <w:proofErr w:type="spellEnd"/>
            <w:r>
              <w:rPr>
                <w:rFonts w:cs="Calibri"/>
              </w:rPr>
              <w:t xml:space="preserve"> Quebec (“</w:t>
            </w:r>
            <w:proofErr w:type="spellStart"/>
            <w:r>
              <w:rPr>
                <w:rFonts w:cs="Calibri"/>
              </w:rPr>
              <w:t>RQ</w:t>
            </w:r>
            <w:proofErr w:type="spellEnd"/>
            <w:r>
              <w:rPr>
                <w:rFonts w:cs="Calibri"/>
              </w:rPr>
              <w:t xml:space="preserve">”) on Form </w:t>
            </w:r>
            <w:proofErr w:type="spellStart"/>
            <w:r>
              <w:rPr>
                <w:rFonts w:cs="Calibri"/>
              </w:rPr>
              <w:t>RL</w:t>
            </w:r>
            <w:proofErr w:type="spellEnd"/>
            <w:r>
              <w:rPr>
                <w:rFonts w:cs="Calibri"/>
              </w:rPr>
              <w:t xml:space="preserve">-1. A copy of Form </w:t>
            </w:r>
            <w:proofErr w:type="spellStart"/>
            <w:r>
              <w:rPr>
                <w:rFonts w:cs="Calibri"/>
              </w:rPr>
              <w:t>T4</w:t>
            </w:r>
            <w:proofErr w:type="spellEnd"/>
            <w:r>
              <w:rPr>
                <w:rFonts w:cs="Calibri"/>
              </w:rPr>
              <w:t xml:space="preserve"> (Form </w:t>
            </w:r>
            <w:proofErr w:type="spellStart"/>
            <w:r>
              <w:rPr>
                <w:rFonts w:cs="Calibri"/>
              </w:rPr>
              <w:t>RL</w:t>
            </w:r>
            <w:proofErr w:type="spellEnd"/>
            <w:r>
              <w:rPr>
                <w:rFonts w:cs="Calibri"/>
              </w:rPr>
              <w:t>-1) will be provided to you by the end of February of the year following the year in which the taxable event occurs.</w:t>
            </w:r>
          </w:p>
        </w:tc>
      </w:tr>
    </w:tbl>
    <w:p w:rsidR="00C60FE7" w:rsidRDefault="00C60FE7">
      <w:pPr>
        <w:spacing w:before="80" w:after="80"/>
        <w:rPr>
          <w:rFonts w:cs="Calibri"/>
        </w:rPr>
      </w:pPr>
    </w:p>
    <w:tbl>
      <w:tblPr>
        <w:tblStyle w:val="TableGrid"/>
        <w:tblW w:w="0" w:type="auto"/>
        <w:tblLook w:val="04A0" w:firstRow="1" w:lastRow="0" w:firstColumn="1" w:lastColumn="0" w:noHBand="0" w:noVBand="1"/>
      </w:tblPr>
      <w:tblGrid>
        <w:gridCol w:w="3206"/>
        <w:gridCol w:w="6866"/>
      </w:tblGrid>
      <w:tr w:rsidR="00EA5816">
        <w:tc>
          <w:tcPr>
            <w:tcW w:w="10278" w:type="dxa"/>
            <w:gridSpan w:val="2"/>
            <w:tcBorders>
              <w:top w:val="single" w:color="auto" w:sz="4" w:space="0"/>
              <w:left w:val="single" w:color="auto" w:sz="4" w:space="0"/>
              <w:bottom w:val="single" w:color="auto" w:sz="4" w:space="0"/>
              <w:right w:val="single" w:color="auto" w:sz="4" w:space="0"/>
            </w:tcBorders>
            <w:shd w:val="clear" w:color="auto" w:fill="002060"/>
            <w:hideMark/>
          </w:tcPr>
          <w:p w:rsidR="00C60FE7" w:rsidRDefault="006B44E7">
            <w:pPr>
              <w:keepNext/>
              <w:spacing w:before="120" w:after="120"/>
              <w:jc w:val="center"/>
              <w:rPr>
                <w:rFonts w:eastAsia="Times New Roman" w:cs="Calibri"/>
                <w:b/>
                <w:caps/>
                <w:sz w:val="24"/>
                <w:szCs w:val="24"/>
              </w:rPr>
            </w:pPr>
            <w:r>
              <w:rPr>
                <w:rFonts w:eastAsia="Times New Roman" w:cs="Calibri"/>
                <w:b/>
                <w:caps/>
                <w:sz w:val="24"/>
                <w:szCs w:val="24"/>
              </w:rPr>
              <w:br w:type="page"/>
            </w:r>
            <w:bookmarkStart w:name="dividends" w:id="4"/>
            <w:r>
              <w:rPr>
                <w:rFonts w:eastAsia="Times New Roman" w:cs="Calibri"/>
                <w:b/>
                <w:caps/>
                <w:sz w:val="24"/>
                <w:szCs w:val="24"/>
              </w:rPr>
              <w:t>DIVIDENDS</w:t>
            </w:r>
            <w:bookmarkEnd w:id="4"/>
          </w:p>
        </w:tc>
      </w:tr>
      <w:tr w:rsidR="00EA5816">
        <w:tc>
          <w:tcPr>
            <w:tcW w:w="3258" w:type="dxa"/>
            <w:tcBorders>
              <w:top w:val="single" w:color="auto" w:sz="4" w:space="0"/>
              <w:left w:val="single" w:color="auto" w:sz="4" w:space="0"/>
              <w:bottom w:val="single" w:color="auto" w:sz="4" w:space="0"/>
              <w:right w:val="single" w:color="auto" w:sz="4" w:space="0"/>
            </w:tcBorders>
            <w:hideMark/>
          </w:tcPr>
          <w:p w:rsidR="00C60FE7" w:rsidRDefault="006B44E7">
            <w:pPr>
              <w:spacing w:before="120" w:after="120"/>
              <w:ind w:left="360"/>
              <w:jc w:val="both"/>
              <w:rPr>
                <w:rFonts w:eastAsia="Times New Roman" w:cs="Calibri"/>
                <w:b/>
                <w:lang w:val="en-AU"/>
              </w:rPr>
            </w:pPr>
            <w:r>
              <w:rPr>
                <w:rFonts w:eastAsia="Times New Roman" w:cs="Calibri"/>
                <w:b/>
                <w:lang w:val="en-AU"/>
              </w:rPr>
              <w:t>Taxation in Your Country</w:t>
            </w:r>
          </w:p>
        </w:tc>
        <w:tc>
          <w:tcPr>
            <w:tcW w:w="7020" w:type="dxa"/>
            <w:tcBorders>
              <w:top w:val="single" w:color="auto" w:sz="4" w:space="0"/>
              <w:left w:val="single" w:color="auto" w:sz="4" w:space="0"/>
              <w:bottom w:val="single" w:color="auto" w:sz="4" w:space="0"/>
              <w:right w:val="single" w:color="auto" w:sz="4" w:space="0"/>
            </w:tcBorders>
            <w:hideMark/>
          </w:tcPr>
          <w:p w:rsidR="00C60FE7" w:rsidRDefault="006B44E7">
            <w:pPr>
              <w:pStyle w:val="BodyText"/>
              <w:keepNext/>
              <w:spacing w:before="120" w:after="120"/>
              <w:jc w:val="both"/>
              <w:rPr>
                <w:rFonts w:cs="Calibri"/>
              </w:rPr>
            </w:pPr>
            <w:r>
              <w:rPr>
                <w:rFonts w:cs="Calibri"/>
              </w:rPr>
              <w:t xml:space="preserve">If you acquire shares and a dividend is subsequently declared on the Company’s shares, any dividends paid with respect to the shares will be subject to tax in your country. </w:t>
            </w:r>
          </w:p>
        </w:tc>
      </w:tr>
      <w:tr w:rsidR="00EA5816">
        <w:tc>
          <w:tcPr>
            <w:tcW w:w="3258" w:type="dxa"/>
            <w:tcBorders>
              <w:top w:val="single" w:color="auto" w:sz="4" w:space="0"/>
              <w:left w:val="single" w:color="auto" w:sz="4" w:space="0"/>
              <w:bottom w:val="single" w:color="auto" w:sz="4" w:space="0"/>
              <w:right w:val="single" w:color="auto" w:sz="4" w:space="0"/>
            </w:tcBorders>
          </w:tcPr>
          <w:p w:rsidR="00C60FE7" w:rsidRDefault="006B44E7">
            <w:pPr>
              <w:spacing w:before="120" w:after="120"/>
              <w:ind w:left="360"/>
              <w:rPr>
                <w:rFonts w:cs="Calibri"/>
                <w:b/>
                <w:lang w:val="en-AU"/>
              </w:rPr>
            </w:pPr>
            <w:bookmarkStart w:name="dividendsustax" w:colFirst="0" w:colLast="1" w:id="5"/>
            <w:r>
              <w:rPr>
                <w:rFonts w:cs="Calibri"/>
                <w:b/>
                <w:lang w:val="en-AU"/>
              </w:rPr>
              <w:t>Taxation in the U.S.</w:t>
            </w:r>
          </w:p>
        </w:tc>
        <w:tc>
          <w:tcPr>
            <w:tcW w:w="7020" w:type="dxa"/>
            <w:tcBorders>
              <w:top w:val="single" w:color="auto" w:sz="4" w:space="0"/>
              <w:left w:val="single" w:color="auto" w:sz="4" w:space="0"/>
              <w:bottom w:val="single" w:color="auto" w:sz="4" w:space="0"/>
              <w:right w:val="single" w:color="auto" w:sz="4" w:space="0"/>
            </w:tcBorders>
          </w:tcPr>
          <w:p w:rsidR="00C60FE7" w:rsidRDefault="006B44E7">
            <w:pPr>
              <w:pStyle w:val="BodyText"/>
              <w:spacing w:before="120" w:after="120" w:line="240" w:lineRule="auto"/>
              <w:jc w:val="both"/>
              <w:rPr>
                <w:rFonts w:cs="Calibri"/>
              </w:rPr>
            </w:pPr>
            <w:r>
              <w:rPr>
                <w:rFonts w:cs="Calibri"/>
              </w:rPr>
              <w:t>Further, any dividends paid will be subject to United States (“U.S.”) federal tax withholding at source.  You may be able to claim a reduced rate of U.S. federal tax withholding on such dividends as a resident of a country with which the U.S. has an income tax treaty.  You must have a properly completed U.S. Internal Revenue Service Form W-</w:t>
            </w:r>
            <w:proofErr w:type="spellStart"/>
            <w:r>
              <w:rPr>
                <w:rFonts w:cs="Calibri"/>
              </w:rPr>
              <w:t>8BEN</w:t>
            </w:r>
            <w:proofErr w:type="spellEnd"/>
            <w:r>
              <w:rPr>
                <w:rFonts w:cs="Calibri"/>
              </w:rPr>
              <w:t xml:space="preserve"> on file with the broker with which your Company shares are deposited in order to claim the treaty benefit.  You also may be entitled to a tax credit in your country for the U.S. federal tax withheld at source.  </w:t>
            </w:r>
            <w:r>
              <w:rPr>
                <w:rFonts w:cs="Calibri"/>
                <w:i/>
              </w:rPr>
              <w:t>You should consult with your personal tax advisor regarding the availability of such a credit.</w:t>
            </w:r>
            <w:r>
              <w:rPr>
                <w:rFonts w:cs="Calibri"/>
                <w:i/>
              </w:rPr>
              <w:tab/>
            </w:r>
          </w:p>
        </w:tc>
      </w:tr>
      <w:bookmarkEnd w:id="5"/>
    </w:tbl>
    <w:p w:rsidR="00C60FE7" w:rsidRDefault="00C60FE7">
      <w:pPr>
        <w:spacing w:before="80" w:after="80"/>
        <w:rPr>
          <w:rFonts w:cs="Calibri"/>
        </w:rPr>
      </w:pPr>
    </w:p>
    <w:tbl>
      <w:tblPr>
        <w:tblStyle w:val="TableGrid"/>
        <w:tblW w:w="0" w:type="auto"/>
        <w:tblLook w:val="04A0" w:firstRow="1" w:lastRow="0" w:firstColumn="1" w:lastColumn="0" w:noHBand="0" w:noVBand="1"/>
      </w:tblPr>
      <w:tblGrid>
        <w:gridCol w:w="3205"/>
        <w:gridCol w:w="6867"/>
      </w:tblGrid>
      <w:tr w:rsidR="00EA5816">
        <w:tc>
          <w:tcPr>
            <w:tcW w:w="10278" w:type="dxa"/>
            <w:gridSpan w:val="2"/>
            <w:tcBorders>
              <w:bottom w:val="single" w:color="auto" w:sz="4" w:space="0"/>
            </w:tcBorders>
            <w:shd w:val="clear" w:color="auto" w:fill="001D58"/>
          </w:tcPr>
          <w:p w:rsidR="00C60FE7" w:rsidRDefault="006B44E7">
            <w:pPr>
              <w:keepNext/>
              <w:spacing w:before="120" w:after="120"/>
              <w:jc w:val="center"/>
              <w:rPr>
                <w:rFonts w:eastAsia="Times New Roman" w:cs="Calibri"/>
                <w:b/>
                <w:caps/>
                <w:sz w:val="24"/>
                <w:szCs w:val="24"/>
              </w:rPr>
            </w:pPr>
            <w:r>
              <w:rPr>
                <w:rFonts w:eastAsia="Times New Roman" w:cs="Calibri"/>
                <w:b/>
                <w:caps/>
                <w:sz w:val="24"/>
                <w:szCs w:val="24"/>
              </w:rPr>
              <w:t>SALE OF SHARES</w:t>
            </w:r>
          </w:p>
        </w:tc>
      </w:tr>
      <w:tr w:rsidR="00EA5816">
        <w:tc>
          <w:tcPr>
            <w:tcW w:w="3258" w:type="dxa"/>
            <w:shd w:val="clear" w:color="auto" w:fill="FFFFFF" w:themeFill="background2"/>
          </w:tcPr>
          <w:p w:rsidR="00C60FE7" w:rsidRDefault="006B44E7">
            <w:pPr>
              <w:spacing w:before="120" w:after="120"/>
              <w:ind w:left="360"/>
              <w:rPr>
                <w:rFonts w:cs="Calibri"/>
                <w:b/>
              </w:rPr>
            </w:pPr>
            <w:r>
              <w:rPr>
                <w:rFonts w:cs="Calibri"/>
                <w:b/>
                <w:lang w:val="en-AU"/>
              </w:rPr>
              <w:t>Taxation in Your Country</w:t>
            </w:r>
          </w:p>
        </w:tc>
        <w:tc>
          <w:tcPr>
            <w:tcW w:w="7020" w:type="dxa"/>
            <w:shd w:val="clear" w:color="auto" w:fill="FFFFFF" w:themeFill="background2"/>
          </w:tcPr>
          <w:p w:rsidR="00C60FE7" w:rsidRDefault="006B44E7">
            <w:pPr>
              <w:spacing w:before="120" w:after="120"/>
              <w:jc w:val="both"/>
              <w:rPr>
                <w:rFonts w:cs="Calibri"/>
              </w:rPr>
            </w:pPr>
            <w:r>
              <w:rPr>
                <w:rFonts w:eastAsia="Times New Roman" w:cs="Calibri"/>
                <w:szCs w:val="20"/>
              </w:rPr>
              <w:t>When</w:t>
            </w:r>
            <w:r>
              <w:rPr>
                <w:rFonts w:cs="Calibri"/>
              </w:rPr>
              <w:t xml:space="preserve"> you subsequently sell any shares acquired under the Plan, you will be subject to additional taxation on any gain you realize.  The taxable amount will generally be one-half (50%) of the difference between the sale proceeds and the adjusted cost base (“</w:t>
            </w:r>
            <w:proofErr w:type="spellStart"/>
            <w:r>
              <w:rPr>
                <w:rFonts w:cs="Calibri"/>
              </w:rPr>
              <w:t>ACB</w:t>
            </w:r>
            <w:proofErr w:type="spellEnd"/>
            <w:r>
              <w:rPr>
                <w:rFonts w:cs="Calibri"/>
              </w:rPr>
              <w:t xml:space="preserve">”) of your shares. If you do not own (and have never owned) other shares of the Company the </w:t>
            </w:r>
            <w:proofErr w:type="spellStart"/>
            <w:r>
              <w:rPr>
                <w:rFonts w:cs="Calibri"/>
              </w:rPr>
              <w:t>ACB</w:t>
            </w:r>
            <w:proofErr w:type="spellEnd"/>
            <w:r>
              <w:rPr>
                <w:rFonts w:cs="Calibri"/>
              </w:rPr>
              <w:t xml:space="preserve"> will generally be the fair market value of the shares on the date of acquisition. However, if you own (or have owned) other Company shares acquired inside and/or outside of the Plan, your </w:t>
            </w:r>
            <w:proofErr w:type="spellStart"/>
            <w:r>
              <w:rPr>
                <w:rFonts w:cs="Calibri"/>
              </w:rPr>
              <w:t>ACB</w:t>
            </w:r>
            <w:proofErr w:type="spellEnd"/>
            <w:r>
              <w:rPr>
                <w:rFonts w:cs="Calibri"/>
              </w:rPr>
              <w:t xml:space="preserve"> will generally be the average cost of all of your Company shares of the same class. </w:t>
            </w:r>
          </w:p>
          <w:p w:rsidR="00C60FE7" w:rsidRDefault="006B44E7">
            <w:pPr>
              <w:spacing w:before="120" w:after="120"/>
              <w:jc w:val="both"/>
              <w:rPr>
                <w:rFonts w:cs="Calibri"/>
              </w:rPr>
            </w:pPr>
            <w:r>
              <w:rPr>
                <w:rFonts w:cs="Calibri"/>
                <w:bCs/>
              </w:rPr>
              <w:t xml:space="preserve">If your sale proceeds are lower than your </w:t>
            </w:r>
            <w:proofErr w:type="spellStart"/>
            <w:r>
              <w:rPr>
                <w:rFonts w:cs="Calibri"/>
                <w:bCs/>
              </w:rPr>
              <w:t>ACB</w:t>
            </w:r>
            <w:proofErr w:type="spellEnd"/>
            <w:r>
              <w:rPr>
                <w:rFonts w:cs="Calibri"/>
                <w:bCs/>
              </w:rPr>
              <w:t xml:space="preserve"> of the shares sold, you will generally realize a capital loss.  </w:t>
            </w:r>
            <w:r>
              <w:rPr>
                <w:rFonts w:cs="Calibri"/>
              </w:rPr>
              <w:t>One-half (50%) of any capital loss</w:t>
            </w:r>
            <w:r>
              <w:rPr>
                <w:rFonts w:cs="Calibri"/>
                <w:bCs/>
              </w:rPr>
              <w:t xml:space="preserve"> may be used to offset taxable capital gains in the same calendar year, the three (3) preceding calendar years, or in subsequent years, but cannot be used to offset other types of income (</w:t>
            </w:r>
            <w:r>
              <w:rPr>
                <w:rFonts w:cs="Calibri"/>
                <w:bCs/>
                <w:i/>
              </w:rPr>
              <w:t>e.g.</w:t>
            </w:r>
            <w:r>
              <w:rPr>
                <w:rFonts w:cs="Calibri"/>
                <w:bCs/>
              </w:rPr>
              <w:t>, salary/wages).</w:t>
            </w:r>
          </w:p>
          <w:p w:rsidR="00C60FE7" w:rsidRDefault="006B44E7">
            <w:pPr>
              <w:spacing w:before="120" w:after="120"/>
              <w:jc w:val="both"/>
              <w:rPr>
                <w:rFonts w:cs="Calibri"/>
                <w:i/>
              </w:rPr>
            </w:pPr>
            <w:r>
              <w:rPr>
                <w:rFonts w:cs="Calibri"/>
                <w:i/>
              </w:rPr>
              <w:t>You should consult your personal tax advisor for additional information regarding the calculation of any gain or loss attributable to the sale of your shares and to consider the alternatives available to you.</w:t>
            </w:r>
          </w:p>
        </w:tc>
      </w:tr>
      <w:tr w:rsidR="00EA5816">
        <w:tc>
          <w:tcPr>
            <w:tcW w:w="3258" w:type="dxa"/>
            <w:shd w:val="clear" w:color="auto" w:fill="FFFFFF" w:themeFill="background2"/>
          </w:tcPr>
          <w:p w:rsidR="00C60FE7" w:rsidRDefault="006B44E7">
            <w:pPr>
              <w:spacing w:before="120" w:after="120"/>
              <w:ind w:left="360"/>
              <w:rPr>
                <w:rFonts w:cs="Calibri"/>
                <w:b/>
                <w:lang w:val="en-AU"/>
              </w:rPr>
            </w:pPr>
            <w:bookmarkStart w:name="saleofsharesustax" w:colFirst="0" w:colLast="1" w:id="6"/>
            <w:r>
              <w:rPr>
                <w:rFonts w:cs="Calibri"/>
                <w:b/>
                <w:lang w:val="en-AU"/>
              </w:rPr>
              <w:t>Taxation in the U.S.</w:t>
            </w:r>
          </w:p>
        </w:tc>
        <w:tc>
          <w:tcPr>
            <w:tcW w:w="7020" w:type="dxa"/>
            <w:shd w:val="clear" w:color="auto" w:fill="FFFFFF" w:themeFill="background2"/>
          </w:tcPr>
          <w:p w:rsidR="00C60FE7" w:rsidRDefault="006B44E7">
            <w:pPr>
              <w:spacing w:before="120" w:after="120"/>
              <w:jc w:val="both"/>
              <w:rPr>
                <w:rFonts w:cs="Calibri"/>
              </w:rPr>
            </w:pPr>
            <w:r>
              <w:rPr>
                <w:rFonts w:cs="Calibri"/>
              </w:rPr>
              <w:t>Assuming you are not a U.S. tax resident and have provided the Company and/or the broker with a Form W-</w:t>
            </w:r>
            <w:proofErr w:type="spellStart"/>
            <w:r>
              <w:rPr>
                <w:rFonts w:cs="Calibri"/>
              </w:rPr>
              <w:t>8BEN</w:t>
            </w:r>
            <w:proofErr w:type="spellEnd"/>
            <w:r>
              <w:rPr>
                <w:rFonts w:cs="Calibri"/>
              </w:rPr>
              <w:t xml:space="preserve"> to certify your status as a non-U.S. person, you will not be subject to tax in the U.S. on any gain you realize when shares acquired under the Plan are sold.  If you have not provided a Form W-</w:t>
            </w:r>
            <w:proofErr w:type="spellStart"/>
            <w:r>
              <w:rPr>
                <w:rFonts w:cs="Calibri"/>
              </w:rPr>
              <w:t>8BEN</w:t>
            </w:r>
            <w:proofErr w:type="spellEnd"/>
            <w:r>
              <w:rPr>
                <w:rFonts w:cs="Calibri"/>
              </w:rPr>
              <w:t>, the broker will perform U.S. back-up withholding on the gain  at a rate of 24%.</w:t>
            </w:r>
          </w:p>
        </w:tc>
      </w:tr>
      <w:bookmarkEnd w:id="6"/>
    </w:tbl>
    <w:p w:rsidR="00C60FE7" w:rsidRDefault="00C60FE7">
      <w:pPr>
        <w:pStyle w:val="BodyText"/>
        <w:spacing w:before="80" w:after="80"/>
        <w:rPr>
          <w:rFonts w:eastAsia="Times New Roman" w:cs="Calibri"/>
          <w:b/>
          <w:caps/>
        </w:rPr>
      </w:pPr>
    </w:p>
    <w:tbl>
      <w:tblPr>
        <w:tblStyle w:val="TableGrid"/>
        <w:tblW w:w="5000" w:type="pct"/>
        <w:tblLayout w:type="fixed"/>
        <w:tblCellMar>
          <w:left w:w="115" w:type="dxa"/>
          <w:right w:w="115" w:type="dxa"/>
        </w:tblCellMar>
        <w:tblLook w:val="04A0" w:firstRow="1" w:lastRow="0" w:firstColumn="1" w:lastColumn="0" w:noHBand="0" w:noVBand="1"/>
      </w:tblPr>
      <w:tblGrid>
        <w:gridCol w:w="3056"/>
        <w:gridCol w:w="7016"/>
      </w:tblGrid>
      <w:tr w:rsidR="00EA5816">
        <w:trPr>
          <w:tblHeader/>
        </w:trPr>
        <w:tc>
          <w:tcPr>
            <w:tcW w:w="5000" w:type="pct"/>
            <w:gridSpan w:val="2"/>
            <w:shd w:val="clear" w:color="auto" w:fill="001D58"/>
            <w:vAlign w:val="center"/>
          </w:tcPr>
          <w:p w:rsidR="00C60FE7" w:rsidRDefault="006B44E7">
            <w:pPr>
              <w:spacing w:before="80" w:after="80"/>
              <w:jc w:val="center"/>
              <w:rPr>
                <w:rFonts w:eastAsia="Times New Roman" w:cs="Calibri"/>
                <w:b/>
                <w:caps/>
                <w:sz w:val="24"/>
                <w:szCs w:val="24"/>
                <w:lang w:val="en-AU" w:eastAsia="zh-TW"/>
              </w:rPr>
            </w:pPr>
            <w:r>
              <w:rPr>
                <w:rFonts w:eastAsia="Times New Roman" w:cs="Calibri"/>
                <w:b/>
                <w:caps/>
                <w:sz w:val="24"/>
                <w:szCs w:val="24"/>
              </w:rPr>
              <w:br w:type="page"/>
            </w:r>
            <w:r>
              <w:rPr>
                <w:rFonts w:eastAsia="Times New Roman" w:cs="Calibri"/>
                <w:b/>
                <w:caps/>
                <w:sz w:val="24"/>
                <w:szCs w:val="24"/>
                <w:lang w:val="en-AU" w:eastAsia="zh-TW"/>
              </w:rPr>
              <w:t>YOUR tax REPORTING and payment OBLIGATIONS</w:t>
            </w:r>
          </w:p>
        </w:tc>
      </w:tr>
      <w:tr w:rsidR="00EA5816">
        <w:trPr>
          <w:trHeight w:val="368"/>
        </w:trPr>
        <w:tc>
          <w:tcPr>
            <w:tcW w:w="1517" w:type="pct"/>
            <w:shd w:val="clear" w:color="auto" w:fill="auto"/>
          </w:tcPr>
          <w:p w:rsidR="00C60FE7" w:rsidRDefault="006B44E7">
            <w:pPr>
              <w:spacing w:before="80" w:after="80"/>
              <w:ind w:left="360"/>
              <w:rPr>
                <w:rFonts w:eastAsia="Times New Roman" w:cs="Calibri"/>
                <w:b/>
                <w:caps/>
              </w:rPr>
            </w:pPr>
            <w:r>
              <w:rPr>
                <w:rFonts w:eastAsia="Times New Roman" w:cs="Calibri"/>
                <w:b/>
              </w:rPr>
              <w:t>Vesting</w:t>
            </w:r>
          </w:p>
        </w:tc>
        <w:tc>
          <w:tcPr>
            <w:tcW w:w="3483" w:type="pct"/>
            <w:shd w:val="clear" w:color="auto" w:fill="auto"/>
            <w:vAlign w:val="center"/>
          </w:tcPr>
          <w:p w:rsidR="00C60FE7" w:rsidRDefault="006B44E7">
            <w:pPr>
              <w:keepNext/>
              <w:spacing w:before="80" w:after="80"/>
              <w:jc w:val="both"/>
              <w:rPr>
                <w:rFonts w:eastAsia="Times New Roman" w:cs="Calibri"/>
                <w:b/>
                <w:caps/>
              </w:rPr>
            </w:pPr>
            <w:r>
              <w:rPr>
                <w:rFonts w:eastAsia="Times New Roman" w:cs="Calibri"/>
              </w:rPr>
              <w:t xml:space="preserve">You must report the taxable amount on your Canadian </w:t>
            </w:r>
            <w:proofErr w:type="spellStart"/>
            <w:r>
              <w:rPr>
                <w:rFonts w:eastAsia="Times New Roman" w:cs="Calibri"/>
              </w:rPr>
              <w:t>T1</w:t>
            </w:r>
            <w:proofErr w:type="spellEnd"/>
            <w:r>
              <w:rPr>
                <w:rFonts w:eastAsia="Times New Roman" w:cs="Calibri"/>
              </w:rPr>
              <w:t xml:space="preserve"> personal income tax return (and Quebec </w:t>
            </w:r>
            <w:proofErr w:type="spellStart"/>
            <w:r>
              <w:rPr>
                <w:rFonts w:eastAsia="Times New Roman" w:cs="Calibri"/>
              </w:rPr>
              <w:t>TP</w:t>
            </w:r>
            <w:proofErr w:type="spellEnd"/>
            <w:r>
              <w:rPr>
                <w:rFonts w:eastAsia="Times New Roman" w:cs="Calibri"/>
              </w:rPr>
              <w:t>-1-V personal income tax return, if you reside in Quebec) and pay any additional tax owed by April 30 of the following year.</w:t>
            </w:r>
          </w:p>
        </w:tc>
      </w:tr>
      <w:tr w:rsidR="00EA5816">
        <w:tc>
          <w:tcPr>
            <w:tcW w:w="1517" w:type="pct"/>
            <w:shd w:val="clear" w:color="auto" w:fill="auto"/>
          </w:tcPr>
          <w:p w:rsidR="00C60FE7" w:rsidRDefault="006B44E7">
            <w:pPr>
              <w:spacing w:before="80" w:after="80"/>
              <w:ind w:left="360"/>
              <w:rPr>
                <w:rFonts w:eastAsia="Times New Roman" w:cs="Calibri"/>
                <w:b/>
                <w:caps/>
              </w:rPr>
            </w:pPr>
            <w:r>
              <w:rPr>
                <w:rFonts w:eastAsia="Times New Roman" w:cs="Calibri"/>
                <w:b/>
              </w:rPr>
              <w:t>Dividends</w:t>
            </w:r>
          </w:p>
        </w:tc>
        <w:tc>
          <w:tcPr>
            <w:tcW w:w="3483" w:type="pct"/>
            <w:shd w:val="clear" w:color="auto" w:fill="auto"/>
            <w:vAlign w:val="center"/>
          </w:tcPr>
          <w:p w:rsidR="00C60FE7" w:rsidRDefault="006B44E7">
            <w:pPr>
              <w:spacing w:before="80" w:after="80"/>
              <w:jc w:val="both"/>
              <w:rPr>
                <w:rFonts w:eastAsia="Times New Roman" w:cs="Calibri"/>
                <w:b/>
                <w:caps/>
              </w:rPr>
            </w:pPr>
            <w:r>
              <w:rPr>
                <w:rFonts w:eastAsia="Times New Roman" w:cs="Calibri"/>
              </w:rPr>
              <w:t xml:space="preserve">You must report the dividends on your Canadian </w:t>
            </w:r>
            <w:proofErr w:type="spellStart"/>
            <w:r>
              <w:rPr>
                <w:rFonts w:eastAsia="Times New Roman" w:cs="Calibri"/>
              </w:rPr>
              <w:t>T1</w:t>
            </w:r>
            <w:proofErr w:type="spellEnd"/>
            <w:r>
              <w:rPr>
                <w:rFonts w:eastAsia="Times New Roman" w:cs="Calibri"/>
              </w:rPr>
              <w:t xml:space="preserve"> personal income tax return (and Quebec </w:t>
            </w:r>
            <w:proofErr w:type="spellStart"/>
            <w:r>
              <w:rPr>
                <w:rFonts w:eastAsia="Times New Roman" w:cs="Calibri"/>
              </w:rPr>
              <w:t>TP</w:t>
            </w:r>
            <w:proofErr w:type="spellEnd"/>
            <w:r>
              <w:rPr>
                <w:rFonts w:eastAsia="Times New Roman" w:cs="Calibri"/>
              </w:rPr>
              <w:t>-1-V personal income tax return, if you reside in Quebec) and pay any tax owed by April 30 of the following year.</w:t>
            </w:r>
          </w:p>
        </w:tc>
      </w:tr>
      <w:tr w:rsidR="00EA5816">
        <w:tc>
          <w:tcPr>
            <w:tcW w:w="1517" w:type="pct"/>
            <w:tcBorders>
              <w:bottom w:val="single" w:color="auto" w:sz="4" w:space="0"/>
            </w:tcBorders>
            <w:shd w:val="clear" w:color="auto" w:fill="auto"/>
          </w:tcPr>
          <w:p w:rsidR="00C60FE7" w:rsidRDefault="006B44E7">
            <w:pPr>
              <w:spacing w:before="80" w:after="80"/>
              <w:ind w:left="360"/>
              <w:rPr>
                <w:rFonts w:eastAsia="Times New Roman" w:cs="Calibri"/>
                <w:b/>
                <w:caps/>
              </w:rPr>
            </w:pPr>
            <w:r>
              <w:rPr>
                <w:rFonts w:eastAsia="Times New Roman" w:cs="Calibri"/>
                <w:b/>
              </w:rPr>
              <w:t>Sale of Shares</w:t>
            </w:r>
          </w:p>
        </w:tc>
        <w:tc>
          <w:tcPr>
            <w:tcW w:w="3483" w:type="pct"/>
            <w:tcBorders>
              <w:bottom w:val="single" w:color="auto" w:sz="4" w:space="0"/>
            </w:tcBorders>
            <w:shd w:val="clear" w:color="auto" w:fill="auto"/>
            <w:vAlign w:val="center"/>
          </w:tcPr>
          <w:p w:rsidR="00C60FE7" w:rsidRDefault="006B44E7">
            <w:pPr>
              <w:keepNext/>
              <w:spacing w:before="80" w:after="80"/>
              <w:jc w:val="both"/>
              <w:rPr>
                <w:rFonts w:eastAsia="Times New Roman" w:cs="Calibri"/>
                <w:b/>
                <w:caps/>
              </w:rPr>
            </w:pPr>
            <w:r>
              <w:rPr>
                <w:rFonts w:eastAsia="Times New Roman" w:cs="Calibri"/>
              </w:rPr>
              <w:t xml:space="preserve">You must report the gain (or loss) on your Canadian </w:t>
            </w:r>
            <w:proofErr w:type="spellStart"/>
            <w:r>
              <w:rPr>
                <w:rFonts w:eastAsia="Times New Roman" w:cs="Calibri"/>
              </w:rPr>
              <w:t>T1</w:t>
            </w:r>
            <w:proofErr w:type="spellEnd"/>
            <w:r>
              <w:rPr>
                <w:rFonts w:eastAsia="Times New Roman" w:cs="Calibri"/>
              </w:rPr>
              <w:t xml:space="preserve"> personal income tax return (and Quebec </w:t>
            </w:r>
            <w:proofErr w:type="spellStart"/>
            <w:r>
              <w:rPr>
                <w:rFonts w:eastAsia="Times New Roman" w:cs="Calibri"/>
              </w:rPr>
              <w:t>TP</w:t>
            </w:r>
            <w:proofErr w:type="spellEnd"/>
            <w:r>
              <w:rPr>
                <w:rFonts w:eastAsia="Times New Roman" w:cs="Calibri"/>
              </w:rPr>
              <w:t>-1-V personal income tax return, if you reside in Quebec) and pay any tax owed by April 30 of the following year.</w:t>
            </w:r>
          </w:p>
        </w:tc>
      </w:tr>
    </w:tbl>
    <w:p w:rsidR="00C60FE7" w:rsidRDefault="00C60FE7">
      <w:pPr>
        <w:pStyle w:val="BodyText"/>
        <w:spacing w:before="80" w:after="80"/>
        <w:rPr>
          <w:rFonts w:eastAsia="Times New Roman" w:cs="Calibri"/>
          <w:b/>
          <w:caps/>
        </w:rPr>
      </w:pPr>
    </w:p>
    <w:tbl>
      <w:tblPr>
        <w:tblStyle w:val="TableGrid"/>
        <w:tblW w:w="0" w:type="auto"/>
        <w:tblLook w:val="04A0" w:firstRow="1" w:lastRow="0" w:firstColumn="1" w:lastColumn="0" w:noHBand="0" w:noVBand="1"/>
      </w:tblPr>
      <w:tblGrid>
        <w:gridCol w:w="3055"/>
        <w:gridCol w:w="7017"/>
      </w:tblGrid>
      <w:tr w:rsidR="00EA5816" w:rsidTr="00533673">
        <w:tc>
          <w:tcPr>
            <w:tcW w:w="10072" w:type="dxa"/>
            <w:gridSpan w:val="2"/>
            <w:tcBorders>
              <w:bottom w:val="single" w:color="auto" w:sz="4" w:space="0"/>
            </w:tcBorders>
            <w:shd w:val="clear" w:color="auto" w:fill="001D58"/>
          </w:tcPr>
          <w:p w:rsidR="00C60FE7" w:rsidRDefault="006B44E7">
            <w:pPr>
              <w:keepNext/>
              <w:spacing w:before="120" w:after="120"/>
              <w:jc w:val="center"/>
              <w:rPr>
                <w:rFonts w:eastAsia="Times New Roman" w:cs="Calibri"/>
                <w:b/>
                <w:caps/>
                <w:sz w:val="24"/>
                <w:szCs w:val="24"/>
              </w:rPr>
            </w:pPr>
            <w:r>
              <w:rPr>
                <w:rFonts w:eastAsia="Times New Roman" w:cs="Calibri"/>
                <w:b/>
                <w:caps/>
                <w:sz w:val="24"/>
                <w:szCs w:val="24"/>
              </w:rPr>
              <w:t>Other Information</w:t>
            </w:r>
          </w:p>
        </w:tc>
      </w:tr>
      <w:tr w:rsidR="00EA5816" w:rsidTr="00DD32EF">
        <w:tc>
          <w:tcPr>
            <w:tcW w:w="3055" w:type="dxa"/>
            <w:shd w:val="clear" w:color="auto" w:fill="FFFFFF" w:themeFill="background2"/>
          </w:tcPr>
          <w:p w:rsidR="00C60FE7" w:rsidRDefault="006B44E7">
            <w:pPr>
              <w:spacing w:before="120" w:after="120"/>
              <w:ind w:left="360"/>
              <w:rPr>
                <w:rFonts w:cs="Calibri"/>
                <w:b/>
              </w:rPr>
            </w:pPr>
            <w:r>
              <w:rPr>
                <w:rFonts w:cs="Calibri"/>
                <w:b/>
              </w:rPr>
              <w:t>Foreign Asset/Account Reporting</w:t>
            </w:r>
          </w:p>
        </w:tc>
        <w:tc>
          <w:tcPr>
            <w:tcW w:w="7017" w:type="dxa"/>
            <w:shd w:val="clear" w:color="auto" w:fill="FFFFFF" w:themeFill="background2"/>
          </w:tcPr>
          <w:p w:rsidR="00C60FE7" w:rsidRDefault="006B44E7">
            <w:pPr>
              <w:keepNext/>
              <w:spacing w:before="120" w:after="120"/>
              <w:jc w:val="both"/>
              <w:rPr>
                <w:rFonts w:cs="Calibri"/>
              </w:rPr>
            </w:pPr>
            <w:r>
              <w:rPr>
                <w:rFonts w:cs="Calibri"/>
              </w:rPr>
              <w:t xml:space="preserve">Specified foreign property, including shares acquired under the Plan and certain awards granted under the Plan, must be reported on Form </w:t>
            </w:r>
            <w:proofErr w:type="spellStart"/>
            <w:r>
              <w:rPr>
                <w:rFonts w:cs="Calibri"/>
              </w:rPr>
              <w:t>T1135</w:t>
            </w:r>
            <w:proofErr w:type="spellEnd"/>
            <w:r>
              <w:rPr>
                <w:rFonts w:cs="Calibri"/>
              </w:rPr>
              <w:t xml:space="preserve"> (Foreign Income Verification Statement) if the total cost of such foreign property exceeds CAD 100,000 at any time during the year. </w:t>
            </w:r>
          </w:p>
          <w:p w:rsidR="00C60FE7" w:rsidRDefault="006B44E7">
            <w:pPr>
              <w:keepNext/>
              <w:spacing w:before="120" w:after="120"/>
              <w:jc w:val="both"/>
              <w:rPr>
                <w:rFonts w:cs="Calibri"/>
              </w:rPr>
            </w:pPr>
            <w:r>
              <w:rPr>
                <w:rFonts w:cs="Calibri"/>
              </w:rPr>
              <w:t xml:space="preserve">If the CAD 100,000 cost threshold is exceeded by other specified foreign property held, your awards must be reported as well, generally at a nil cost.  When Company shares are acquired, their cost generally is the </w:t>
            </w:r>
            <w:proofErr w:type="spellStart"/>
            <w:r>
              <w:rPr>
                <w:rFonts w:cs="Calibri"/>
              </w:rPr>
              <w:t>ACB</w:t>
            </w:r>
            <w:proofErr w:type="spellEnd"/>
            <w:r>
              <w:rPr>
                <w:rFonts w:cs="Calibri"/>
              </w:rPr>
              <w:t xml:space="preserve"> of the shares.</w:t>
            </w:r>
          </w:p>
          <w:p w:rsidR="00C60FE7" w:rsidRDefault="006B44E7">
            <w:pPr>
              <w:spacing w:before="120" w:after="120"/>
              <w:jc w:val="both"/>
              <w:rPr>
                <w:rFonts w:cs="Calibri"/>
                <w:i/>
              </w:rPr>
            </w:pPr>
            <w:r>
              <w:rPr>
                <w:rFonts w:cs="Calibri"/>
              </w:rPr>
              <w:t xml:space="preserve">The Form </w:t>
            </w:r>
            <w:proofErr w:type="spellStart"/>
            <w:r>
              <w:rPr>
                <w:rFonts w:cs="Calibri"/>
              </w:rPr>
              <w:t>T1135</w:t>
            </w:r>
            <w:proofErr w:type="spellEnd"/>
            <w:r>
              <w:rPr>
                <w:rFonts w:cs="Calibri"/>
              </w:rPr>
              <w:t xml:space="preserve"> must be filed by April 30 of the following year.  </w:t>
            </w:r>
            <w:r>
              <w:rPr>
                <w:rFonts w:cs="Calibri"/>
                <w:i/>
              </w:rPr>
              <w:t>You should consult with your personal tax advisor for further details regarding this requirement</w:t>
            </w:r>
            <w:r>
              <w:rPr>
                <w:rFonts w:cs="Calibri"/>
              </w:rPr>
              <w:t>.</w:t>
            </w:r>
          </w:p>
        </w:tc>
      </w:tr>
      <w:tr w:rsidR="00EA5816" w:rsidTr="00DD32EF">
        <w:tc>
          <w:tcPr>
            <w:tcW w:w="3055" w:type="dxa"/>
            <w:shd w:val="clear" w:color="auto" w:fill="FFFFFF" w:themeFill="background2"/>
          </w:tcPr>
          <w:p w:rsidR="00C60FE7" w:rsidRDefault="006B44E7">
            <w:pPr>
              <w:spacing w:before="120" w:after="120"/>
              <w:ind w:left="360"/>
              <w:rPr>
                <w:rFonts w:cs="Calibri"/>
                <w:b/>
              </w:rPr>
            </w:pPr>
            <w:r>
              <w:rPr>
                <w:rFonts w:cs="Calibri"/>
                <w:b/>
              </w:rPr>
              <w:t>Exchange Control</w:t>
            </w:r>
          </w:p>
        </w:tc>
        <w:tc>
          <w:tcPr>
            <w:tcW w:w="7017" w:type="dxa"/>
            <w:shd w:val="clear" w:color="auto" w:fill="FFFFFF" w:themeFill="background2"/>
          </w:tcPr>
          <w:p w:rsidR="00C60FE7" w:rsidRDefault="006B44E7">
            <w:pPr>
              <w:spacing w:before="120" w:after="120"/>
              <w:jc w:val="both"/>
              <w:rPr>
                <w:rFonts w:cs="Calibri"/>
                <w:i/>
              </w:rPr>
            </w:pPr>
            <w:r>
              <w:rPr>
                <w:rFonts w:cs="Calibri"/>
              </w:rPr>
              <w:t>None.</w:t>
            </w:r>
          </w:p>
        </w:tc>
      </w:tr>
      <w:tr w:rsidR="00EA5816" w:rsidTr="00DD32EF">
        <w:tc>
          <w:tcPr>
            <w:tcW w:w="3055" w:type="dxa"/>
            <w:shd w:val="clear" w:color="auto" w:fill="FFFFFF" w:themeFill="background2"/>
          </w:tcPr>
          <w:p w:rsidR="00C60FE7" w:rsidRDefault="006B44E7">
            <w:pPr>
              <w:spacing w:before="120" w:after="120"/>
              <w:ind w:left="360"/>
              <w:rPr>
                <w:rFonts w:cs="Calibri"/>
                <w:b/>
              </w:rPr>
            </w:pPr>
            <w:r>
              <w:rPr>
                <w:rFonts w:eastAsia="Times New Roman" w:cs="Calibri"/>
                <w:b/>
                <w:lang w:val="en-AU"/>
              </w:rPr>
              <w:t>U.S. Estate Tax</w:t>
            </w:r>
          </w:p>
        </w:tc>
        <w:tc>
          <w:tcPr>
            <w:tcW w:w="7017" w:type="dxa"/>
            <w:shd w:val="clear" w:color="auto" w:fill="FFFFFF" w:themeFill="background2"/>
          </w:tcPr>
          <w:p w:rsidR="00C60FE7" w:rsidRDefault="006B44E7">
            <w:pPr>
              <w:spacing w:before="120" w:after="120"/>
              <w:jc w:val="both"/>
              <w:rPr>
                <w:rFonts w:cs="Calibri"/>
                <w:i/>
              </w:rPr>
            </w:pPr>
            <w:r>
              <w:rPr>
                <w:rFonts w:cs="Calibri"/>
              </w:rPr>
              <w:t>You should be aware that U.S. estate tax may be assessed at the time of death if you hold Company shares (and certain awards) at this time.  U.S. estate tax law requires that, for the estates of non-U.S. citizens who reside outside the U.S. (“non-resident aliens“), an estate tax return must be filed if the gross estate exceeds USD 60,000, though if an estate tax treaty applies, the consequences will differ.  The gross estate of a non-resident alien consists only of assets located in the U.S., which will include your Company shares (and certain awards granted under the Plan).  </w:t>
            </w:r>
            <w:r>
              <w:rPr>
                <w:rFonts w:cs="Calibri"/>
                <w:i/>
              </w:rPr>
              <w:t>Due to the complexity of these laws, your heirs should consult with a personal tax or financial advisor.</w:t>
            </w:r>
          </w:p>
        </w:tc>
      </w:tr>
    </w:tbl>
    <w:p w:rsidR="00C60FE7" w:rsidRDefault="00C60FE7">
      <w:pPr>
        <w:pStyle w:val="BodyText"/>
        <w:spacing w:before="80" w:after="80"/>
      </w:pPr>
    </w:p>
    <w:sectPr w:rsidR="00C60FE7">
      <w:headerReference w:type="even" r:id="rId12"/>
      <w:headerReference w:type="default" r:id="rId13"/>
      <w:footerReference w:type="even" r:id="rId14"/>
      <w:footerReference w:type="default" r:id="rId15"/>
      <w:headerReference w:type="first" r:id="rId16"/>
      <w:footerReference w:type="first" r:id="rId17"/>
      <w:pgSz w:w="12242" w:h="15842" w:code="1"/>
      <w:pgMar w:top="1080" w:right="1080" w:bottom="1080" w:left="1080" w:header="54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B1F" w:rsidRDefault="008E3B1F">
      <w:r>
        <w:separator/>
      </w:r>
    </w:p>
  </w:endnote>
  <w:endnote w:type="continuationSeparator" w:id="0">
    <w:p w:rsidR="008E3B1F" w:rsidRDefault="008E3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0FE7" w:rsidRDefault="00C60F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0FE7" w:rsidRDefault="006B44E7">
    <w:pPr>
      <w:pStyle w:val="Footer"/>
      <w:ind w:left="-90"/>
      <w:jc w:val="right"/>
      <w:rPr>
        <w:rFonts w:ascii="Calibri" w:hAnsi="Calibri" w:cs="Calibri"/>
      </w:rPr>
    </w:pPr>
    <w:r>
      <w:rPr>
        <w:rFonts w:ascii="Calibri" w:hAnsi="Calibri" w:cs="Calibri"/>
        <w:sz w:val="18"/>
        <w:szCs w:val="18"/>
      </w:rPr>
      <w:tab/>
    </w:r>
    <w:r>
      <w:rPr>
        <w:rFonts w:ascii="Calibri" w:hAnsi="Calibri" w:cs="Calibri"/>
        <w:sz w:val="18"/>
        <w:szCs w:val="18"/>
      </w:rPr>
      <w:tab/>
    </w:r>
    <w:r>
      <w:rPr>
        <w:noProof w:val="0"/>
      </w:rPr>
      <w:t xml:space="preserve"> </w:t>
    </w:r>
    <w:sdt>
      <w:sdtPr>
        <w:rPr>
          <w:rFonts w:ascii="Calibri" w:hAnsi="Calibri" w:cs="Calibri"/>
        </w:rPr>
        <w:id w:val="320705703"/>
        <w:docPartObj>
          <w:docPartGallery w:val="Page Numbers (Bottom of Page)"/>
          <w:docPartUnique/>
        </w:docPartObj>
      </w:sdtPr>
      <w:sdtEndPr/>
      <w:sdtContent>
        <w:r>
          <w:rPr>
            <w:rFonts w:ascii="Calibri" w:hAnsi="Calibri" w:cs="Calibri"/>
            <w:noProof w:val="0"/>
          </w:rPr>
          <w:fldChar w:fldCharType="begin"/>
        </w:r>
        <w:r>
          <w:rPr>
            <w:rFonts w:ascii="Calibri" w:hAnsi="Calibri" w:cs="Calibri"/>
          </w:rPr>
          <w:instrText xml:space="preserve"> PAGE   \* MERGEFORMAT </w:instrText>
        </w:r>
        <w:r>
          <w:rPr>
            <w:rFonts w:ascii="Calibri" w:hAnsi="Calibri" w:cs="Calibri"/>
            <w:noProof w:val="0"/>
          </w:rPr>
          <w:fldChar w:fldCharType="separate"/>
        </w:r>
        <w:r w:rsidR="0071527F">
          <w:rPr>
            <w:rFonts w:ascii="Calibri" w:hAnsi="Calibri" w:cs="Calibri"/>
          </w:rPr>
          <w:t>1</w:t>
        </w:r>
        <w:r>
          <w:rPr>
            <w:rFonts w:ascii="Calibri" w:hAnsi="Calibri" w:cs="Calibri"/>
          </w:rPr>
          <w:fldChar w:fldCharType="end"/>
        </w:r>
      </w:sdtContent>
    </w:sdt>
  </w:p>
  <w:p w:rsidR="00C60FE7" w:rsidRDefault="00C60FE7">
    <w:pPr>
      <w:pStyle w:val="Footer"/>
      <w:rPr>
        <w:rFonts w:ascii="Calibri" w:hAnsi="Calibri" w:cs="Calibri"/>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0FE7" w:rsidRDefault="00C60F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B1F" w:rsidRDefault="008E3B1F">
      <w:r>
        <w:separator/>
      </w:r>
    </w:p>
  </w:footnote>
  <w:footnote w:type="continuationSeparator" w:id="0">
    <w:p w:rsidR="008E3B1F" w:rsidRDefault="008E3B1F">
      <w:r>
        <w:continuationSeparator/>
      </w:r>
    </w:p>
  </w:footnote>
  <w:footnote w:id="1">
    <w:p w:rsidR="00C60FE7" w:rsidRDefault="006B44E7">
      <w:pPr>
        <w:rPr>
          <w:rFonts w:eastAsia="Times New Roman"/>
          <w:sz w:val="18"/>
          <w:szCs w:val="18"/>
        </w:rPr>
      </w:pPr>
      <w:bookmarkStart w:name="RSUfoot" w:id="1"/>
      <w:bookmarkStart w:name="_cp_text_1_10" w:id="2"/>
      <w:r>
        <w:rPr>
          <w:rStyle w:val="FootnoteReference"/>
          <w:rFonts w:eastAsia="Times New Roman"/>
          <w:sz w:val="18"/>
          <w:szCs w:val="18"/>
        </w:rPr>
        <w:footnoteRef/>
      </w:r>
      <w:r>
        <w:rPr>
          <w:sz w:val="18"/>
          <w:szCs w:val="18"/>
        </w:rPr>
        <w:t xml:space="preserve"> </w:t>
      </w:r>
      <w:proofErr w:type="spellStart"/>
      <w:r>
        <w:rPr>
          <w:sz w:val="18"/>
          <w:szCs w:val="18"/>
        </w:rPr>
        <w:t>SAs</w:t>
      </w:r>
      <w:proofErr w:type="spellEnd"/>
      <w:r>
        <w:rPr>
          <w:sz w:val="18"/>
          <w:szCs w:val="18"/>
        </w:rPr>
        <w:t xml:space="preserve"> are an unfunded, unsecured promise to issue Company shares at no cost to you at a later time.  </w:t>
      </w:r>
      <w:bookmarkEnd w:id="1"/>
    </w:p>
    <w:bookmarkEnd w:id="2"/>
    <w:p w:rsidR="00C60FE7" w:rsidRDefault="00C60FE7">
      <w:pPr>
        <w:rPr>
          <w:rFonts w:eastAsia="Times New Roman"/>
          <w:sz w:val="18"/>
          <w:szCs w:val="18"/>
          <w:u w:val="double"/>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0FE7" w:rsidRDefault="00C60F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0FE7" w:rsidRDefault="006B44E7">
    <w:r>
      <w:cr/>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0FE7" w:rsidRDefault="00C60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08AC658"/>
    <w:lvl w:ilvl="0">
      <w:start w:val="1"/>
      <w:numFmt w:val="decimal"/>
      <w:lvlText w:val="%1."/>
      <w:lvlJc w:val="left"/>
      <w:pPr>
        <w:tabs>
          <w:tab w:val="num" w:pos="1492"/>
        </w:tabs>
        <w:ind w:left="1492" w:hanging="360"/>
      </w:pPr>
    </w:lvl>
  </w:abstractNum>
  <w:abstractNum w:abstractNumId="1" w15:restartNumberingAfterBreak="0">
    <w:nsid w:val="FFFFFF80"/>
    <w:multiLevelType w:val="singleLevel"/>
    <w:tmpl w:val="AD367308"/>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C0F4E5D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8BDE3A94"/>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CE041AEE"/>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1C184BF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96C1985"/>
    <w:multiLevelType w:val="multilevel"/>
    <w:tmpl w:val="F38A9D40"/>
    <w:styleLink w:val="BMSchedules"/>
    <w:lvl w:ilvl="0">
      <w:start w:val="1"/>
      <w:numFmt w:val="none"/>
      <w:pStyle w:val="SchH1"/>
      <w:suff w:val="nothing"/>
      <w:lvlText w:val="%1"/>
      <w:lvlJc w:val="left"/>
      <w:pPr>
        <w:ind w:left="0" w:firstLine="0"/>
      </w:pPr>
      <w:rPr>
        <w:rFonts w:hint="default"/>
      </w:rPr>
    </w:lvl>
    <w:lvl w:ilvl="1">
      <w:start w:val="1"/>
      <w:numFmt w:val="decimal"/>
      <w:pStyle w:val="SchH2"/>
      <w:lvlText w:val="%1%2."/>
      <w:lvlJc w:val="left"/>
      <w:pPr>
        <w:tabs>
          <w:tab w:val="num" w:pos="709"/>
        </w:tabs>
        <w:ind w:left="709" w:hanging="709"/>
      </w:pPr>
      <w:rPr>
        <w:rFonts w:hint="default"/>
      </w:rPr>
    </w:lvl>
    <w:lvl w:ilvl="2">
      <w:start w:val="1"/>
      <w:numFmt w:val="decimal"/>
      <w:pStyle w:val="SchH3"/>
      <w:lvlText w:val="%2.%3"/>
      <w:lvlJc w:val="left"/>
      <w:pPr>
        <w:tabs>
          <w:tab w:val="num" w:pos="709"/>
        </w:tabs>
        <w:ind w:left="709" w:hanging="709"/>
      </w:pPr>
      <w:rPr>
        <w:rFonts w:hint="default"/>
      </w:rPr>
    </w:lvl>
    <w:lvl w:ilvl="3">
      <w:start w:val="1"/>
      <w:numFmt w:val="lowerLetter"/>
      <w:pStyle w:val="SchH4"/>
      <w:lvlText w:val="(%4)"/>
      <w:lvlJc w:val="left"/>
      <w:pPr>
        <w:tabs>
          <w:tab w:val="num" w:pos="1418"/>
        </w:tabs>
        <w:ind w:left="1418" w:hanging="709"/>
      </w:pPr>
      <w:rPr>
        <w:rFonts w:hint="default"/>
      </w:rPr>
    </w:lvl>
    <w:lvl w:ilvl="4">
      <w:start w:val="1"/>
      <w:numFmt w:val="lowerRoman"/>
      <w:pStyle w:val="SchH5"/>
      <w:lvlText w:val="(%5)"/>
      <w:lvlJc w:val="left"/>
      <w:pPr>
        <w:tabs>
          <w:tab w:val="num" w:pos="2126"/>
        </w:tabs>
        <w:ind w:left="2126" w:hanging="708"/>
      </w:pPr>
      <w:rPr>
        <w:rFonts w:hint="default"/>
      </w:rPr>
    </w:lvl>
    <w:lvl w:ilvl="5">
      <w:start w:val="1"/>
      <w:numFmt w:val="upperLetter"/>
      <w:pStyle w:val="SchH6"/>
      <w:lvlText w:val="(%6)"/>
      <w:lvlJc w:val="left"/>
      <w:pPr>
        <w:tabs>
          <w:tab w:val="num" w:pos="2835"/>
        </w:tabs>
        <w:ind w:left="2835" w:hanging="709"/>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7" w15:restartNumberingAfterBreak="0">
    <w:nsid w:val="18A8275F"/>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B645B2"/>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F1C7A27"/>
    <w:multiLevelType w:val="hybridMultilevel"/>
    <w:tmpl w:val="06924C16"/>
    <w:lvl w:ilvl="0" w:tplc="285839FE">
      <w:start w:val="1"/>
      <w:numFmt w:val="bullet"/>
      <w:pStyle w:val="Bullet2"/>
      <w:lvlText w:val=""/>
      <w:lvlJc w:val="left"/>
      <w:pPr>
        <w:tabs>
          <w:tab w:val="num" w:pos="357"/>
        </w:tabs>
        <w:ind w:left="357" w:hanging="357"/>
      </w:pPr>
      <w:rPr>
        <w:rFonts w:ascii="Symbol" w:hAnsi="Symbol" w:hint="default"/>
      </w:rPr>
    </w:lvl>
    <w:lvl w:ilvl="1" w:tplc="231082AC" w:tentative="1">
      <w:start w:val="1"/>
      <w:numFmt w:val="bullet"/>
      <w:lvlText w:val="o"/>
      <w:lvlJc w:val="left"/>
      <w:pPr>
        <w:tabs>
          <w:tab w:val="num" w:pos="1440"/>
        </w:tabs>
        <w:ind w:left="1440" w:hanging="360"/>
      </w:pPr>
      <w:rPr>
        <w:rFonts w:ascii="Courier New" w:hAnsi="Courier New" w:cs="Courier New" w:hint="default"/>
      </w:rPr>
    </w:lvl>
    <w:lvl w:ilvl="2" w:tplc="6EC29BC6" w:tentative="1">
      <w:start w:val="1"/>
      <w:numFmt w:val="bullet"/>
      <w:lvlText w:val=""/>
      <w:lvlJc w:val="left"/>
      <w:pPr>
        <w:tabs>
          <w:tab w:val="num" w:pos="2160"/>
        </w:tabs>
        <w:ind w:left="2160" w:hanging="360"/>
      </w:pPr>
      <w:rPr>
        <w:rFonts w:ascii="Wingdings" w:hAnsi="Wingdings" w:hint="default"/>
      </w:rPr>
    </w:lvl>
    <w:lvl w:ilvl="3" w:tplc="5FD4BA7C" w:tentative="1">
      <w:start w:val="1"/>
      <w:numFmt w:val="bullet"/>
      <w:lvlText w:val=""/>
      <w:lvlJc w:val="left"/>
      <w:pPr>
        <w:tabs>
          <w:tab w:val="num" w:pos="2880"/>
        </w:tabs>
        <w:ind w:left="2880" w:hanging="360"/>
      </w:pPr>
      <w:rPr>
        <w:rFonts w:ascii="Symbol" w:hAnsi="Symbol" w:hint="default"/>
      </w:rPr>
    </w:lvl>
    <w:lvl w:ilvl="4" w:tplc="C054D8A2" w:tentative="1">
      <w:start w:val="1"/>
      <w:numFmt w:val="bullet"/>
      <w:lvlText w:val="o"/>
      <w:lvlJc w:val="left"/>
      <w:pPr>
        <w:tabs>
          <w:tab w:val="num" w:pos="3600"/>
        </w:tabs>
        <w:ind w:left="3600" w:hanging="360"/>
      </w:pPr>
      <w:rPr>
        <w:rFonts w:ascii="Courier New" w:hAnsi="Courier New" w:cs="Courier New" w:hint="default"/>
      </w:rPr>
    </w:lvl>
    <w:lvl w:ilvl="5" w:tplc="39689518" w:tentative="1">
      <w:start w:val="1"/>
      <w:numFmt w:val="bullet"/>
      <w:lvlText w:val=""/>
      <w:lvlJc w:val="left"/>
      <w:pPr>
        <w:tabs>
          <w:tab w:val="num" w:pos="4320"/>
        </w:tabs>
        <w:ind w:left="4320" w:hanging="360"/>
      </w:pPr>
      <w:rPr>
        <w:rFonts w:ascii="Wingdings" w:hAnsi="Wingdings" w:hint="default"/>
      </w:rPr>
    </w:lvl>
    <w:lvl w:ilvl="6" w:tplc="4EC0A480" w:tentative="1">
      <w:start w:val="1"/>
      <w:numFmt w:val="bullet"/>
      <w:lvlText w:val=""/>
      <w:lvlJc w:val="left"/>
      <w:pPr>
        <w:tabs>
          <w:tab w:val="num" w:pos="5040"/>
        </w:tabs>
        <w:ind w:left="5040" w:hanging="360"/>
      </w:pPr>
      <w:rPr>
        <w:rFonts w:ascii="Symbol" w:hAnsi="Symbol" w:hint="default"/>
      </w:rPr>
    </w:lvl>
    <w:lvl w:ilvl="7" w:tplc="703C399A" w:tentative="1">
      <w:start w:val="1"/>
      <w:numFmt w:val="bullet"/>
      <w:lvlText w:val="o"/>
      <w:lvlJc w:val="left"/>
      <w:pPr>
        <w:tabs>
          <w:tab w:val="num" w:pos="5760"/>
        </w:tabs>
        <w:ind w:left="5760" w:hanging="360"/>
      </w:pPr>
      <w:rPr>
        <w:rFonts w:ascii="Courier New" w:hAnsi="Courier New" w:cs="Courier New" w:hint="default"/>
      </w:rPr>
    </w:lvl>
    <w:lvl w:ilvl="8" w:tplc="306C021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451C4C"/>
    <w:multiLevelType w:val="multilevel"/>
    <w:tmpl w:val="6DE2DBE6"/>
    <w:styleLink w:val="BMHeadings"/>
    <w:lvl w:ilvl="0">
      <w:start w:val="1"/>
      <w:numFmt w:val="none"/>
      <w:pStyle w:val="Heading1"/>
      <w:suff w:val="nothing"/>
      <w:lvlText w:val=""/>
      <w:lvlJc w:val="left"/>
      <w:pPr>
        <w:ind w:left="0" w:firstLine="0"/>
      </w:pPr>
      <w:rPr>
        <w:rFonts w:hint="default"/>
      </w:rPr>
    </w:lvl>
    <w:lvl w:ilvl="1">
      <w:start w:val="1"/>
      <w:numFmt w:val="decimal"/>
      <w:pStyle w:val="Heading2"/>
      <w:lvlText w:val="%2."/>
      <w:lvlJc w:val="left"/>
      <w:pPr>
        <w:tabs>
          <w:tab w:val="num" w:pos="709"/>
        </w:tabs>
        <w:ind w:left="709" w:hanging="709"/>
      </w:pPr>
      <w:rPr>
        <w:rFonts w:hint="default"/>
      </w:rPr>
    </w:lvl>
    <w:lvl w:ilvl="2">
      <w:start w:val="1"/>
      <w:numFmt w:val="decimal"/>
      <w:pStyle w:val="Heading3"/>
      <w:lvlText w:val="%2.%3"/>
      <w:lvlJc w:val="left"/>
      <w:pPr>
        <w:tabs>
          <w:tab w:val="num" w:pos="709"/>
        </w:tabs>
        <w:ind w:left="709" w:hanging="709"/>
      </w:pPr>
      <w:rPr>
        <w:rFonts w:hint="default"/>
      </w:rPr>
    </w:lvl>
    <w:lvl w:ilvl="3">
      <w:start w:val="1"/>
      <w:numFmt w:val="lowerLetter"/>
      <w:pStyle w:val="Heading4"/>
      <w:lvlText w:val="(%4)"/>
      <w:lvlJc w:val="left"/>
      <w:pPr>
        <w:tabs>
          <w:tab w:val="num" w:pos="1418"/>
        </w:tabs>
        <w:ind w:left="1418" w:hanging="709"/>
      </w:pPr>
      <w:rPr>
        <w:rFonts w:hint="default"/>
      </w:rPr>
    </w:lvl>
    <w:lvl w:ilvl="4">
      <w:start w:val="1"/>
      <w:numFmt w:val="lowerRoman"/>
      <w:pStyle w:val="Heading5"/>
      <w:lvlText w:val="(%5)"/>
      <w:lvlJc w:val="left"/>
      <w:pPr>
        <w:tabs>
          <w:tab w:val="num" w:pos="2126"/>
        </w:tabs>
        <w:ind w:left="2126" w:hanging="708"/>
      </w:pPr>
      <w:rPr>
        <w:rFonts w:hint="default"/>
      </w:rPr>
    </w:lvl>
    <w:lvl w:ilvl="5">
      <w:start w:val="1"/>
      <w:numFmt w:val="upperLetter"/>
      <w:pStyle w:val="Heading6"/>
      <w:lvlText w:val="(%6)"/>
      <w:lvlJc w:val="left"/>
      <w:pPr>
        <w:tabs>
          <w:tab w:val="num" w:pos="2835"/>
        </w:tabs>
        <w:ind w:left="2835" w:hanging="709"/>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1" w15:restartNumberingAfterBreak="0">
    <w:nsid w:val="308054D4"/>
    <w:multiLevelType w:val="hybridMultilevel"/>
    <w:tmpl w:val="FCB429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B6376C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AF549D"/>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0622118"/>
    <w:multiLevelType w:val="multilevel"/>
    <w:tmpl w:val="F492126A"/>
    <w:styleLink w:val="BMListNumbers"/>
    <w:lvl w:ilvl="0">
      <w:start w:val="1"/>
      <w:numFmt w:val="decimal"/>
      <w:pStyle w:val="ListNumber"/>
      <w:lvlText w:val="%1."/>
      <w:lvlJc w:val="left"/>
      <w:pPr>
        <w:tabs>
          <w:tab w:val="num" w:pos="709"/>
        </w:tabs>
        <w:ind w:left="709" w:hanging="709"/>
      </w:pPr>
      <w:rPr>
        <w:rFonts w:hint="default"/>
      </w:rPr>
    </w:lvl>
    <w:lvl w:ilvl="1">
      <w:start w:val="1"/>
      <w:numFmt w:val="lowerLetter"/>
      <w:lvlRestart w:val="0"/>
      <w:pStyle w:val="ListNumber2"/>
      <w:lvlText w:val="(%2)"/>
      <w:lvlJc w:val="left"/>
      <w:pPr>
        <w:tabs>
          <w:tab w:val="num" w:pos="1418"/>
        </w:tabs>
        <w:ind w:left="1418" w:hanging="709"/>
      </w:pPr>
      <w:rPr>
        <w:rFonts w:hint="default"/>
      </w:rPr>
    </w:lvl>
    <w:lvl w:ilvl="2">
      <w:start w:val="1"/>
      <w:numFmt w:val="lowerRoman"/>
      <w:lvlRestart w:val="0"/>
      <w:pStyle w:val="ListNumber3"/>
      <w:lvlText w:val="(%3)"/>
      <w:lvlJc w:val="left"/>
      <w:pPr>
        <w:tabs>
          <w:tab w:val="num" w:pos="2126"/>
        </w:tabs>
        <w:ind w:left="2126" w:hanging="708"/>
      </w:pPr>
      <w:rPr>
        <w:rFonts w:hint="default"/>
      </w:rPr>
    </w:lvl>
    <w:lvl w:ilvl="3">
      <w:start w:val="1"/>
      <w:numFmt w:val="upperLetter"/>
      <w:lvlRestart w:val="0"/>
      <w:pStyle w:val="ListNumber4"/>
      <w:lvlText w:val="(%4)"/>
      <w:lvlJc w:val="left"/>
      <w:pPr>
        <w:tabs>
          <w:tab w:val="num" w:pos="2835"/>
        </w:tabs>
        <w:ind w:left="2835" w:hanging="709"/>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5" w15:restartNumberingAfterBreak="0">
    <w:nsid w:val="460B69DA"/>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6D17B1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C935BAA"/>
    <w:multiLevelType w:val="hybridMultilevel"/>
    <w:tmpl w:val="844004EE"/>
    <w:lvl w:ilvl="0" w:tplc="559E05C0">
      <w:start w:val="1"/>
      <w:numFmt w:val="decimal"/>
      <w:lvlText w:val="%1)"/>
      <w:lvlJc w:val="left"/>
      <w:pPr>
        <w:ind w:left="720" w:hanging="360"/>
      </w:pPr>
    </w:lvl>
    <w:lvl w:ilvl="1" w:tplc="F56484FA" w:tentative="1">
      <w:start w:val="1"/>
      <w:numFmt w:val="lowerLetter"/>
      <w:lvlText w:val="%2."/>
      <w:lvlJc w:val="left"/>
      <w:pPr>
        <w:ind w:left="1440" w:hanging="360"/>
      </w:pPr>
    </w:lvl>
    <w:lvl w:ilvl="2" w:tplc="CE1474B2" w:tentative="1">
      <w:start w:val="1"/>
      <w:numFmt w:val="lowerRoman"/>
      <w:lvlText w:val="%3."/>
      <w:lvlJc w:val="right"/>
      <w:pPr>
        <w:ind w:left="2160" w:hanging="180"/>
      </w:pPr>
    </w:lvl>
    <w:lvl w:ilvl="3" w:tplc="65EEB63E" w:tentative="1">
      <w:start w:val="1"/>
      <w:numFmt w:val="decimal"/>
      <w:lvlText w:val="%4."/>
      <w:lvlJc w:val="left"/>
      <w:pPr>
        <w:ind w:left="2880" w:hanging="360"/>
      </w:pPr>
    </w:lvl>
    <w:lvl w:ilvl="4" w:tplc="0D00FEF8" w:tentative="1">
      <w:start w:val="1"/>
      <w:numFmt w:val="lowerLetter"/>
      <w:lvlText w:val="%5."/>
      <w:lvlJc w:val="left"/>
      <w:pPr>
        <w:ind w:left="3600" w:hanging="360"/>
      </w:pPr>
    </w:lvl>
    <w:lvl w:ilvl="5" w:tplc="FDF42422" w:tentative="1">
      <w:start w:val="1"/>
      <w:numFmt w:val="lowerRoman"/>
      <w:lvlText w:val="%6."/>
      <w:lvlJc w:val="right"/>
      <w:pPr>
        <w:ind w:left="4320" w:hanging="180"/>
      </w:pPr>
    </w:lvl>
    <w:lvl w:ilvl="6" w:tplc="80549E26" w:tentative="1">
      <w:start w:val="1"/>
      <w:numFmt w:val="decimal"/>
      <w:lvlText w:val="%7."/>
      <w:lvlJc w:val="left"/>
      <w:pPr>
        <w:ind w:left="5040" w:hanging="360"/>
      </w:pPr>
    </w:lvl>
    <w:lvl w:ilvl="7" w:tplc="A030F2EA" w:tentative="1">
      <w:start w:val="1"/>
      <w:numFmt w:val="lowerLetter"/>
      <w:lvlText w:val="%8."/>
      <w:lvlJc w:val="left"/>
      <w:pPr>
        <w:ind w:left="5760" w:hanging="360"/>
      </w:pPr>
    </w:lvl>
    <w:lvl w:ilvl="8" w:tplc="922069C2" w:tentative="1">
      <w:start w:val="1"/>
      <w:numFmt w:val="lowerRoman"/>
      <w:lvlText w:val="%9."/>
      <w:lvlJc w:val="right"/>
      <w:pPr>
        <w:ind w:left="6480" w:hanging="180"/>
      </w:pPr>
    </w:lvl>
  </w:abstractNum>
  <w:abstractNum w:abstractNumId="18" w15:restartNumberingAfterBreak="0">
    <w:nsid w:val="517C537A"/>
    <w:multiLevelType w:val="multilevel"/>
    <w:tmpl w:val="F81835CC"/>
    <w:styleLink w:val="BMDefinitions"/>
    <w:lvl w:ilvl="0">
      <w:start w:val="1"/>
      <w:numFmt w:val="none"/>
      <w:pStyle w:val="DefinitionParagraph"/>
      <w:suff w:val="nothing"/>
      <w:lvlText w:val=""/>
      <w:lvlJc w:val="left"/>
      <w:pPr>
        <w:ind w:left="709" w:firstLine="0"/>
      </w:pPr>
      <w:rPr>
        <w:rFonts w:hint="default"/>
      </w:rPr>
    </w:lvl>
    <w:lvl w:ilvl="1">
      <w:start w:val="1"/>
      <w:numFmt w:val="lowerLetter"/>
      <w:pStyle w:val="Da"/>
      <w:lvlText w:val="(%2)"/>
      <w:lvlJc w:val="left"/>
      <w:pPr>
        <w:tabs>
          <w:tab w:val="num" w:pos="1418"/>
        </w:tabs>
        <w:ind w:left="1418" w:hanging="709"/>
      </w:pPr>
      <w:rPr>
        <w:rFonts w:hint="default"/>
      </w:rPr>
    </w:lvl>
    <w:lvl w:ilvl="2">
      <w:start w:val="1"/>
      <w:numFmt w:val="lowerRoman"/>
      <w:pStyle w:val="Di"/>
      <w:lvlText w:val="(%3)"/>
      <w:lvlJc w:val="left"/>
      <w:pPr>
        <w:tabs>
          <w:tab w:val="num" w:pos="2126"/>
        </w:tabs>
        <w:ind w:left="2126" w:hanging="708"/>
      </w:pPr>
      <w:rPr>
        <w:rFonts w:hint="default"/>
      </w:rPr>
    </w:lvl>
    <w:lvl w:ilvl="3">
      <w:start w:val="1"/>
      <w:numFmt w:val="upperLetter"/>
      <w:pStyle w:val="DA0"/>
      <w:lvlText w:val="(%4)"/>
      <w:lvlJc w:val="left"/>
      <w:pPr>
        <w:tabs>
          <w:tab w:val="num" w:pos="2835"/>
        </w:tabs>
        <w:ind w:left="2835" w:hanging="709"/>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9" w15:restartNumberingAfterBreak="0">
    <w:nsid w:val="534C62B3"/>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3867F6"/>
    <w:multiLevelType w:val="hybridMultilevel"/>
    <w:tmpl w:val="1BCEEF14"/>
    <w:lvl w:ilvl="0" w:tplc="0D08509C">
      <w:start w:val="1"/>
      <w:numFmt w:val="bullet"/>
      <w:pStyle w:val="Bullet1"/>
      <w:lvlText w:val=""/>
      <w:lvlJc w:val="left"/>
      <w:pPr>
        <w:tabs>
          <w:tab w:val="num" w:pos="709"/>
        </w:tabs>
        <w:ind w:left="709" w:hanging="709"/>
      </w:pPr>
      <w:rPr>
        <w:rFonts w:ascii="Symbol" w:hAnsi="Symbol" w:hint="default"/>
      </w:rPr>
    </w:lvl>
    <w:lvl w:ilvl="1" w:tplc="0B809FD0" w:tentative="1">
      <w:start w:val="1"/>
      <w:numFmt w:val="bullet"/>
      <w:lvlText w:val="o"/>
      <w:lvlJc w:val="left"/>
      <w:pPr>
        <w:tabs>
          <w:tab w:val="num" w:pos="1440"/>
        </w:tabs>
        <w:ind w:left="1440" w:hanging="360"/>
      </w:pPr>
      <w:rPr>
        <w:rFonts w:ascii="Courier New" w:hAnsi="Courier New" w:cs="Courier New" w:hint="default"/>
      </w:rPr>
    </w:lvl>
    <w:lvl w:ilvl="2" w:tplc="54AA836C" w:tentative="1">
      <w:start w:val="1"/>
      <w:numFmt w:val="bullet"/>
      <w:lvlText w:val=""/>
      <w:lvlJc w:val="left"/>
      <w:pPr>
        <w:tabs>
          <w:tab w:val="num" w:pos="2160"/>
        </w:tabs>
        <w:ind w:left="2160" w:hanging="360"/>
      </w:pPr>
      <w:rPr>
        <w:rFonts w:ascii="Wingdings" w:hAnsi="Wingdings" w:hint="default"/>
      </w:rPr>
    </w:lvl>
    <w:lvl w:ilvl="3" w:tplc="30B8577C" w:tentative="1">
      <w:start w:val="1"/>
      <w:numFmt w:val="bullet"/>
      <w:lvlText w:val=""/>
      <w:lvlJc w:val="left"/>
      <w:pPr>
        <w:tabs>
          <w:tab w:val="num" w:pos="2880"/>
        </w:tabs>
        <w:ind w:left="2880" w:hanging="360"/>
      </w:pPr>
      <w:rPr>
        <w:rFonts w:ascii="Symbol" w:hAnsi="Symbol" w:hint="default"/>
      </w:rPr>
    </w:lvl>
    <w:lvl w:ilvl="4" w:tplc="C6367806" w:tentative="1">
      <w:start w:val="1"/>
      <w:numFmt w:val="bullet"/>
      <w:lvlText w:val="o"/>
      <w:lvlJc w:val="left"/>
      <w:pPr>
        <w:tabs>
          <w:tab w:val="num" w:pos="3600"/>
        </w:tabs>
        <w:ind w:left="3600" w:hanging="360"/>
      </w:pPr>
      <w:rPr>
        <w:rFonts w:ascii="Courier New" w:hAnsi="Courier New" w:cs="Courier New" w:hint="default"/>
      </w:rPr>
    </w:lvl>
    <w:lvl w:ilvl="5" w:tplc="1776607C" w:tentative="1">
      <w:start w:val="1"/>
      <w:numFmt w:val="bullet"/>
      <w:lvlText w:val=""/>
      <w:lvlJc w:val="left"/>
      <w:pPr>
        <w:tabs>
          <w:tab w:val="num" w:pos="4320"/>
        </w:tabs>
        <w:ind w:left="4320" w:hanging="360"/>
      </w:pPr>
      <w:rPr>
        <w:rFonts w:ascii="Wingdings" w:hAnsi="Wingdings" w:hint="default"/>
      </w:rPr>
    </w:lvl>
    <w:lvl w:ilvl="6" w:tplc="F78AEFEC" w:tentative="1">
      <w:start w:val="1"/>
      <w:numFmt w:val="bullet"/>
      <w:lvlText w:val=""/>
      <w:lvlJc w:val="left"/>
      <w:pPr>
        <w:tabs>
          <w:tab w:val="num" w:pos="5040"/>
        </w:tabs>
        <w:ind w:left="5040" w:hanging="360"/>
      </w:pPr>
      <w:rPr>
        <w:rFonts w:ascii="Symbol" w:hAnsi="Symbol" w:hint="default"/>
      </w:rPr>
    </w:lvl>
    <w:lvl w:ilvl="7" w:tplc="D180CEF2" w:tentative="1">
      <w:start w:val="1"/>
      <w:numFmt w:val="bullet"/>
      <w:lvlText w:val="o"/>
      <w:lvlJc w:val="left"/>
      <w:pPr>
        <w:tabs>
          <w:tab w:val="num" w:pos="5760"/>
        </w:tabs>
        <w:ind w:left="5760" w:hanging="360"/>
      </w:pPr>
      <w:rPr>
        <w:rFonts w:ascii="Courier New" w:hAnsi="Courier New" w:cs="Courier New" w:hint="default"/>
      </w:rPr>
    </w:lvl>
    <w:lvl w:ilvl="8" w:tplc="D884D0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89866F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40771A2"/>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33669C"/>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8977BB2"/>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9"/>
  </w:num>
  <w:num w:numId="3">
    <w:abstractNumId w:val="10"/>
  </w:num>
  <w:num w:numId="4">
    <w:abstractNumId w:val="14"/>
  </w:num>
  <w:num w:numId="5">
    <w:abstractNumId w:val="6"/>
  </w:num>
  <w:num w:numId="6">
    <w:abstractNumId w:val="18"/>
  </w:num>
  <w:num w:numId="7">
    <w:abstractNumId w:val="16"/>
  </w:num>
  <w:num w:numId="8">
    <w:abstractNumId w:val="15"/>
  </w:num>
  <w:num w:numId="9">
    <w:abstractNumId w:val="24"/>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1"/>
  </w:num>
  <w:num w:numId="17">
    <w:abstractNumId w:val="8"/>
  </w:num>
  <w:num w:numId="18">
    <w:abstractNumId w:val="23"/>
  </w:num>
  <w:num w:numId="19">
    <w:abstractNumId w:val="7"/>
  </w:num>
  <w:num w:numId="20">
    <w:abstractNumId w:val="19"/>
  </w:num>
  <w:num w:numId="21">
    <w:abstractNumId w:val="12"/>
  </w:num>
  <w:num w:numId="22">
    <w:abstractNumId w:val="22"/>
  </w:num>
  <w:num w:numId="23">
    <w:abstractNumId w:val="13"/>
  </w:num>
  <w:num w:numId="24">
    <w:abstractNumId w:val="17"/>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6"/>
  <w:hyphenationZone w:val="425"/>
  <w:drawingGridHorizontalSpacing w:val="16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816"/>
    <w:rsid w:val="00305B4F"/>
    <w:rsid w:val="00414521"/>
    <w:rsid w:val="00533673"/>
    <w:rsid w:val="006B44E7"/>
    <w:rsid w:val="0071527F"/>
    <w:rsid w:val="007F261B"/>
    <w:rsid w:val="008E3B1F"/>
    <w:rsid w:val="009858AF"/>
    <w:rsid w:val="00A13B78"/>
    <w:rsid w:val="00A5323E"/>
    <w:rsid w:val="00B17E57"/>
    <w:rsid w:val="00C60FE7"/>
    <w:rsid w:val="00DD32EF"/>
    <w:rsid w:val="00E923FD"/>
    <w:rsid w:val="00EA5816"/>
  </w:rsids>
  <m:mathPr>
    <m:mathFont m:val="Cambria Math"/>
    <m:brkBin m:val="before"/>
    <m:brkBinSub m:val="--"/>
    <m:smallFrac m:val="0"/>
    <m:dispDef/>
    <m:lMargin m:val="0"/>
    <m:rMargin m:val="0"/>
    <m:defJc m:val="centerGroup"/>
    <m:wrapIndent m:val="1440"/>
    <m:intLim m:val="subSup"/>
    <m:naryLim m:val="undOvr"/>
  </m:mathPr>
  <w:themeFontLang w:val="en-AU" w:eastAsia="zh-TW" w:bidi="ml-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eastAsia="PMingLiU" w:asciiTheme="minorHAnsi" w:hAnsiTheme="minorHAnsi" w:cstheme="minorBidi"/>
        <w:sz w:val="22"/>
        <w:szCs w:val="22"/>
        <w:lang w:val="en-AU" w:eastAsia="zh-TW" w:bidi="ar-SA"/>
      </w:rPr>
    </w:rPrDefault>
    <w:pPrDefault>
      <w:pPr>
        <w:spacing w:after="200" w:line="276" w:lineRule="auto"/>
      </w:pPr>
    </w:pPrDefault>
  </w:docDefaults>
  <w:latentStyles w:defLockedState="0" w:defUIPriority="0" w:defSemiHidden="0" w:defUnhideWhenUsed="0" w:defQFormat="0" w:count="371">
    <w:lsdException w:name="Normal" w:uiPriority="1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semiHidden="1" w:unhideWhenUsed="1"/>
    <w:lsdException w:name="page number" w:uiPriority="99"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7" w:qFormat="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7" w:semiHidden="1" w:unhideWhenUsed="1" w:qFormat="1"/>
    <w:lsdException w:name="List Number 3" w:uiPriority="7" w:semiHidden="1" w:unhideWhenUsed="1" w:qFormat="1"/>
    <w:lsdException w:name="List Number 4" w:uiPriority="7" w:semiHidden="1" w:unhideWhenUsed="1" w:qFormat="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uiPriority="6"/>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6"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1"/>
    <w:pPr>
      <w:spacing w:after="0" w:line="240" w:lineRule="auto"/>
    </w:pPr>
    <w:rPr>
      <w:rFonts w:ascii="Calibri" w:hAnsi="Calibri" w:eastAsiaTheme="minorEastAsia" w:cstheme="minorHAnsi"/>
      <w:lang w:val="en-US" w:eastAsia="en-US"/>
    </w:rPr>
  </w:style>
  <w:style w:type="paragraph" w:styleId="Heading1">
    <w:name w:val="heading 1"/>
    <w:basedOn w:val="Normal"/>
    <w:next w:val="BodyText"/>
    <w:qFormat/>
    <w:pPr>
      <w:keepNext/>
      <w:numPr>
        <w:numId w:val="3"/>
      </w:numPr>
      <w:spacing w:after="180" w:line="260" w:lineRule="atLeast"/>
      <w:outlineLvl w:val="0"/>
    </w:pPr>
    <w:rPr>
      <w:rFonts w:asciiTheme="majorHAnsi" w:hAnsiTheme="majorHAnsi" w:eastAsiaTheme="majorEastAsia" w:cstheme="majorHAnsi"/>
      <w:b/>
      <w:szCs w:val="20"/>
    </w:rPr>
  </w:style>
  <w:style w:type="paragraph" w:styleId="Heading2">
    <w:name w:val="heading 2"/>
    <w:basedOn w:val="Normal"/>
    <w:next w:val="BodyText"/>
    <w:qFormat/>
    <w:pPr>
      <w:keepNext/>
      <w:numPr>
        <w:ilvl w:val="1"/>
        <w:numId w:val="3"/>
      </w:numPr>
      <w:spacing w:after="180" w:line="260" w:lineRule="atLeast"/>
      <w:outlineLvl w:val="1"/>
    </w:pPr>
    <w:rPr>
      <w:rFonts w:asciiTheme="majorHAnsi" w:hAnsiTheme="majorHAnsi" w:eastAsiaTheme="majorEastAsia" w:cstheme="majorHAnsi"/>
      <w:b/>
      <w:szCs w:val="20"/>
    </w:rPr>
  </w:style>
  <w:style w:type="paragraph" w:styleId="Heading3">
    <w:name w:val="heading 3"/>
    <w:basedOn w:val="Normal"/>
    <w:qFormat/>
    <w:pPr>
      <w:numPr>
        <w:ilvl w:val="2"/>
        <w:numId w:val="3"/>
      </w:numPr>
      <w:spacing w:after="180" w:line="260" w:lineRule="atLeast"/>
      <w:outlineLvl w:val="2"/>
    </w:pPr>
    <w:rPr>
      <w:szCs w:val="20"/>
    </w:rPr>
  </w:style>
  <w:style w:type="paragraph" w:styleId="Heading4">
    <w:name w:val="heading 4"/>
    <w:basedOn w:val="Normal"/>
    <w:qFormat/>
    <w:pPr>
      <w:numPr>
        <w:ilvl w:val="3"/>
        <w:numId w:val="3"/>
      </w:numPr>
      <w:spacing w:after="180" w:line="260" w:lineRule="atLeast"/>
      <w:outlineLvl w:val="3"/>
    </w:pPr>
    <w:rPr>
      <w:szCs w:val="20"/>
    </w:rPr>
  </w:style>
  <w:style w:type="paragraph" w:styleId="Heading5">
    <w:name w:val="heading 5"/>
    <w:basedOn w:val="Normal"/>
    <w:qFormat/>
    <w:pPr>
      <w:numPr>
        <w:ilvl w:val="4"/>
        <w:numId w:val="3"/>
      </w:numPr>
      <w:spacing w:after="180" w:line="260" w:lineRule="atLeast"/>
      <w:outlineLvl w:val="4"/>
    </w:pPr>
    <w:rPr>
      <w:szCs w:val="20"/>
    </w:rPr>
  </w:style>
  <w:style w:type="paragraph" w:styleId="Heading6">
    <w:name w:val="heading 6"/>
    <w:basedOn w:val="Normal"/>
    <w:qFormat/>
    <w:pPr>
      <w:numPr>
        <w:ilvl w:val="5"/>
        <w:numId w:val="3"/>
      </w:numPr>
      <w:spacing w:after="180" w:line="260" w:lineRule="atLeast"/>
      <w:outlineLvl w:val="5"/>
    </w:pPr>
    <w:rPr>
      <w:szCs w:val="20"/>
    </w:rPr>
  </w:style>
  <w:style w:type="paragraph" w:styleId="Heading7">
    <w:name w:val="heading 7"/>
    <w:basedOn w:val="Normal"/>
    <w:next w:val="Normal"/>
    <w:link w:val="Heading7Char"/>
    <w:semiHidden/>
    <w:qFormat/>
    <w:pPr>
      <w:keepNext/>
      <w:keepLines/>
      <w:spacing w:before="200"/>
      <w:outlineLvl w:val="6"/>
    </w:pPr>
    <w:rPr>
      <w:rFonts w:asciiTheme="majorHAnsi" w:hAnsiTheme="majorHAnsi" w:eastAsiaTheme="majorEastAsia" w:cstheme="majorHAnsi"/>
      <w:i/>
      <w:iCs/>
      <w:color w:val="6E7073" w:themeColor="text1" w:themeTint="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MKAddressInfo" w:customStyle="1">
    <w:name w:val="BMK Address Info"/>
    <w:link w:val="BMKAddressInfoChar"/>
    <w:semiHidden/>
    <w:pPr>
      <w:spacing w:line="200" w:lineRule="atLeast"/>
    </w:pPr>
    <w:rPr>
      <w:rFonts w:asciiTheme="majorHAnsi" w:hAnsiTheme="majorHAnsi" w:eastAsiaTheme="majorEastAsia" w:cstheme="majorHAnsi"/>
      <w:noProof/>
      <w:sz w:val="16"/>
      <w:szCs w:val="24"/>
      <w:lang w:eastAsia="en-US"/>
    </w:rPr>
  </w:style>
  <w:style w:type="paragraph" w:styleId="BMKCities" w:customStyle="1">
    <w:name w:val="BMK Cities"/>
    <w:semiHidden/>
    <w:pPr>
      <w:spacing w:before="30"/>
    </w:pPr>
    <w:rPr>
      <w:rFonts w:asciiTheme="majorHAnsi" w:hAnsiTheme="majorHAnsi" w:eastAsiaTheme="majorEastAsia" w:cstheme="majorHAnsi"/>
      <w:noProof/>
      <w:spacing w:val="2"/>
      <w:sz w:val="11"/>
      <w:szCs w:val="11"/>
      <w:lang w:eastAsia="en-US"/>
    </w:rPr>
  </w:style>
  <w:style w:type="paragraph" w:styleId="BMKDeliveryPhrase" w:customStyle="1">
    <w:name w:val="BMK Delivery Phrase"/>
    <w:basedOn w:val="BMKAddressInfo"/>
    <w:semiHidden/>
    <w:pPr>
      <w:framePr w:w="2943" w:h="1734" w:wrap="around" w:hAnchor="page" w:vAnchor="text" w:x="8533" w:y="208" w:hRule="exact"/>
      <w:ind w:left="57"/>
    </w:pPr>
    <w:rPr>
      <w:b/>
    </w:rPr>
  </w:style>
  <w:style w:type="paragraph" w:styleId="BMKLegalNoticePhrase" w:customStyle="1">
    <w:name w:val="BMK Legal Notice Phrase"/>
    <w:basedOn w:val="Normal"/>
    <w:semiHidden/>
    <w:pPr>
      <w:spacing w:before="260" w:after="180" w:line="260" w:lineRule="atLeast"/>
    </w:pPr>
    <w:rPr>
      <w:rFonts w:asciiTheme="majorHAnsi" w:hAnsiTheme="majorHAnsi" w:eastAsiaTheme="majorEastAsia" w:cstheme="majorHAnsi"/>
      <w:b/>
      <w:caps/>
    </w:rPr>
  </w:style>
  <w:style w:type="paragraph" w:styleId="BMKMemberFirmName" w:customStyle="1">
    <w:name w:val="BMK Member Firm Name"/>
    <w:basedOn w:val="BMKAddressInfo"/>
    <w:next w:val="BMKAddressInfo"/>
    <w:link w:val="BMKMemberFirmNameChar"/>
    <w:semiHidden/>
    <w:pPr>
      <w:spacing w:after="0"/>
    </w:pPr>
    <w:rPr>
      <w:b/>
    </w:rPr>
  </w:style>
  <w:style w:type="paragraph" w:styleId="BMKRegions" w:customStyle="1">
    <w:name w:val="BMK Regions"/>
    <w:basedOn w:val="BMKCities"/>
    <w:next w:val="BMKCities"/>
    <w:semiHidden/>
    <w:pPr>
      <w:spacing w:before="0"/>
    </w:pPr>
    <w:rPr>
      <w:rFonts w:ascii="Arial Black" w:hAnsi="Arial Black"/>
      <w:szCs w:val="24"/>
    </w:rPr>
  </w:style>
  <w:style w:type="paragraph" w:styleId="BMKMultiOffice" w:customStyle="1">
    <w:name w:val="BMK Multi Office"/>
    <w:basedOn w:val="BMKRegions"/>
    <w:next w:val="Normal"/>
    <w:semiHidden/>
  </w:style>
  <w:style w:type="paragraph" w:styleId="BMKMultiOfficeAddress" w:customStyle="1">
    <w:name w:val="BMK Multi Office Address"/>
    <w:basedOn w:val="BMKCities"/>
    <w:semiHidden/>
  </w:style>
  <w:style w:type="paragraph" w:styleId="BMKPartnerList" w:customStyle="1">
    <w:name w:val="BMK Partner List"/>
    <w:basedOn w:val="BMKCities"/>
    <w:semiHidden/>
    <w:pPr>
      <w:adjustRightInd w:val="0"/>
      <w:snapToGrid w:val="0"/>
      <w:spacing w:before="0" w:after="20"/>
    </w:pPr>
    <w:rPr>
      <w:rFonts w:cs="Arial"/>
      <w:caps/>
      <w:spacing w:val="0"/>
      <w:sz w:val="9"/>
      <w:szCs w:val="12"/>
    </w:rPr>
  </w:style>
  <w:style w:type="paragraph" w:styleId="BMKQualifier" w:customStyle="1">
    <w:name w:val="BMK Qualifier"/>
    <w:semiHidden/>
    <w:pPr>
      <w:spacing w:line="170" w:lineRule="atLeast"/>
    </w:pPr>
    <w:rPr>
      <w:rFonts w:asciiTheme="majorHAnsi" w:hAnsiTheme="majorHAnsi" w:eastAsiaTheme="majorEastAsia" w:cstheme="majorHAnsi"/>
      <w:caps/>
      <w:noProof/>
      <w:sz w:val="13"/>
      <w:szCs w:val="13"/>
      <w:lang w:eastAsia="en-US"/>
    </w:rPr>
  </w:style>
  <w:style w:type="paragraph" w:styleId="BMKRefInfo" w:customStyle="1">
    <w:name w:val="BMK Ref Info"/>
    <w:basedOn w:val="BMKAddressInfo"/>
    <w:semiHidden/>
    <w:pPr>
      <w:framePr w:w="2943" w:h="1734" w:wrap="around" w:hAnchor="page" w:vAnchor="text" w:x="8533" w:y="208" w:hRule="exact"/>
      <w:ind w:left="57"/>
    </w:pPr>
  </w:style>
  <w:style w:type="paragraph" w:styleId="BMKRecipient1" w:customStyle="1">
    <w:name w:val="BMK Recipient1"/>
    <w:basedOn w:val="Normal"/>
    <w:semiHidden/>
    <w:pPr>
      <w:spacing w:line="260" w:lineRule="atLeast"/>
    </w:pPr>
  </w:style>
  <w:style w:type="paragraph" w:styleId="Footer">
    <w:name w:val="footer"/>
    <w:basedOn w:val="Normal"/>
    <w:link w:val="FooterChar"/>
    <w:uiPriority w:val="99"/>
    <w:pPr>
      <w:tabs>
        <w:tab w:val="right" w:pos="9350"/>
      </w:tabs>
      <w:spacing w:line="200" w:lineRule="atLeast"/>
    </w:pPr>
    <w:rPr>
      <w:rFonts w:asciiTheme="majorHAnsi" w:hAnsiTheme="majorHAnsi" w:eastAsiaTheme="majorEastAsia" w:cstheme="majorHAnsi"/>
      <w:noProof/>
      <w:sz w:val="16"/>
    </w:rPr>
  </w:style>
  <w:style w:type="character" w:styleId="FootnoteReference">
    <w:name w:val="footnote reference"/>
    <w:uiPriority w:val="99"/>
    <w:semiHidden/>
    <w:rPr>
      <w:vertAlign w:val="superscript"/>
    </w:rPr>
  </w:style>
  <w:style w:type="paragraph" w:styleId="Header">
    <w:name w:val="header"/>
    <w:basedOn w:val="Normal"/>
    <w:link w:val="HeaderChar"/>
    <w:uiPriority w:val="99"/>
  </w:style>
  <w:style w:type="paragraph" w:styleId="ListNumber">
    <w:name w:val="List Number"/>
    <w:basedOn w:val="Normal"/>
    <w:uiPriority w:val="7"/>
    <w:qFormat/>
    <w:pPr>
      <w:numPr>
        <w:numId w:val="4"/>
      </w:numPr>
      <w:spacing w:after="180" w:line="260" w:lineRule="atLeast"/>
    </w:pPr>
  </w:style>
  <w:style w:type="paragraph" w:styleId="FootnoteText">
    <w:name w:val="footnote text"/>
    <w:basedOn w:val="Normal"/>
    <w:link w:val="FootnoteTextChar"/>
    <w:semiHidden/>
    <w:rPr>
      <w:sz w:val="18"/>
      <w:szCs w:val="20"/>
    </w:rPr>
  </w:style>
  <w:style w:type="paragraph" w:styleId="Bullet1" w:customStyle="1">
    <w:name w:val="Bullet 1"/>
    <w:basedOn w:val="Normal"/>
    <w:uiPriority w:val="8"/>
    <w:qFormat/>
    <w:pPr>
      <w:numPr>
        <w:numId w:val="1"/>
      </w:numPr>
      <w:spacing w:after="180" w:line="260" w:lineRule="atLeast"/>
    </w:pPr>
  </w:style>
  <w:style w:type="paragraph" w:styleId="BMKSubject" w:customStyle="1">
    <w:name w:val="BMK Subject"/>
    <w:basedOn w:val="Normal"/>
    <w:semiHidden/>
    <w:pPr>
      <w:spacing w:line="260" w:lineRule="atLeast"/>
    </w:pPr>
    <w:rPr>
      <w:rFonts w:asciiTheme="majorHAnsi" w:hAnsiTheme="majorHAnsi" w:eastAsiaTheme="majorEastAsia" w:cstheme="majorHAnsi"/>
      <w:b/>
      <w:bCs/>
    </w:rPr>
  </w:style>
  <w:style w:type="character" w:styleId="BMKAddressInfoChar" w:customStyle="1">
    <w:name w:val="BMK Address Info Char"/>
    <w:link w:val="BMKAddressInfo"/>
    <w:semiHidden/>
    <w:rPr>
      <w:rFonts w:asciiTheme="majorHAnsi" w:hAnsiTheme="majorHAnsi" w:eastAsiaTheme="majorEastAsia" w:cstheme="majorHAnsi"/>
      <w:noProof/>
      <w:sz w:val="16"/>
      <w:szCs w:val="24"/>
      <w:lang w:eastAsia="en-US"/>
    </w:rPr>
  </w:style>
  <w:style w:type="paragraph" w:styleId="BMKPrivacyText" w:customStyle="1">
    <w:name w:val="BMK Privacy Text"/>
    <w:basedOn w:val="Footer"/>
    <w:link w:val="BMKPrivacyTextChar"/>
    <w:semiHidden/>
  </w:style>
  <w:style w:type="paragraph" w:styleId="OtherContact" w:customStyle="1">
    <w:name w:val="OtherContact"/>
    <w:basedOn w:val="Normal"/>
    <w:semiHidden/>
    <w:rPr>
      <w:rFonts w:asciiTheme="majorHAnsi" w:hAnsiTheme="majorHAnsi" w:eastAsiaTheme="majorEastAsia" w:cstheme="majorHAnsi"/>
      <w:sz w:val="16"/>
    </w:rPr>
  </w:style>
  <w:style w:type="paragraph" w:styleId="Bullet2" w:customStyle="1">
    <w:name w:val="Bullet 2"/>
    <w:basedOn w:val="Normal"/>
    <w:uiPriority w:val="8"/>
    <w:qFormat/>
    <w:pPr>
      <w:numPr>
        <w:numId w:val="2"/>
      </w:numPr>
      <w:spacing w:line="260" w:lineRule="atLeast"/>
    </w:pPr>
  </w:style>
  <w:style w:type="character" w:styleId="Definition" w:customStyle="1">
    <w:name w:val="Definition"/>
    <w:basedOn w:val="DefaultParagraphFont"/>
    <w:uiPriority w:val="3"/>
    <w:rPr>
      <w:b/>
      <w:i/>
      <w:sz w:val="22"/>
    </w:rPr>
  </w:style>
  <w:style w:type="character" w:styleId="PageNumber">
    <w:name w:val="page number"/>
    <w:basedOn w:val="DefaultParagraphFont"/>
    <w:uiPriority w:val="99"/>
    <w:semiHidden/>
  </w:style>
  <w:style w:type="paragraph" w:styleId="LetterDetail" w:customStyle="1">
    <w:name w:val="LetterDetail"/>
    <w:basedOn w:val="Normal"/>
    <w:semiHidden/>
    <w:pPr>
      <w:spacing w:line="260" w:lineRule="atLeast"/>
    </w:pPr>
  </w:style>
  <w:style w:type="paragraph" w:styleId="BMKLetterCaption" w:customStyle="1">
    <w:name w:val="BMK LetterCaption"/>
    <w:basedOn w:val="BMKLegalNoticePhrase"/>
    <w:next w:val="NormalSingle"/>
    <w:semiHidden/>
    <w:pPr>
      <w:spacing w:before="0"/>
    </w:pPr>
  </w:style>
  <w:style w:type="paragraph" w:styleId="BMKco-brand" w:customStyle="1">
    <w:name w:val="BMK co-brand"/>
    <w:semiHidden/>
    <w:pPr>
      <w:spacing w:line="170" w:lineRule="atLeast"/>
    </w:pPr>
    <w:rPr>
      <w:rFonts w:asciiTheme="majorHAnsi" w:hAnsiTheme="majorHAnsi" w:eastAsiaTheme="majorEastAsia" w:cstheme="majorHAnsi"/>
      <w:caps/>
      <w:sz w:val="13"/>
      <w:lang w:eastAsia="en-US"/>
    </w:rPr>
  </w:style>
  <w:style w:type="character" w:styleId="Highlight" w:customStyle="1">
    <w:name w:val="Highlight"/>
    <w:semiHidden/>
    <w:rPr>
      <w:rFonts w:asciiTheme="majorHAnsi" w:hAnsiTheme="majorHAnsi" w:eastAsiaTheme="majorEastAsia" w:cstheme="majorHAnsi"/>
      <w:b/>
    </w:rPr>
  </w:style>
  <w:style w:type="paragraph" w:styleId="TableText" w:customStyle="1">
    <w:name w:val="Table Text"/>
    <w:basedOn w:val="Normal"/>
    <w:uiPriority w:val="6"/>
    <w:semiHidden/>
    <w:pPr>
      <w:tabs>
        <w:tab w:val="right" w:pos="9072"/>
      </w:tabs>
      <w:spacing w:after="180" w:line="260" w:lineRule="atLeast"/>
    </w:pPr>
  </w:style>
  <w:style w:type="paragraph" w:styleId="TableHeading" w:customStyle="1">
    <w:name w:val="Table Heading"/>
    <w:basedOn w:val="Normal"/>
    <w:uiPriority w:val="6"/>
    <w:semiHidden/>
    <w:pPr>
      <w:tabs>
        <w:tab w:val="right" w:pos="9072"/>
      </w:tabs>
      <w:spacing w:after="180" w:line="260" w:lineRule="atLeast"/>
    </w:pPr>
    <w:rPr>
      <w:rFonts w:ascii="Arial" w:hAnsi="Arial"/>
      <w:b/>
      <w:sz w:val="20"/>
    </w:rPr>
  </w:style>
  <w:style w:type="paragraph" w:styleId="ListNumber2">
    <w:name w:val="List Number 2"/>
    <w:basedOn w:val="Normal"/>
    <w:uiPriority w:val="7"/>
    <w:qFormat/>
    <w:pPr>
      <w:numPr>
        <w:ilvl w:val="1"/>
        <w:numId w:val="4"/>
      </w:numPr>
      <w:spacing w:after="180" w:line="260" w:lineRule="atLeast"/>
    </w:pPr>
  </w:style>
  <w:style w:type="paragraph" w:styleId="ListNumber3">
    <w:name w:val="List Number 3"/>
    <w:basedOn w:val="Normal"/>
    <w:uiPriority w:val="7"/>
    <w:qFormat/>
    <w:pPr>
      <w:numPr>
        <w:ilvl w:val="2"/>
        <w:numId w:val="4"/>
      </w:numPr>
      <w:spacing w:after="180" w:line="260" w:lineRule="atLeast"/>
    </w:pPr>
  </w:style>
  <w:style w:type="paragraph" w:styleId="ListNumber4">
    <w:name w:val="List Number 4"/>
    <w:basedOn w:val="Normal"/>
    <w:uiPriority w:val="7"/>
    <w:qFormat/>
    <w:pPr>
      <w:numPr>
        <w:ilvl w:val="3"/>
        <w:numId w:val="4"/>
      </w:numPr>
      <w:spacing w:after="180" w:line="260" w:lineRule="atLeast"/>
    </w:pPr>
  </w:style>
  <w:style w:type="paragraph" w:styleId="BodyText">
    <w:name w:val="Body Text"/>
    <w:aliases w:val="bt"/>
    <w:basedOn w:val="Normal"/>
    <w:link w:val="BodyTextChar"/>
    <w:qFormat/>
    <w:pPr>
      <w:spacing w:after="180" w:line="260" w:lineRule="atLeast"/>
    </w:pPr>
  </w:style>
  <w:style w:type="paragraph" w:styleId="NormalSingle" w:customStyle="1">
    <w:name w:val="Normal Single"/>
    <w:basedOn w:val="Normal"/>
    <w:uiPriority w:val="6"/>
    <w:semiHidden/>
    <w:pPr>
      <w:spacing w:line="0" w:lineRule="atLeast"/>
    </w:pPr>
  </w:style>
  <w:style w:type="character" w:styleId="Emphasis">
    <w:name w:val="Emphasis"/>
    <w:semiHidden/>
    <w:rPr>
      <w:i/>
      <w:iCs/>
    </w:rPr>
  </w:style>
  <w:style w:type="character" w:styleId="BMKMemberFirmNameChar" w:customStyle="1">
    <w:name w:val="BMK Member Firm Name Char"/>
    <w:link w:val="BMKMemberFirmName"/>
    <w:semiHidden/>
    <w:rPr>
      <w:rFonts w:ascii="Arial" w:hAnsi="Arial"/>
      <w:b/>
      <w:noProof/>
      <w:sz w:val="16"/>
      <w:szCs w:val="24"/>
      <w:lang w:eastAsia="en-US"/>
    </w:rPr>
  </w:style>
  <w:style w:type="paragraph" w:styleId="BMKDocumentNameHK" w:customStyle="1">
    <w:name w:val="BMK Document Name HK"/>
    <w:basedOn w:val="Normal"/>
    <w:next w:val="BMKMemberFirmName"/>
    <w:semiHidden/>
    <w:pPr>
      <w:spacing w:line="200" w:lineRule="atLeast"/>
    </w:pPr>
    <w:rPr>
      <w:rFonts w:ascii="Arial Black" w:hAnsi="Arial Black" w:eastAsiaTheme="majorEastAsia" w:cstheme="majorHAnsi"/>
      <w:noProof/>
      <w:sz w:val="18"/>
      <w:szCs w:val="32"/>
      <w:lang w:eastAsia="en-AU"/>
    </w:rPr>
  </w:style>
  <w:style w:type="paragraph" w:styleId="NormalWeb">
    <w:name w:val="Normal (Web)"/>
    <w:basedOn w:val="Normal"/>
    <w:semiHidden/>
    <w:rPr>
      <w:sz w:val="24"/>
      <w:szCs w:val="24"/>
    </w:rPr>
  </w:style>
  <w:style w:type="character" w:styleId="FooterChar" w:customStyle="1">
    <w:name w:val="Footer Char"/>
    <w:link w:val="Footer"/>
    <w:uiPriority w:val="99"/>
    <w:rPr>
      <w:rFonts w:asciiTheme="majorHAnsi" w:hAnsiTheme="majorHAnsi" w:eastAsiaTheme="majorEastAsia" w:cstheme="majorHAnsi"/>
      <w:noProof/>
      <w:sz w:val="16"/>
      <w:szCs w:val="22"/>
      <w:lang w:eastAsia="en-US"/>
    </w:rPr>
  </w:style>
  <w:style w:type="paragraph" w:styleId="BMKDocumentName" w:customStyle="1">
    <w:name w:val="BMK Document Name"/>
    <w:basedOn w:val="Normal"/>
    <w:next w:val="Normal"/>
    <w:semiHidden/>
    <w:pPr>
      <w:tabs>
        <w:tab w:val="left" w:pos="2761"/>
        <w:tab w:val="left" w:pos="3470"/>
        <w:tab w:val="left" w:pos="4179"/>
        <w:tab w:val="left" w:pos="4888"/>
        <w:tab w:val="right" w:pos="9849"/>
      </w:tabs>
      <w:spacing w:line="200" w:lineRule="atLeast"/>
    </w:pPr>
    <w:rPr>
      <w:rFonts w:ascii="Arial Black" w:hAnsi="Arial Black"/>
      <w:noProof/>
      <w:sz w:val="18"/>
    </w:rPr>
  </w:style>
  <w:style w:type="paragraph" w:styleId="BMKHeaderLogoSHI" w:customStyle="1">
    <w:name w:val="BMKHeaderLogoSHI"/>
    <w:semiHidden/>
    <w:pPr>
      <w:tabs>
        <w:tab w:val="left" w:pos="709"/>
        <w:tab w:val="left" w:pos="1418"/>
        <w:tab w:val="left" w:pos="2126"/>
        <w:tab w:val="left" w:pos="2835"/>
        <w:tab w:val="right" w:pos="7876"/>
      </w:tabs>
      <w:spacing w:after="140" w:line="260" w:lineRule="atLeast"/>
    </w:pPr>
    <w:rPr>
      <w:rFonts w:eastAsiaTheme="minorEastAsia" w:cstheme="minorHAnsi"/>
      <w:szCs w:val="24"/>
      <w:lang w:eastAsia="en-US"/>
    </w:rPr>
  </w:style>
  <w:style w:type="paragraph" w:styleId="BMKPrivacyTitle" w:customStyle="1">
    <w:name w:val="BMK Privacy Title"/>
    <w:basedOn w:val="Normal"/>
    <w:semiHidden/>
    <w:pPr>
      <w:spacing w:before="260" w:after="140" w:line="240" w:lineRule="atLeast"/>
    </w:pPr>
    <w:rPr>
      <w:rFonts w:ascii="Arial Black" w:hAnsi="Arial Black"/>
      <w:sz w:val="18"/>
    </w:rPr>
  </w:style>
  <w:style w:type="character" w:styleId="BMKPrivacyTextChar" w:customStyle="1">
    <w:name w:val="BMK Privacy Text Char"/>
    <w:link w:val="BMKPrivacyText"/>
    <w:semiHidden/>
    <w:rPr>
      <w:rFonts w:asciiTheme="majorHAnsi" w:hAnsiTheme="majorHAnsi" w:eastAsiaTheme="majorEastAsia" w:cstheme="majorHAnsi"/>
      <w:noProof/>
      <w:sz w:val="16"/>
      <w:szCs w:val="22"/>
      <w:lang w:eastAsia="en-US"/>
    </w:rPr>
  </w:style>
  <w:style w:type="paragraph" w:styleId="BodyTextFirstIndent">
    <w:name w:val="Body Text First Indent"/>
    <w:basedOn w:val="BodyText"/>
    <w:uiPriority w:val="6"/>
    <w:semiHidden/>
    <w:pPr>
      <w:spacing w:after="120" w:line="240" w:lineRule="auto"/>
      <w:ind w:firstLine="210"/>
    </w:pPr>
  </w:style>
  <w:style w:type="paragraph" w:styleId="FooterIndent" w:customStyle="1">
    <w:name w:val="Footer Indent"/>
    <w:basedOn w:val="Footer"/>
    <w:semiHidden/>
    <w:pPr>
      <w:ind w:left="1208"/>
    </w:pPr>
  </w:style>
  <w:style w:type="paragraph" w:styleId="BMKCitiesSpace" w:customStyle="1">
    <w:name w:val="BMK Cities Space"/>
    <w:basedOn w:val="BMKCities"/>
    <w:semiHidden/>
    <w:pPr>
      <w:spacing w:before="0"/>
    </w:pPr>
  </w:style>
  <w:style w:type="character" w:styleId="Hyperlink">
    <w:name w:val="Hyperlink"/>
    <w:uiPriority w:val="6"/>
    <w:semiHidden/>
    <w:rPr>
      <w:color w:val="0000FF"/>
      <w:u w:val="single"/>
    </w:rPr>
  </w:style>
  <w:style w:type="paragraph" w:styleId="BMKSalutation" w:customStyle="1">
    <w:name w:val="BMK Salutation"/>
    <w:basedOn w:val="Normal"/>
    <w:semiHidden/>
    <w:pPr>
      <w:spacing w:line="260" w:lineRule="atLeast"/>
    </w:pPr>
  </w:style>
  <w:style w:type="paragraph" w:styleId="BMKDate" w:customStyle="1">
    <w:name w:val="BMKDate"/>
    <w:basedOn w:val="Normal"/>
    <w:semiHidden/>
    <w:pPr>
      <w:spacing w:line="260" w:lineRule="atLeast"/>
    </w:pPr>
  </w:style>
  <w:style w:type="paragraph" w:styleId="BMKAddress1" w:customStyle="1">
    <w:name w:val="BMK Address1"/>
    <w:basedOn w:val="Normal"/>
    <w:semiHidden/>
    <w:pPr>
      <w:spacing w:line="260" w:lineRule="atLeast"/>
    </w:pPr>
  </w:style>
  <w:style w:type="paragraph" w:styleId="BMKAttention" w:customStyle="1">
    <w:name w:val="BMK Attention"/>
    <w:basedOn w:val="Normal"/>
    <w:semiHidden/>
    <w:pPr>
      <w:spacing w:line="260" w:lineRule="atLeast"/>
    </w:pPr>
  </w:style>
  <w:style w:type="paragraph" w:styleId="BMKSubtitle" w:customStyle="1">
    <w:name w:val="BMK Subtitle"/>
    <w:basedOn w:val="Normal"/>
    <w:next w:val="BodyText"/>
    <w:semiHidden/>
    <w:pPr>
      <w:spacing w:after="180" w:line="260" w:lineRule="atLeast"/>
    </w:pPr>
    <w:rPr>
      <w:rFonts w:asciiTheme="majorHAnsi" w:hAnsiTheme="majorHAnsi" w:eastAsiaTheme="majorEastAsia" w:cstheme="majorHAnsi"/>
      <w:sz w:val="32"/>
    </w:rPr>
  </w:style>
  <w:style w:type="paragraph" w:styleId="BMKTitle" w:customStyle="1">
    <w:name w:val="BMK Title"/>
    <w:basedOn w:val="Normal"/>
    <w:next w:val="BodyText"/>
    <w:semiHidden/>
    <w:pPr>
      <w:spacing w:after="180" w:line="260" w:lineRule="atLeast"/>
    </w:pPr>
    <w:rPr>
      <w:rFonts w:asciiTheme="majorHAnsi" w:hAnsiTheme="majorHAnsi" w:eastAsiaTheme="majorEastAsia" w:cstheme="majorHAnsi"/>
      <w:sz w:val="48"/>
    </w:rPr>
  </w:style>
  <w:style w:type="character" w:styleId="BookTitle">
    <w:name w:val="Book Title"/>
    <w:basedOn w:val="DefaultParagraphFont"/>
    <w:uiPriority w:val="33"/>
    <w:semiHidden/>
    <w:rPr>
      <w:b/>
      <w:bCs/>
      <w:smallCaps/>
      <w:spacing w:val="5"/>
    </w:rPr>
  </w:style>
  <w:style w:type="character" w:styleId="Strong">
    <w:name w:val="Strong"/>
    <w:basedOn w:val="DefaultParagraphFont"/>
    <w:uiPriority w:val="22"/>
    <w:qFormat/>
    <w:rPr>
      <w:b/>
      <w:bCs/>
    </w:rPr>
  </w:style>
  <w:style w:type="character" w:styleId="SubtleEmphasis">
    <w:name w:val="Subtle Emphasis"/>
    <w:basedOn w:val="DefaultParagraphFont"/>
    <w:uiPriority w:val="19"/>
    <w:semiHidden/>
    <w:rPr>
      <w:i/>
      <w:iCs/>
      <w:color w:val="9E9FA2" w:themeColor="text1" w:themeTint="7F"/>
    </w:rPr>
  </w:style>
  <w:style w:type="character" w:styleId="SubtleReference">
    <w:name w:val="Subtle Reference"/>
    <w:basedOn w:val="DefaultParagraphFont"/>
    <w:uiPriority w:val="31"/>
    <w:semiHidden/>
    <w:rPr>
      <w:smallCaps/>
      <w:color w:val="EBB700" w:themeColor="accent2"/>
      <w:u w:val="single"/>
    </w:rPr>
  </w:style>
  <w:style w:type="paragraph" w:styleId="NoSpacing">
    <w:name w:val="No Spacing"/>
    <w:uiPriority w:val="6"/>
    <w:semiHidden/>
    <w:pPr>
      <w:tabs>
        <w:tab w:val="left" w:pos="709"/>
        <w:tab w:val="left" w:pos="1418"/>
        <w:tab w:val="left" w:pos="2126"/>
        <w:tab w:val="left" w:pos="2835"/>
        <w:tab w:val="right" w:pos="7876"/>
      </w:tabs>
    </w:pPr>
    <w:rPr>
      <w:rFonts w:eastAsiaTheme="minorEastAsia" w:cstheme="minorHAnsi"/>
      <w:szCs w:val="24"/>
      <w:lang w:eastAsia="en-US"/>
    </w:rPr>
  </w:style>
  <w:style w:type="character" w:styleId="IntenseEmphasis">
    <w:name w:val="Intense Emphasis"/>
    <w:basedOn w:val="DefaultParagraphFont"/>
    <w:uiPriority w:val="21"/>
    <w:semiHidden/>
    <w:rPr>
      <w:b/>
      <w:bCs/>
      <w:i/>
      <w:iCs/>
      <w:color w:val="A71930" w:themeColor="accent1"/>
    </w:rPr>
  </w:style>
  <w:style w:type="paragraph" w:styleId="IntenseQuote">
    <w:name w:val="Intense Quote"/>
    <w:basedOn w:val="Normal"/>
    <w:next w:val="Normal"/>
    <w:link w:val="IntenseQuoteChar"/>
    <w:uiPriority w:val="30"/>
    <w:semiHidden/>
    <w:pPr>
      <w:pBdr>
        <w:bottom w:val="single" w:color="A71930" w:themeColor="accent1" w:sz="4" w:space="4"/>
      </w:pBdr>
      <w:spacing w:before="200" w:after="280"/>
      <w:ind w:left="936" w:right="936"/>
    </w:pPr>
    <w:rPr>
      <w:b/>
      <w:bCs/>
      <w:i/>
      <w:iCs/>
      <w:color w:val="A71930" w:themeColor="accent1"/>
    </w:rPr>
  </w:style>
  <w:style w:type="character" w:styleId="IntenseQuoteChar" w:customStyle="1">
    <w:name w:val="Intense Quote Char"/>
    <w:basedOn w:val="DefaultParagraphFont"/>
    <w:link w:val="IntenseQuote"/>
    <w:uiPriority w:val="30"/>
    <w:semiHidden/>
    <w:rPr>
      <w:b/>
      <w:bCs/>
      <w:i/>
      <w:iCs/>
      <w:color w:val="A71930" w:themeColor="accent1"/>
      <w:sz w:val="22"/>
      <w:szCs w:val="24"/>
      <w:lang w:eastAsia="en-US"/>
    </w:rPr>
  </w:style>
  <w:style w:type="paragraph" w:styleId="Quote">
    <w:name w:val="Quote"/>
    <w:basedOn w:val="Normal"/>
    <w:next w:val="Normal"/>
    <w:link w:val="QuoteChar"/>
    <w:uiPriority w:val="29"/>
    <w:semiHidden/>
    <w:rPr>
      <w:i/>
      <w:iCs/>
      <w:color w:val="404143" w:themeColor="text1"/>
    </w:rPr>
  </w:style>
  <w:style w:type="character" w:styleId="QuoteChar" w:customStyle="1">
    <w:name w:val="Quote Char"/>
    <w:basedOn w:val="DefaultParagraphFont"/>
    <w:link w:val="Quote"/>
    <w:uiPriority w:val="29"/>
    <w:semiHidden/>
    <w:rPr>
      <w:i/>
      <w:iCs/>
      <w:color w:val="404143" w:themeColor="text1"/>
      <w:sz w:val="22"/>
      <w:szCs w:val="24"/>
      <w:lang w:eastAsia="en-US"/>
    </w:rPr>
  </w:style>
  <w:style w:type="character" w:styleId="IntenseReference">
    <w:name w:val="Intense Reference"/>
    <w:basedOn w:val="DefaultParagraphFont"/>
    <w:uiPriority w:val="32"/>
    <w:semiHidden/>
    <w:rPr>
      <w:b/>
      <w:bCs/>
      <w:smallCaps/>
      <w:color w:val="EBB700" w:themeColor="accent2"/>
      <w:spacing w:val="5"/>
      <w:u w:val="single"/>
    </w:rPr>
  </w:style>
  <w:style w:type="paragraph" w:styleId="ListParagraph">
    <w:name w:val="List Paragraph"/>
    <w:basedOn w:val="Normal"/>
    <w:uiPriority w:val="34"/>
    <w:semiHidden/>
    <w:pPr>
      <w:ind w:left="720"/>
      <w:contextualSpacing/>
    </w:pPr>
  </w:style>
  <w:style w:type="paragraph" w:styleId="SubHeading" w:customStyle="1">
    <w:name w:val="Sub Heading"/>
    <w:basedOn w:val="Normal"/>
    <w:next w:val="BodyText"/>
    <w:pPr>
      <w:keepNext/>
      <w:spacing w:after="180" w:line="260" w:lineRule="atLeast"/>
    </w:pPr>
    <w:rPr>
      <w:rFonts w:asciiTheme="majorHAnsi" w:hAnsiTheme="majorHAnsi" w:eastAsiaTheme="majorEastAsia" w:cstheme="majorHAnsi"/>
      <w:b/>
      <w:szCs w:val="20"/>
    </w:rPr>
  </w:style>
  <w:style w:type="paragraph" w:styleId="Da" w:customStyle="1">
    <w:name w:val="D(a)"/>
    <w:basedOn w:val="Normal"/>
    <w:uiPriority w:val="4"/>
    <w:pPr>
      <w:numPr>
        <w:ilvl w:val="1"/>
        <w:numId w:val="6"/>
      </w:numPr>
      <w:spacing w:after="180" w:line="260" w:lineRule="atLeast"/>
    </w:pPr>
    <w:rPr>
      <w:szCs w:val="20"/>
    </w:rPr>
  </w:style>
  <w:style w:type="paragraph" w:styleId="DA0" w:customStyle="1">
    <w:name w:val="D(A)"/>
    <w:basedOn w:val="Normal"/>
    <w:uiPriority w:val="6"/>
    <w:pPr>
      <w:numPr>
        <w:ilvl w:val="3"/>
        <w:numId w:val="6"/>
      </w:numPr>
      <w:spacing w:after="180" w:line="260" w:lineRule="atLeast"/>
    </w:pPr>
    <w:rPr>
      <w:szCs w:val="20"/>
    </w:rPr>
  </w:style>
  <w:style w:type="paragraph" w:styleId="Di" w:customStyle="1">
    <w:name w:val="D(i)"/>
    <w:basedOn w:val="Normal"/>
    <w:uiPriority w:val="5"/>
    <w:pPr>
      <w:numPr>
        <w:ilvl w:val="2"/>
        <w:numId w:val="6"/>
      </w:numPr>
      <w:spacing w:after="180" w:line="260" w:lineRule="atLeast"/>
    </w:pPr>
    <w:rPr>
      <w:szCs w:val="20"/>
    </w:rPr>
  </w:style>
  <w:style w:type="paragraph" w:styleId="DefinitionParagraph" w:customStyle="1">
    <w:name w:val="Definition Paragraph"/>
    <w:basedOn w:val="Normal"/>
    <w:uiPriority w:val="2"/>
    <w:pPr>
      <w:numPr>
        <w:numId w:val="6"/>
      </w:numPr>
      <w:spacing w:after="180" w:line="260" w:lineRule="atLeast"/>
    </w:pPr>
    <w:rPr>
      <w:szCs w:val="20"/>
    </w:rPr>
  </w:style>
  <w:style w:type="paragraph" w:styleId="SchH1" w:customStyle="1">
    <w:name w:val="SchH1"/>
    <w:basedOn w:val="Normal"/>
    <w:next w:val="BodyText"/>
    <w:uiPriority w:val="6"/>
    <w:pPr>
      <w:keepNext/>
      <w:numPr>
        <w:numId w:val="5"/>
      </w:numPr>
      <w:spacing w:after="180" w:line="260" w:lineRule="atLeast"/>
    </w:pPr>
    <w:rPr>
      <w:rFonts w:asciiTheme="majorHAnsi" w:hAnsiTheme="majorHAnsi" w:eastAsiaTheme="majorEastAsia" w:cstheme="majorHAnsi"/>
      <w:b/>
      <w:szCs w:val="20"/>
    </w:rPr>
  </w:style>
  <w:style w:type="paragraph" w:styleId="SchH2" w:customStyle="1">
    <w:name w:val="SchH2"/>
    <w:basedOn w:val="Normal"/>
    <w:next w:val="BodyText"/>
    <w:uiPriority w:val="6"/>
    <w:pPr>
      <w:keepNext/>
      <w:numPr>
        <w:ilvl w:val="1"/>
        <w:numId w:val="5"/>
      </w:numPr>
      <w:spacing w:after="180" w:line="260" w:lineRule="atLeast"/>
    </w:pPr>
    <w:rPr>
      <w:rFonts w:asciiTheme="majorHAnsi" w:hAnsiTheme="majorHAnsi" w:eastAsiaTheme="majorEastAsia" w:cstheme="majorHAnsi"/>
      <w:b/>
      <w:szCs w:val="20"/>
    </w:rPr>
  </w:style>
  <w:style w:type="paragraph" w:styleId="SchH3" w:customStyle="1">
    <w:name w:val="SchH3"/>
    <w:basedOn w:val="Normal"/>
    <w:uiPriority w:val="6"/>
    <w:pPr>
      <w:numPr>
        <w:ilvl w:val="2"/>
        <w:numId w:val="5"/>
      </w:numPr>
      <w:spacing w:after="180" w:line="260" w:lineRule="atLeast"/>
    </w:pPr>
    <w:rPr>
      <w:szCs w:val="20"/>
    </w:rPr>
  </w:style>
  <w:style w:type="paragraph" w:styleId="SchH4" w:customStyle="1">
    <w:name w:val="SchH4"/>
    <w:basedOn w:val="Normal"/>
    <w:uiPriority w:val="6"/>
    <w:pPr>
      <w:numPr>
        <w:ilvl w:val="3"/>
        <w:numId w:val="5"/>
      </w:numPr>
      <w:spacing w:after="180" w:line="260" w:lineRule="atLeast"/>
    </w:pPr>
    <w:rPr>
      <w:szCs w:val="20"/>
    </w:rPr>
  </w:style>
  <w:style w:type="paragraph" w:styleId="SchH5" w:customStyle="1">
    <w:name w:val="SchH5"/>
    <w:basedOn w:val="Normal"/>
    <w:uiPriority w:val="6"/>
    <w:pPr>
      <w:numPr>
        <w:ilvl w:val="4"/>
        <w:numId w:val="5"/>
      </w:numPr>
      <w:spacing w:after="180" w:line="260" w:lineRule="atLeast"/>
    </w:pPr>
    <w:rPr>
      <w:szCs w:val="20"/>
    </w:rPr>
  </w:style>
  <w:style w:type="paragraph" w:styleId="SchH6" w:customStyle="1">
    <w:name w:val="SchH6"/>
    <w:basedOn w:val="Normal"/>
    <w:uiPriority w:val="6"/>
    <w:pPr>
      <w:numPr>
        <w:ilvl w:val="5"/>
        <w:numId w:val="5"/>
      </w:numPr>
      <w:spacing w:after="180" w:line="260" w:lineRule="atLeast"/>
    </w:pPr>
    <w:rPr>
      <w:szCs w:val="20"/>
    </w:rPr>
  </w:style>
  <w:style w:type="paragraph" w:styleId="SchSH" w:customStyle="1">
    <w:name w:val="SchSH"/>
    <w:basedOn w:val="Normal"/>
    <w:next w:val="BodyText"/>
    <w:uiPriority w:val="6"/>
    <w:pPr>
      <w:keepNext/>
      <w:spacing w:after="180" w:line="260" w:lineRule="atLeast"/>
    </w:pPr>
    <w:rPr>
      <w:rFonts w:asciiTheme="majorHAnsi" w:hAnsiTheme="majorHAnsi" w:eastAsiaTheme="majorEastAsia" w:cstheme="majorHAnsi"/>
      <w:b/>
      <w:szCs w:val="20"/>
    </w:rPr>
  </w:style>
  <w:style w:type="paragraph" w:styleId="TOC1">
    <w:name w:val="toc 1"/>
    <w:basedOn w:val="Normal"/>
    <w:next w:val="Normal"/>
    <w:autoRedefine/>
    <w:uiPriority w:val="39"/>
    <w:pPr>
      <w:spacing w:before="180" w:line="260" w:lineRule="atLeast"/>
      <w:ind w:left="567" w:hanging="567"/>
    </w:pPr>
    <w:rPr>
      <w:rFonts w:asciiTheme="majorHAnsi" w:hAnsiTheme="majorHAnsi" w:eastAsiaTheme="majorEastAsia" w:cstheme="majorHAnsi"/>
      <w:b/>
      <w:szCs w:val="20"/>
    </w:rPr>
  </w:style>
  <w:style w:type="paragraph" w:styleId="TOC2">
    <w:name w:val="toc 2"/>
    <w:basedOn w:val="Normal"/>
    <w:next w:val="Normal"/>
    <w:autoRedefine/>
    <w:uiPriority w:val="39"/>
    <w:pPr>
      <w:spacing w:before="180" w:line="260" w:lineRule="atLeast"/>
      <w:ind w:left="1134" w:hanging="567"/>
    </w:pPr>
    <w:rPr>
      <w:rFonts w:asciiTheme="majorHAnsi" w:hAnsiTheme="majorHAnsi" w:eastAsiaTheme="majorEastAsia" w:cstheme="majorHAnsi"/>
      <w:b/>
      <w:szCs w:val="20"/>
    </w:rPr>
  </w:style>
  <w:style w:type="paragraph" w:styleId="TOC3">
    <w:name w:val="toc 3"/>
    <w:basedOn w:val="Normal"/>
    <w:next w:val="Normal"/>
    <w:autoRedefine/>
    <w:uiPriority w:val="39"/>
    <w:pPr>
      <w:spacing w:before="180" w:line="260" w:lineRule="atLeast"/>
      <w:ind w:left="1701" w:hanging="567"/>
    </w:pPr>
    <w:rPr>
      <w:rFonts w:asciiTheme="majorHAnsi" w:hAnsiTheme="majorHAnsi" w:eastAsiaTheme="majorEastAsia" w:cstheme="majorHAnsi"/>
      <w:b/>
      <w:szCs w:val="20"/>
    </w:rPr>
  </w:style>
  <w:style w:type="paragraph" w:styleId="TOC4">
    <w:name w:val="toc 4"/>
    <w:basedOn w:val="Normal"/>
    <w:next w:val="Normal"/>
    <w:autoRedefine/>
    <w:semiHidden/>
    <w:pPr>
      <w:spacing w:line="260" w:lineRule="atLeast"/>
      <w:ind w:left="1418"/>
    </w:pPr>
    <w:rPr>
      <w:rFonts w:asciiTheme="majorHAnsi" w:hAnsiTheme="majorHAnsi" w:eastAsiaTheme="majorEastAsia" w:cstheme="majorHAnsi"/>
      <w:szCs w:val="20"/>
    </w:rPr>
  </w:style>
  <w:style w:type="table" w:styleId="TableGrid">
    <w:name w:val="Table Grid"/>
    <w:basedOn w:val="TableNormal"/>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BMHeadings" w:customStyle="1">
    <w:name w:val="B&amp;M Headings"/>
    <w:uiPriority w:val="99"/>
    <w:pPr>
      <w:numPr>
        <w:numId w:val="3"/>
      </w:numPr>
    </w:pPr>
  </w:style>
  <w:style w:type="numbering" w:styleId="BMListNumbers" w:customStyle="1">
    <w:name w:val="B&amp;M List Numbers"/>
    <w:uiPriority w:val="99"/>
    <w:pPr>
      <w:numPr>
        <w:numId w:val="4"/>
      </w:numPr>
    </w:pPr>
  </w:style>
  <w:style w:type="numbering" w:styleId="BMSchedules" w:customStyle="1">
    <w:name w:val="B&amp;M Schedules"/>
    <w:uiPriority w:val="99"/>
    <w:pPr>
      <w:numPr>
        <w:numId w:val="5"/>
      </w:numPr>
    </w:pPr>
  </w:style>
  <w:style w:type="numbering" w:styleId="BMDefinitions" w:customStyle="1">
    <w:name w:val="B&amp;M Definitions"/>
    <w:uiPriority w:val="99"/>
    <w:pPr>
      <w:numPr>
        <w:numId w:val="6"/>
      </w:numPr>
    </w:pPr>
  </w:style>
  <w:style w:type="paragraph" w:styleId="TOCHeading" w:customStyle="1">
    <w:name w:val="TOCHeading"/>
    <w:basedOn w:val="Normal"/>
    <w:next w:val="BodyText"/>
    <w:uiPriority w:val="11"/>
    <w:semiHidden/>
    <w:pPr>
      <w:pBdr>
        <w:bottom w:val="single" w:color="auto" w:sz="4" w:space="9"/>
      </w:pBdr>
      <w:spacing w:after="180" w:line="260" w:lineRule="exact"/>
    </w:pPr>
    <w:rPr>
      <w:rFonts w:asciiTheme="majorHAnsi" w:hAnsiTheme="majorHAnsi" w:eastAsiaTheme="majorEastAsia" w:cstheme="majorHAnsi"/>
      <w:b/>
      <w:sz w:val="24"/>
    </w:rPr>
  </w:style>
  <w:style w:type="paragraph" w:styleId="TOC5">
    <w:name w:val="toc 5"/>
    <w:basedOn w:val="Normal"/>
    <w:next w:val="Normal"/>
    <w:autoRedefine/>
    <w:semiHidden/>
    <w:pPr>
      <w:spacing w:after="100"/>
      <w:ind w:left="880"/>
    </w:pPr>
  </w:style>
  <w:style w:type="paragraph" w:styleId="TOC6">
    <w:name w:val="toc 6"/>
    <w:basedOn w:val="Normal"/>
    <w:next w:val="Normal"/>
    <w:autoRedefine/>
    <w:semiHidden/>
    <w:pPr>
      <w:spacing w:after="100"/>
      <w:ind w:left="1100"/>
    </w:pPr>
  </w:style>
  <w:style w:type="paragraph" w:styleId="TOC7">
    <w:name w:val="toc 7"/>
    <w:basedOn w:val="Normal"/>
    <w:next w:val="Normal"/>
    <w:autoRedefine/>
    <w:semiHidden/>
    <w:pPr>
      <w:spacing w:after="100"/>
      <w:ind w:left="1320"/>
    </w:pPr>
  </w:style>
  <w:style w:type="paragraph" w:styleId="TOC8">
    <w:name w:val="toc 8"/>
    <w:basedOn w:val="Normal"/>
    <w:next w:val="Normal"/>
    <w:autoRedefine/>
    <w:semiHidden/>
    <w:pPr>
      <w:spacing w:after="100"/>
      <w:ind w:left="1540"/>
    </w:pPr>
  </w:style>
  <w:style w:type="paragraph" w:styleId="TOC9">
    <w:name w:val="toc 9"/>
    <w:basedOn w:val="Normal"/>
    <w:next w:val="Normal"/>
    <w:autoRedefine/>
    <w:semiHidden/>
    <w:pPr>
      <w:spacing w:after="100"/>
      <w:ind w:left="1760"/>
    </w:pPr>
  </w:style>
  <w:style w:type="character" w:styleId="Heading7Char" w:customStyle="1">
    <w:name w:val="Heading 7 Char"/>
    <w:basedOn w:val="DefaultParagraphFont"/>
    <w:link w:val="Heading7"/>
    <w:semiHidden/>
    <w:rPr>
      <w:rFonts w:asciiTheme="majorHAnsi" w:hAnsiTheme="majorHAnsi" w:eastAsiaTheme="majorEastAsia" w:cstheme="majorHAnsi"/>
      <w:i/>
      <w:iCs/>
      <w:color w:val="6E7073" w:themeColor="text1" w:themeTint="BF"/>
      <w:sz w:val="22"/>
      <w:szCs w:val="22"/>
      <w:lang w:eastAsia="en-US"/>
    </w:rPr>
  </w:style>
  <w:style w:type="paragraph" w:styleId="BalloonText">
    <w:name w:val="Balloon Text"/>
    <w:basedOn w:val="Normal"/>
    <w:link w:val="BalloonTextChar"/>
    <w:semiHidden/>
    <w:rPr>
      <w:rFonts w:ascii="Tahoma" w:hAnsi="Tahoma" w:cs="Tahoma"/>
      <w:sz w:val="16"/>
      <w:szCs w:val="16"/>
    </w:rPr>
  </w:style>
  <w:style w:type="character" w:styleId="BalloonTextChar" w:customStyle="1">
    <w:name w:val="Balloon Text Char"/>
    <w:basedOn w:val="DefaultParagraphFont"/>
    <w:link w:val="BalloonText"/>
    <w:semiHidden/>
    <w:rPr>
      <w:rFonts w:ascii="Tahoma" w:hAnsi="Tahoma" w:cs="Tahoma" w:eastAsiaTheme="minorEastAsia"/>
      <w:sz w:val="16"/>
      <w:szCs w:val="16"/>
      <w:lang w:val="en-US" w:eastAsia="en-US"/>
    </w:rPr>
  </w:style>
  <w:style w:type="character" w:styleId="HeaderChar" w:customStyle="1">
    <w:name w:val="Header Char"/>
    <w:basedOn w:val="DefaultParagraphFont"/>
    <w:link w:val="Header"/>
    <w:uiPriority w:val="99"/>
    <w:rPr>
      <w:rFonts w:eastAsiaTheme="minorEastAsia" w:cstheme="minorHAnsi"/>
      <w:lang w:val="en-US" w:eastAsia="en-US"/>
    </w:rPr>
  </w:style>
  <w:style w:type="character" w:styleId="BodyTextChar" w:customStyle="1">
    <w:name w:val="Body Text Char"/>
    <w:aliases w:val="bt Char"/>
    <w:basedOn w:val="DefaultParagraphFont"/>
    <w:link w:val="BodyText"/>
    <w:rPr>
      <w:rFonts w:eastAsiaTheme="minorEastAsia" w:cstheme="minorHAnsi"/>
      <w:lang w:val="en-US" w:eastAsia="en-US"/>
    </w:r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rPr>
      <w:sz w:val="20"/>
      <w:szCs w:val="20"/>
    </w:rPr>
  </w:style>
  <w:style w:type="character" w:styleId="CommentTextChar" w:customStyle="1">
    <w:name w:val="Comment Text Char"/>
    <w:basedOn w:val="DefaultParagraphFont"/>
    <w:link w:val="CommentText"/>
    <w:semiHidden/>
    <w:rPr>
      <w:rFonts w:eastAsiaTheme="minorEastAsia" w:cstheme="minorHAnsi"/>
      <w:sz w:val="20"/>
      <w:szCs w:val="20"/>
      <w:lang w:val="en-US" w:eastAsia="en-US"/>
    </w:rPr>
  </w:style>
  <w:style w:type="paragraph" w:styleId="CommentSubject">
    <w:name w:val="annotation subject"/>
    <w:basedOn w:val="CommentText"/>
    <w:next w:val="CommentText"/>
    <w:link w:val="CommentSubjectChar"/>
    <w:semiHidden/>
    <w:rPr>
      <w:b/>
      <w:bCs/>
    </w:rPr>
  </w:style>
  <w:style w:type="character" w:styleId="CommentSubjectChar" w:customStyle="1">
    <w:name w:val="Comment Subject Char"/>
    <w:basedOn w:val="CommentTextChar"/>
    <w:link w:val="CommentSubject"/>
    <w:semiHidden/>
    <w:rPr>
      <w:rFonts w:eastAsiaTheme="minorEastAsia" w:cstheme="minorHAnsi"/>
      <w:b/>
      <w:bCs/>
      <w:sz w:val="20"/>
      <w:szCs w:val="20"/>
      <w:lang w:val="en-US" w:eastAsia="en-US"/>
    </w:rPr>
  </w:style>
  <w:style w:type="paragraph" w:styleId="Revision">
    <w:name w:val="Revision"/>
    <w:hidden/>
    <w:uiPriority w:val="99"/>
    <w:semiHidden/>
    <w:pPr>
      <w:spacing w:after="0" w:line="240" w:lineRule="auto"/>
    </w:pPr>
    <w:rPr>
      <w:rFonts w:eastAsiaTheme="minorEastAsia" w:cstheme="minorHAnsi"/>
      <w:lang w:val="en-US" w:eastAsia="en-US"/>
    </w:rPr>
  </w:style>
  <w:style w:type="character" w:styleId="FootnoteTextChar" w:customStyle="1">
    <w:name w:val="Footnote Text Char"/>
    <w:basedOn w:val="DefaultParagraphFont"/>
    <w:link w:val="FootnoteText"/>
    <w:semiHidden/>
    <w:rPr>
      <w:rFonts w:eastAsiaTheme="minorEastAsia" w:cstheme="minorHAnsi"/>
      <w:sz w:val="18"/>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83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21"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16" Type="http://schemas.openxmlformats.org/officeDocument/2006/relationships/header" Target="header3.xml"/><Relationship Id="rId20"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customXml" Target="../customXml/item3.xml"/></Relationships>
</file>

<file path=word/theme/theme1.xml><?xml version="1.0" encoding="utf-8"?>
<a:theme xmlns:a="http://schemas.openxmlformats.org/drawingml/2006/main" name="B&amp;M">
  <a:themeElements>
    <a:clrScheme name="B&amp;M">
      <a:dk1>
        <a:srgbClr val="404143"/>
      </a:dk1>
      <a:lt1>
        <a:srgbClr val="FFFFFF"/>
      </a:lt1>
      <a:dk2>
        <a:srgbClr val="404144"/>
      </a:dk2>
      <a:lt2>
        <a:srgbClr val="FFFFFF"/>
      </a:lt2>
      <a:accent1>
        <a:srgbClr val="A71930"/>
      </a:accent1>
      <a:accent2>
        <a:srgbClr val="EBB700"/>
      </a:accent2>
      <a:accent3>
        <a:srgbClr val="6773B6"/>
      </a:accent3>
      <a:accent4>
        <a:srgbClr val="A2AD00"/>
      </a:accent4>
      <a:accent5>
        <a:srgbClr val="8B8D8E"/>
      </a:accent5>
      <a:accent6>
        <a:srgbClr val="404143"/>
      </a:accent6>
      <a:hlink>
        <a:srgbClr val="00AEEF"/>
      </a:hlink>
      <a:folHlink>
        <a:srgbClr val="A8BBC6"/>
      </a:folHlink>
    </a:clrScheme>
    <a:fontScheme name="B&amp;M">
      <a:majorFont>
        <a:latin typeface="Arial"/>
        <a:ea typeface="MS Gothic"/>
        <a:cs typeface=""/>
        <a:font script="Jpan" typeface="MS Gothic"/>
      </a:majorFont>
      <a:minorFont>
        <a:latin typeface="Times New Roman"/>
        <a:ea typeface="MS Mincho"/>
        <a:cs typeface=""/>
        <a:font script="Jpan" typeface="MS Mincho"/>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HRW Document" ma:contentTypeID="0x01010090189DA28133E44D9B12942BACD6FAD100208050ADDE40DA4FB52F63E17BAE8AC5" ma:contentTypeVersion="28" ma:contentTypeDescription="Create a new document." ma:contentTypeScope="" ma:versionID="23c921a9e69a79a818802963846c3c99">
  <xsd:schema xmlns:xsd="http://www.w3.org/2001/XMLSchema" xmlns:xs="http://www.w3.org/2001/XMLSchema" xmlns:p="http://schemas.microsoft.com/office/2006/metadata/properties" xmlns:ns1="http://schemas.microsoft.com/sharepoint/v3" xmlns:ns2="c53cd46e-9033-4b42-af94-0ad76ab75fd0" xmlns:ns3="230e9df3-be65-4c73-a93b-d1236ebd677e" xmlns:ns4="73e8cfd9-b710-4294-ab88-157da0b0dc99" targetNamespace="http://schemas.microsoft.com/office/2006/metadata/properties" ma:root="true" ma:fieldsID="dfb97726d2c99c13066800d812acf6ac" ns1:_="" ns2:_="" ns3:_="" ns4:_="">
    <xsd:import namespace="http://schemas.microsoft.com/sharepoint/v3"/>
    <xsd:import namespace="c53cd46e-9033-4b42-af94-0ad76ab75fd0"/>
    <xsd:import namespace="230e9df3-be65-4c73-a93b-d1236ebd677e"/>
    <xsd:import namespace="73e8cfd9-b710-4294-ab88-157da0b0dc99"/>
    <xsd:element name="properties">
      <xsd:complexType>
        <xsd:sequence>
          <xsd:element name="documentManagement">
            <xsd:complexType>
              <xsd:all>
                <xsd:element ref="ns2:b62abfa303bd421c9d0714f0544295ab" minOccurs="0"/>
                <xsd:element ref="ns3:TaxCatchAll" minOccurs="0"/>
                <xsd:element ref="ns3:TaxCatchAllLabel" minOccurs="0"/>
                <xsd:element ref="ns2:ne97018e11c646e9894e3a7eb44d00c0" minOccurs="0"/>
                <xsd:element ref="ns2:n5a3aa389e854992ae7c873ce5dd0620" minOccurs="0"/>
                <xsd:element ref="ns1:PublishingContact" minOccurs="0"/>
                <xsd:element ref="ns4:MediaServiceMetadata" minOccurs="0"/>
                <xsd:element ref="ns4:MediaServiceFastMetadata" minOccurs="0"/>
                <xsd:element ref="ns4:MediaServiceAutoKeyPoints" minOccurs="0"/>
                <xsd:element ref="ns4:MediaServiceKeyPoints" minOccurs="0"/>
                <xsd:element ref="ns4:MediaLengthInSeconds" minOccurs="0"/>
                <xsd:element ref="ns4:lcf76f155ced4ddcb4097134ff3c332f" minOccurs="0"/>
                <xsd:element ref="ns4:MediaServiceDateTaken" minOccurs="0"/>
                <xsd:element ref="ns4:MediaServiceOCR" minOccurs="0"/>
                <xsd:element ref="ns4:MediaServiceGenerationTime" minOccurs="0"/>
                <xsd:element ref="ns4:MediaServiceEventHashCode" minOccurs="0"/>
                <xsd:element ref="ns2:SharedWithUsers" minOccurs="0"/>
                <xsd:element ref="ns2:SharedWithDetails" minOccurs="0"/>
                <xsd:element ref="ns2:CaseNumber" minOccurs="0"/>
                <xsd:element ref="ns1:_ip_UnifiedCompliancePolicyProperties" minOccurs="0"/>
                <xsd:element ref="ns1:_ip_UnifiedCompliancePolicyUIAction" minOccurs="0"/>
                <xsd:element ref="ns4:MediaServiceSearchProperties" minOccurs="0"/>
                <xsd:element ref="ns4:MediaServiceDocTags" minOccurs="0"/>
                <xsd:element ref="ns4:MediaServiceObjectDetectorVersions" minOccurs="0"/>
                <xsd:element ref="ns4:views" minOccurs="0"/>
                <xsd:element ref="ns4:VIEWS_x0020__x002d__x0020_test" minOccurs="0"/>
                <xsd:element ref="ns4:VIEWS_x0020__x002d__x0020_test_x003a_view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Contact" ma:index="16" nillable="true" ma:displayName="Contact" ma:description="Contact is a site column created by the Publishing feature. It is used on the Page Content Type as the person or group who is the contact person for the page."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cd46e-9033-4b42-af94-0ad76ab75fd0" elementFormDefault="qualified">
    <xsd:import namespace="http://schemas.microsoft.com/office/2006/documentManagement/types"/>
    <xsd:import namespace="http://schemas.microsoft.com/office/infopath/2007/PartnerControls"/>
    <xsd:element name="b62abfa303bd421c9d0714f0544295ab" ma:index="8" nillable="true" ma:taxonomy="true" ma:internalName="b62abfa303bd421c9d0714f0544295ab" ma:taxonomyFieldName="HRWCompanyCode" ma:displayName="HRW Company Code" ma:default="" ma:fieldId="{b62abfa3-03bd-421c-9d07-14f0544295ab}" ma:taxonomyMulti="true" ma:sspId="e385fb40-52d4-4fae-9c5b-3e8ff8a5878e" ma:termSetId="4d74e6a9-0749-4fdc-ae2c-a4f52f3e8f35" ma:anchorId="259f2dd4-7621-44e2-8f2d-c882ef09aa2f" ma:open="false" ma:isKeyword="false">
      <xsd:complexType>
        <xsd:sequence>
          <xsd:element ref="pc:Terms" minOccurs="0" maxOccurs="1"/>
        </xsd:sequence>
      </xsd:complexType>
    </xsd:element>
    <xsd:element name="ne97018e11c646e9894e3a7eb44d00c0" ma:index="12" nillable="true" ma:taxonomy="true" ma:internalName="ne97018e11c646e9894e3a7eb44d00c0" ma:taxonomyFieldName="HRWAudience" ma:displayName="HRW Audience" ma:default="" ma:fieldId="{7e97018e-11c6-46e9-894e-3a7eb44d00c0}" ma:taxonomyMulti="true" ma:sspId="e385fb40-52d4-4fae-9c5b-3e8ff8a5878e" ma:termSetId="a03a430f-cbad-4dd2-9836-5e1c89321cc1" ma:anchorId="00000000-0000-0000-0000-000000000000" ma:open="false" ma:isKeyword="false">
      <xsd:complexType>
        <xsd:sequence>
          <xsd:element ref="pc:Terms" minOccurs="0" maxOccurs="1"/>
        </xsd:sequence>
      </xsd:complexType>
    </xsd:element>
    <xsd:element name="n5a3aa389e854992ae7c873ce5dd0620" ma:index="14" nillable="true" ma:taxonomy="true" ma:internalName="n5a3aa389e854992ae7c873ce5dd0620" ma:taxonomyFieldName="HRWContent" ma:displayName="HRW Content" ma:default="" ma:fieldId="{75a3aa38-9e85-4992-ae7c-873ce5dd0620}" ma:taxonomyMulti="true" ma:sspId="e385fb40-52d4-4fae-9c5b-3e8ff8a5878e" ma:termSetId="c6e2f868-ed7e-4d87-ba84-b6e3d9a00611" ma:anchorId="00000000-0000-0000-0000-000000000000" ma:open="false" ma:isKeyword="false">
      <xsd:complexType>
        <xsd:sequence>
          <xsd:element ref="pc:Terms" minOccurs="0" maxOccurs="1"/>
        </xsd:sequence>
      </xsd:complexType>
    </xsd:element>
    <xsd:element name="SharedWithUsers" ma:index="2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0" nillable="true" ma:displayName="Shared With Details" ma:internalName="SharedWithDetails" ma:readOnly="true">
      <xsd:simpleType>
        <xsd:restriction base="dms:Note">
          <xsd:maxLength value="255"/>
        </xsd:restriction>
      </xsd:simpleType>
    </xsd:element>
    <xsd:element name="CaseNumber" ma:index="31" nillable="true" ma:displayName="Case Number" ma:internalName="CaseNumbe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2569f376-bdd1-4d12-a180-135992a8a242}" ma:internalName="TaxCatchAll" ma:showField="CatchAllData" ma:web="c53cd46e-9033-4b42-af94-0ad76ab75fd0">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2569f376-bdd1-4d12-a180-135992a8a242}" ma:internalName="TaxCatchAllLabel" ma:readOnly="true" ma:showField="CatchAllDataLabel" ma:web="c53cd46e-9033-4b42-af94-0ad76ab75fd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3e8cfd9-b710-4294-ab88-157da0b0dc99" elementFormDefault="qualified">
    <xsd:import namespace="http://schemas.microsoft.com/office/2006/documentManagement/types"/>
    <xsd:import namespace="http://schemas.microsoft.com/office/infopath/2007/PartnerControls"/>
    <xsd:element name="MediaServiceMetadata" ma:index="18" nillable="true" ma:displayName="MediaServiceMetadata" ma:hidden="true" ma:internalName="MediaServiceMetadata" ma:readOnly="true">
      <xsd:simpleType>
        <xsd:restriction base="dms:Note"/>
      </xsd:simpleType>
    </xsd:element>
    <xsd:element name="MediaServiceFastMetadata" ma:index="19" nillable="true" ma:displayName="MediaServiceFastMetadata" ma:hidden="true" ma:internalName="MediaServiceFastMetadata" ma:readOnly="true">
      <xsd:simpleType>
        <xsd:restriction base="dms:Note"/>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00000000-0000-0000-0000-000000000000" ma:termSetId="00000000-0000-0000-0000-000000000000" ma:anchorId="00000000-0000-0000-0000-000000000000" ma:open="false" ma:isKeyword="false">
      <xsd:complexType>
        <xsd:sequence>
          <xsd:element ref="pc:Terms" minOccurs="0" maxOccurs="1"/>
        </xsd:sequence>
      </xsd:complexType>
    </xsd:element>
    <xsd:element name="MediaServiceDateTaken" ma:index="25" nillable="true" ma:displayName="MediaServiceDateTaken" ma:hidden="true" ma:internalName="MediaServiceDateTaken" ma:readOnly="true">
      <xsd:simpleType>
        <xsd:restriction base="dms:Text"/>
      </xsd:simpleType>
    </xsd:element>
    <xsd:element name="MediaServiceOCR" ma:index="26" nillable="true" ma:displayName="Extracted Text" ma:internalName="MediaServiceOCR" ma:readOnly="true">
      <xsd:simpleType>
        <xsd:restriction base="dms:Note">
          <xsd:maxLength value="255"/>
        </xsd:restriction>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SearchProperties" ma:index="34" nillable="true" ma:displayName="MediaServiceSearchProperties" ma:hidden="true" ma:internalName="MediaServiceSearchProperties" ma:readOnly="true">
      <xsd:simpleType>
        <xsd:restriction base="dms:Note"/>
      </xsd:simpleType>
    </xsd:element>
    <xsd:element name="MediaServiceDocTags" ma:index="35" nillable="true" ma:displayName="MediaServiceDocTags" ma:hidden="true" ma:internalName="MediaServiceDocTags" ma:readOnly="true">
      <xsd:simpleType>
        <xsd:restriction base="dms:Note"/>
      </xsd:simpleType>
    </xsd:element>
    <xsd:element name="MediaServiceObjectDetectorVersions" ma:index="36" nillable="true" ma:displayName="MediaServiceObjectDetectorVersions" ma:hidden="true" ma:indexed="true" ma:internalName="MediaServiceObjectDetectorVersions" ma:readOnly="true">
      <xsd:simpleType>
        <xsd:restriction base="dms:Text"/>
      </xsd:simpleType>
    </xsd:element>
    <xsd:element name="views" ma:index="37" nillable="true" ma:displayName="views" ma:internalName="views">
      <xsd:simpleType>
        <xsd:restriction base="dms:Number"/>
      </xsd:simpleType>
    </xsd:element>
    <xsd:element name="VIEWS_x0020__x002d__x0020_test" ma:index="38" nillable="true" ma:displayName="VIEWS - test" ma:list="{73e8cfd9-b710-4294-ab88-157da0b0dc99}" ma:internalName="VIEWS_x0020__x002d__x0020_test" ma:showField="ComplianceAssetId">
      <xsd:simpleType>
        <xsd:restriction base="dms:Lookup"/>
      </xsd:simpleType>
    </xsd:element>
    <xsd:element name="VIEWS_x0020__x002d__x0020_test_x003a_views" ma:index="39" nillable="true" ma:displayName="VIEWS - test:views" ma:list="{73e8cfd9-b710-4294-ab88-157da0b0dc99}" ma:internalName="VIEWS_x0020__x002d__x0020_test_x003a_views" ma:readOnly="true" ma:showField="views" ma:web="c53cd46e-9033-4b42-af94-0ad76ab75fd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inOccurs="0" maxOccurs="1" ma:index="1" ma:displayName="Title"/>
        <xsd:element ref="dc:subject" minOccurs="0" maxOccurs="1"/>
        <xsd:element ref="dc:description" minOccurs="0" maxOccurs="1" ma:index="17"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3e8cfd9-b710-4294-ab88-157da0b0dc99" xsi:nil="true"/>
    <PublishingContact xmlns="http://schemas.microsoft.com/sharepoint/v3">
      <UserInfo>
        <DisplayName>Nicole Kent</DisplayName>
        <AccountId>74</AccountId>
        <AccountType/>
      </UserInfo>
    </PublishingContact>
    <CaseNumber xmlns="c53cd46e-9033-4b42-af94-0ad76ab75fd0" xsi:nil="true"/>
    <TaxCatchAll xmlns="230e9df3-be65-4c73-a93b-d1236ebd677e">
      <Value>13</Value>
      <Value>1</Value>
      <Value>7</Value>
    </TaxCatchAll>
    <lcf76f155ced4ddcb4097134ff3c332f xmlns="73e8cfd9-b710-4294-ab88-157da0b0dc99">
      <Terms xmlns="http://schemas.microsoft.com/office/infopath/2007/PartnerControls"/>
    </lcf76f155ced4ddcb4097134ff3c332f>
    <n5a3aa389e854992ae7c873ce5dd0620 xmlns="c53cd46e-9033-4b42-af94-0ad76ab75fd0">
      <Terms xmlns="http://schemas.microsoft.com/office/infopath/2007/PartnerControls"/>
    </n5a3aa389e854992ae7c873ce5dd0620>
    <b62abfa303bd421c9d0714f0544295ab xmlns="c53cd46e-9033-4b42-af94-0ad76ab75fd0">
      <Terms xmlns="http://schemas.microsoft.com/office/infopath/2007/PartnerControls">
        <TermInfo xmlns="http://schemas.microsoft.com/office/infopath/2007/PartnerControls">
          <TermName xmlns="http://schemas.microsoft.com/office/infopath/2007/PartnerControls">all company</TermName>
          <TermId xmlns="http://schemas.microsoft.com/office/infopath/2007/PartnerControls">69839457-a91f-468b-bd16-a999a2f41ea9</TermId>
        </TermInfo>
      </Terms>
    </b62abfa303bd421c9d0714f0544295ab>
    <_ip_UnifiedCompliancePolicyUIAction xmlns="http://schemas.microsoft.com/sharepoint/v3" xsi:nil="true"/>
    <ne97018e11c646e9894e3a7eb44d00c0 xmlns="c53cd46e-9033-4b42-af94-0ad76ab75fd0">
      <Terms xmlns="http://schemas.microsoft.com/office/infopath/2007/PartnerControls">
        <TermInfo xmlns="http://schemas.microsoft.com/office/infopath/2007/PartnerControls">
          <TermName xmlns="http://schemas.microsoft.com/office/infopath/2007/PartnerControls">Employees</TermName>
          <TermId xmlns="http://schemas.microsoft.com/office/infopath/2007/PartnerControls">75ee9395-db15-4835-9a10-443f844ba7d4</TermId>
        </TermInfo>
        <TermInfo xmlns="http://schemas.microsoft.com/office/infopath/2007/PartnerControls">
          <TermName xmlns="http://schemas.microsoft.com/office/infopath/2007/PartnerControls">Retail-Employees</TermName>
          <TermId xmlns="http://schemas.microsoft.com/office/infopath/2007/PartnerControls">f668f316-d119-4920-b0e7-1ab449b2c715</TermId>
        </TermInfo>
      </Terms>
    </ne97018e11c646e9894e3a7eb44d00c0>
    <TaxCatchAllLabel xmlns="230e9df3-be65-4c73-a93b-d1236ebd677e" xsi:nil="true"/>
    <_ip_UnifiedCompliancePolicyProperties xmlns="http://schemas.microsoft.com/sharepoint/v3" xsi:nil="true"/>
    <views xmlns="73e8cfd9-b710-4294-ab88-157da0b0dc99" xsi:nil="true"/>
    <VIEWS_x0020__x002d__x0020_test xmlns="73e8cfd9-b710-4294-ab88-157da0b0dc99" xsi:nil="true"/>
  </documentManagement>
</p:properties>
</file>

<file path=customXml/itemProps1.xml><?xml version="1.0" encoding="utf-8"?>
<ds:datastoreItem xmlns:ds="http://schemas.openxmlformats.org/officeDocument/2006/customXml" ds:itemID="{6F0D5F61-EB0B-482D-9F8D-A9688DD10BDA}"/>
</file>

<file path=customXml/itemProps2.xml><?xml version="1.0" encoding="utf-8"?>
<ds:datastoreItem xmlns:ds="http://schemas.openxmlformats.org/officeDocument/2006/customXml" ds:itemID="{7CBEC022-5F43-499C-8CD2-FD4EACF70FCA}"/>
</file>

<file path=customXml/itemProps3.xml><?xml version="1.0" encoding="utf-8"?>
<ds:datastoreItem xmlns:ds="http://schemas.openxmlformats.org/officeDocument/2006/customXml" ds:itemID="{2B4BF3AC-0FEC-429D-AA65-E0D908FB966D}"/>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ap:Properties xmlns:vt="http://schemas.openxmlformats.org/officeDocument/2006/docPropsVTypes" xmlns:ap="http://schemas.openxmlformats.org/officeDocument/2006/extended-properties">
  <ap:Template>Normal.dotm</ap:Templ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1900-01-01T06:00:00Z</dcterms:created>
  <dcterms:modified xsi:type="dcterms:W3CDTF">2023-02-09T02:18:25Z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W Role">
    <vt:lpwstr>82;#Employees|39af09ae-c7e4-4018-a36c-3962e5a4c92b;#209;#Retail-Employee|f6fd0acd-8664-4125-87c4-f1a09293087d</vt:lpwstr>
  </property>
  <property fmtid="{D5CDD505-2E9C-101B-9397-08002B2CF9AE}" pid="3" name="MediaServiceImageTags">
    <vt:lpwstr/>
  </property>
  <property fmtid="{D5CDD505-2E9C-101B-9397-08002B2CF9AE}" pid="4" name="ContentTypeId">
    <vt:lpwstr>0x01010090189DA28133E44D9B12942BACD6FAD100208050ADDE40DA4FB52F63E17BAE8AC5</vt:lpwstr>
  </property>
  <property fmtid="{D5CDD505-2E9C-101B-9397-08002B2CF9AE}" pid="5" name="MAIL_MSG_ID1">
    <vt:lpwstr>gFAACRwgU2+mnxmeRh0sEGqHYV+fdVeIJ51ZgWA9/gMgKLcCkBNHqUyriSPwkJPpJxAyLj7lgljv8vPW
GfpTN0I1ufXnTJBixjv0zJt7z2v+DyZ6KGXYv6Dv61KYqjHwBazzbBac/pMGtOvWGfpTN0I1ufXn
TJBixjv0zJt7z2v+DyZ6KGXYv6Dv68886u3kbQUKRg9hw7p1PKabbHLz4wVCnj3kdJHQf58ADVj9
2wkL82udHm/5BTDHk</vt:lpwstr>
  </property>
  <property fmtid="{D5CDD505-2E9C-101B-9397-08002B2CF9AE}" pid="6" name="HRW Company Code">
    <vt:lpwstr>662;#all company|69839457-a91f-468b-bd16-a999a2f41ea9</vt:lpwstr>
  </property>
  <property fmtid="{D5CDD505-2E9C-101B-9397-08002B2CF9AE}" pid="7" name="_dlc_DocIdItemGuid">
    <vt:lpwstr>4520c986-ed6f-4b11-ba53-45c318f69253</vt:lpwstr>
  </property>
  <property fmtid="{D5CDD505-2E9C-101B-9397-08002B2CF9AE}" pid="8" name="HRWCompanyCode">
    <vt:lpwstr>1;#all company|69839457-a91f-468b-bd16-a999a2f41ea9</vt:lpwstr>
  </property>
  <property fmtid="{D5CDD505-2E9C-101B-9397-08002B2CF9AE}" pid="9" name="HRWContent">
    <vt:lpwstr/>
  </property>
  <property fmtid="{D5CDD505-2E9C-101B-9397-08002B2CF9AE}" pid="10" name="EMAIL_OWNER_ADDRESS">
    <vt:lpwstr>ABAAgoCixPcRe8lQGfB4GvL54S8xXgHOEICvdbc/bSv/4xxHkxF3vi4KhW34g6+gI/db</vt:lpwstr>
  </property>
  <property fmtid="{D5CDD505-2E9C-101B-9397-08002B2CF9AE}" pid="11" name="MAIL_MSG_ID2">
    <vt:lpwstr>M/B61QYyv7Utjl0C4c/fQtTvcHPcqtx1CrvJxoWUPn+nrCMD95G8btCeh9N
t7UMtV7GThpD0ow/elfwfAl6+Fc6ROF6A3D+eQ==</vt:lpwstr>
  </property>
  <property fmtid="{D5CDD505-2E9C-101B-9397-08002B2CF9AE}" pid="12" name="RESPONSE_SENDER_NAME">
    <vt:lpwstr>gAAAFrATEITNPlgroSY0tGiQRDvnsuulxUQu</vt:lpwstr>
  </property>
  <property fmtid="{D5CDD505-2E9C-101B-9397-08002B2CF9AE}" pid="13" name="HRWAudience">
    <vt:lpwstr>7;#Employees|75ee9395-db15-4835-9a10-443f844ba7d4;#13;#Retail-Employees|f668f316-d119-4920-b0e7-1ab449b2c715</vt:lpwstr>
  </property>
</Properties>
</file>