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6F7CE" w14:textId="77777777" w:rsidR="005115BE" w:rsidRDefault="005115BE"/>
    <w:p w14:paraId="10147114" w14:textId="77777777" w:rsidR="005115BE" w:rsidRDefault="005115BE">
      <w:r w:rsidRPr="005115BE">
        <w:t xml:space="preserve">The 5 basic </w:t>
      </w:r>
      <w:r w:rsidRPr="005115BE">
        <w:rPr>
          <w:b/>
          <w:bCs/>
        </w:rPr>
        <w:t>financial statements</w:t>
      </w:r>
      <w:r w:rsidRPr="005115BE">
        <w:t xml:space="preserve"> are: </w:t>
      </w:r>
    </w:p>
    <w:p w14:paraId="7C79A17B" w14:textId="77777777" w:rsidR="005115BE" w:rsidRDefault="005115BE" w:rsidP="005115BE">
      <w:pPr>
        <w:pStyle w:val="ListParagraph"/>
        <w:numPr>
          <w:ilvl w:val="0"/>
          <w:numId w:val="1"/>
        </w:numPr>
      </w:pPr>
      <w:r w:rsidRPr="005115BE">
        <w:t xml:space="preserve">Balance Sheet </w:t>
      </w:r>
    </w:p>
    <w:p w14:paraId="295027B8" w14:textId="77777777" w:rsidR="005115BE" w:rsidRDefault="005115BE" w:rsidP="005115BE">
      <w:pPr>
        <w:pStyle w:val="ListParagraph"/>
        <w:numPr>
          <w:ilvl w:val="0"/>
          <w:numId w:val="1"/>
        </w:numPr>
      </w:pPr>
      <w:r w:rsidRPr="005115BE">
        <w:t>Income Statement</w:t>
      </w:r>
    </w:p>
    <w:p w14:paraId="3C87FCE0" w14:textId="77777777" w:rsidR="005115BE" w:rsidRDefault="005115BE" w:rsidP="005115BE">
      <w:pPr>
        <w:pStyle w:val="ListParagraph"/>
        <w:numPr>
          <w:ilvl w:val="0"/>
          <w:numId w:val="1"/>
        </w:numPr>
      </w:pPr>
      <w:r w:rsidRPr="005115BE">
        <w:t>Statement of Cash Flows</w:t>
      </w:r>
    </w:p>
    <w:p w14:paraId="008ECDEA" w14:textId="77777777" w:rsidR="005115BE" w:rsidRDefault="005115BE" w:rsidP="005115BE">
      <w:pPr>
        <w:pStyle w:val="ListParagraph"/>
        <w:numPr>
          <w:ilvl w:val="0"/>
          <w:numId w:val="1"/>
        </w:numPr>
      </w:pPr>
      <w:r w:rsidRPr="005115BE">
        <w:t>Statement of Changes in Equity</w:t>
      </w:r>
    </w:p>
    <w:p w14:paraId="63CD06ED" w14:textId="77777777" w:rsidR="005115BE" w:rsidRDefault="005115BE" w:rsidP="005115BE">
      <w:pPr>
        <w:pStyle w:val="ListParagraph"/>
        <w:numPr>
          <w:ilvl w:val="0"/>
          <w:numId w:val="1"/>
        </w:numPr>
      </w:pPr>
      <w:r w:rsidRPr="005115BE">
        <w:t>Notes to Financial Statements. </w:t>
      </w:r>
    </w:p>
    <w:p w14:paraId="5CDFC1FE" w14:textId="77777777" w:rsidR="005115BE" w:rsidRDefault="005115BE"/>
    <w:p w14:paraId="50E1771A" w14:textId="77777777" w:rsidR="005115BE" w:rsidRDefault="005115BE"/>
    <w:p w14:paraId="2F4E0751" w14:textId="0FEBD744" w:rsidR="005115BE" w:rsidRDefault="005115BE">
      <w:r>
        <w:t xml:space="preserve">Most common mistakes are not categorizing expenses correctly.   </w:t>
      </w:r>
    </w:p>
    <w:p w14:paraId="77D26C32" w14:textId="6211C6CC" w:rsidR="00706904" w:rsidRDefault="00706904">
      <w:r>
        <w:t>Mixing business with personal spending.  Can make categorizing expenses harder to understand and balance.</w:t>
      </w:r>
    </w:p>
    <w:p w14:paraId="444F70A4" w14:textId="77777777" w:rsidR="00C2292C" w:rsidRDefault="00C2292C"/>
    <w:p w14:paraId="48B30624" w14:textId="5122EF9E" w:rsidR="00706904" w:rsidRDefault="00C2292C">
      <w:r w:rsidRPr="00C2292C">
        <w:t>Assets= Liabilities + Equity</w:t>
      </w:r>
    </w:p>
    <w:p w14:paraId="07AE9F53" w14:textId="77777777" w:rsidR="00C2292C" w:rsidRDefault="00C2292C"/>
    <w:p w14:paraId="788E1A55" w14:textId="7E26F203" w:rsidR="00C24DD0" w:rsidRDefault="00C24DD0">
      <w:r w:rsidRPr="00C24DD0">
        <w:t>Examples of assets include cash, inventory, accounts receivable, property, equipment, investments, patents, trademarks, and goodwill. Liabilities encompass loans, mortgages, accounts payable, accrued expenses, deferred revenue, bonds payable, and lease obligations.</w:t>
      </w:r>
    </w:p>
    <w:p w14:paraId="758B152E" w14:textId="77777777" w:rsidR="00C24DD0" w:rsidRDefault="00C24DD0"/>
    <w:p w14:paraId="0877B973" w14:textId="407A0A7E" w:rsidR="00C24DD0" w:rsidRDefault="00C24DD0">
      <w:r>
        <w:t xml:space="preserve">Credit: </w:t>
      </w:r>
      <w:hyperlink r:id="rId5" w:history="1">
        <w:r w:rsidR="002A4949" w:rsidRPr="000E26CB">
          <w:rPr>
            <w:rStyle w:val="Hyperlink"/>
          </w:rPr>
          <w:t>https://www.bajajfinserv.in/investments/assets-and-liabilities</w:t>
        </w:r>
      </w:hyperlink>
    </w:p>
    <w:p w14:paraId="64FA5688" w14:textId="77777777" w:rsidR="002A4949" w:rsidRDefault="002A4949"/>
    <w:p w14:paraId="134FEEBF" w14:textId="66F7EFD9" w:rsidR="002A4949" w:rsidRDefault="002A4949" w:rsidP="002A4949">
      <w:pPr>
        <w:pStyle w:val="Title"/>
      </w:pPr>
    </w:p>
    <w:p w14:paraId="2E4B9726" w14:textId="17A3D090" w:rsidR="000F65DD" w:rsidRPr="000F65DD" w:rsidRDefault="000F65DD" w:rsidP="000F65DD">
      <w:r w:rsidRPr="000F65DD">
        <w:rPr>
          <w:b/>
          <w:bCs/>
        </w:rPr>
        <w:lastRenderedPageBreak/>
        <w:t>Current Assets are business assets.</w:t>
      </w:r>
      <w:r>
        <w:t xml:space="preserve">  That you would expect to </w:t>
      </w:r>
      <w:r w:rsidRPr="000F65DD">
        <w:t xml:space="preserve"> </w:t>
      </w:r>
      <w:r w:rsidRPr="000F65DD">
        <w:rPr>
          <w:b/>
          <w:bCs/>
        </w:rPr>
        <w:t>convert to cash within a—typically, one-year—operating cycle.</w:t>
      </w:r>
      <w:r w:rsidRPr="000F65DD">
        <w:t xml:space="preserve"> Your current assets can be existing cash, the inventory you plan to sell, supplies you need for a service, your investments, or other cash equivalents.</w:t>
      </w:r>
    </w:p>
    <w:p w14:paraId="24F26AEB" w14:textId="77777777" w:rsidR="000F65DD" w:rsidRPr="000F65DD" w:rsidRDefault="000F65DD" w:rsidP="000F65DD">
      <w:r w:rsidRPr="000F65DD">
        <w:t>Typically, businesses calculate their operating cycles yearly. However, some businesses will have extended operating cycles that exceed a year. Either way, your current assets will still be determined by what you can turn into cash during that cycle.</w:t>
      </w:r>
    </w:p>
    <w:p w14:paraId="6EB8A25D" w14:textId="0F1984E3" w:rsidR="000F65DD" w:rsidRDefault="00500B6B" w:rsidP="000F65DD">
      <w:r>
        <w:t>Credit:</w:t>
      </w:r>
    </w:p>
    <w:p w14:paraId="4E7E8B2F" w14:textId="32B18084" w:rsidR="00500B6B" w:rsidRDefault="00500B6B" w:rsidP="000F65DD">
      <w:hyperlink r:id="rId6" w:history="1">
        <w:r w:rsidRPr="000E26CB">
          <w:rPr>
            <w:rStyle w:val="Hyperlink"/>
          </w:rPr>
          <w:t>https://quickbooks.intuit.com/r/covid-19/current-assets-small-business/</w:t>
        </w:r>
      </w:hyperlink>
    </w:p>
    <w:p w14:paraId="108DDAA8" w14:textId="77777777" w:rsidR="000F65DD" w:rsidRDefault="000F65DD" w:rsidP="002A4949">
      <w:pPr>
        <w:pStyle w:val="Title"/>
      </w:pPr>
    </w:p>
    <w:p w14:paraId="175753A8" w14:textId="77777777" w:rsidR="00500B6B" w:rsidRPr="00500B6B" w:rsidRDefault="00500B6B" w:rsidP="00500B6B"/>
    <w:p w14:paraId="4C287C2F" w14:textId="3C39CD82" w:rsidR="00C24DD0" w:rsidRPr="00C24DD0" w:rsidRDefault="00C24DD0" w:rsidP="002A4949">
      <w:pPr>
        <w:pStyle w:val="Title"/>
      </w:pPr>
      <w:r w:rsidRPr="00C24DD0">
        <w:t>Types of Current Assets</w:t>
      </w:r>
    </w:p>
    <w:p w14:paraId="483102AC" w14:textId="77777777" w:rsidR="00C24DD0" w:rsidRPr="00C24DD0" w:rsidRDefault="00C24DD0" w:rsidP="00C24DD0">
      <w:pPr>
        <w:numPr>
          <w:ilvl w:val="0"/>
          <w:numId w:val="2"/>
        </w:numPr>
      </w:pPr>
      <w:r w:rsidRPr="00C24DD0">
        <w:t>Cash and Cash Equivalents.</w:t>
      </w:r>
    </w:p>
    <w:p w14:paraId="1B405408" w14:textId="77777777" w:rsidR="00C24DD0" w:rsidRPr="00C24DD0" w:rsidRDefault="00C24DD0" w:rsidP="00C24DD0">
      <w:pPr>
        <w:numPr>
          <w:ilvl w:val="0"/>
          <w:numId w:val="2"/>
        </w:numPr>
      </w:pPr>
      <w:r w:rsidRPr="00C24DD0">
        <w:t>Marketable Securities.</w:t>
      </w:r>
    </w:p>
    <w:p w14:paraId="0DE47EB1" w14:textId="77777777" w:rsidR="00C24DD0" w:rsidRPr="00C24DD0" w:rsidRDefault="00C24DD0" w:rsidP="00C24DD0">
      <w:pPr>
        <w:numPr>
          <w:ilvl w:val="0"/>
          <w:numId w:val="2"/>
        </w:numPr>
      </w:pPr>
      <w:r w:rsidRPr="00C24DD0">
        <w:t>Accounts Receivable.</w:t>
      </w:r>
    </w:p>
    <w:p w14:paraId="11DD003B" w14:textId="77777777" w:rsidR="00C24DD0" w:rsidRPr="00C24DD0" w:rsidRDefault="00C24DD0" w:rsidP="00C24DD0">
      <w:pPr>
        <w:numPr>
          <w:ilvl w:val="0"/>
          <w:numId w:val="2"/>
        </w:numPr>
      </w:pPr>
      <w:r w:rsidRPr="00C24DD0">
        <w:t>Inventory.</w:t>
      </w:r>
    </w:p>
    <w:p w14:paraId="665E8630" w14:textId="77777777" w:rsidR="00C24DD0" w:rsidRPr="00C24DD0" w:rsidRDefault="00C24DD0" w:rsidP="00C24DD0">
      <w:pPr>
        <w:numPr>
          <w:ilvl w:val="0"/>
          <w:numId w:val="2"/>
        </w:numPr>
      </w:pPr>
      <w:r w:rsidRPr="00C24DD0">
        <w:t>Prepaid Liabilities/Expenses.</w:t>
      </w:r>
    </w:p>
    <w:p w14:paraId="534EC677" w14:textId="77777777" w:rsidR="00C24DD0" w:rsidRPr="00C24DD0" w:rsidRDefault="00C24DD0" w:rsidP="00C24DD0">
      <w:pPr>
        <w:numPr>
          <w:ilvl w:val="0"/>
          <w:numId w:val="2"/>
        </w:numPr>
      </w:pPr>
      <w:r w:rsidRPr="00C24DD0">
        <w:t>Other Short-Term Investments.</w:t>
      </w:r>
    </w:p>
    <w:p w14:paraId="3B9B119E" w14:textId="77777777" w:rsidR="00C24DD0" w:rsidRDefault="00C24DD0"/>
    <w:p w14:paraId="64D94C5C" w14:textId="7AF9447D" w:rsidR="00C24DD0" w:rsidRDefault="00C24DD0">
      <w:r w:rsidRPr="00C24DD0">
        <w:t xml:space="preserve">On the balance sheet, the </w:t>
      </w:r>
      <w:r w:rsidRPr="00C24DD0">
        <w:rPr>
          <w:b/>
          <w:bCs/>
        </w:rPr>
        <w:t>Current Asset</w:t>
      </w:r>
      <w:r w:rsidRPr="00C24DD0">
        <w:t xml:space="preserve"> sub-accounts are normally displayed in order of current asset liquidity. The assets most easily converted into cash are ranked higher by the finance division or </w:t>
      </w:r>
      <w:r w:rsidRPr="00C24DD0">
        <w:lastRenderedPageBreak/>
        <w:t>accounting firm that prepared the report. The order in which these accounts appear might differ because each business can account for the included assets differently.</w:t>
      </w:r>
    </w:p>
    <w:p w14:paraId="5DCD0D26" w14:textId="77777777" w:rsidR="00C24DD0" w:rsidRDefault="00C24DD0"/>
    <w:p w14:paraId="31837179" w14:textId="77777777" w:rsidR="00C24DD0" w:rsidRPr="00C24DD0" w:rsidRDefault="00C24DD0" w:rsidP="002A4949">
      <w:pPr>
        <w:pStyle w:val="Title"/>
      </w:pPr>
      <w:r w:rsidRPr="00C24DD0">
        <w:t>Cash and Cash Equivalents</w:t>
      </w:r>
    </w:p>
    <w:p w14:paraId="1AA4EC53" w14:textId="171CD483" w:rsidR="00C24DD0" w:rsidRDefault="00C24DD0" w:rsidP="00C24DD0">
      <w:r w:rsidRPr="00C24DD0">
        <w:t>By definition, assets in the Current Assets account are cash or can be quickly converted to cash. Cash equivalents are certificates of deposit, money market funds, short-term government bonds, and</w:t>
      </w:r>
      <w:r>
        <w:t xml:space="preserve"> Treasury bills.</w:t>
      </w:r>
    </w:p>
    <w:p w14:paraId="5C703466" w14:textId="77777777" w:rsidR="00C24DD0" w:rsidRDefault="00C24DD0" w:rsidP="00C24DD0"/>
    <w:p w14:paraId="601EABD3" w14:textId="77777777" w:rsidR="00593A1B" w:rsidRPr="00593A1B" w:rsidRDefault="00593A1B" w:rsidP="00593A1B">
      <w:pPr>
        <w:rPr>
          <w:b/>
          <w:bCs/>
        </w:rPr>
      </w:pPr>
      <w:r w:rsidRPr="00593A1B">
        <w:rPr>
          <w:b/>
          <w:bCs/>
        </w:rPr>
        <w:t>Current Assets = C + CE + I + AR + MS + PE + OLA</w:t>
      </w:r>
    </w:p>
    <w:p w14:paraId="13B2B398" w14:textId="77777777" w:rsidR="00593A1B" w:rsidRDefault="00593A1B" w:rsidP="00593A1B"/>
    <w:p w14:paraId="49A07DF3" w14:textId="77777777" w:rsidR="00593A1B" w:rsidRDefault="00593A1B" w:rsidP="00593A1B">
      <w:r>
        <w:t>Where:</w:t>
      </w:r>
    </w:p>
    <w:p w14:paraId="2D0CA1CE" w14:textId="77777777" w:rsidR="00593A1B" w:rsidRDefault="00593A1B" w:rsidP="00593A1B">
      <w:r>
        <w:t>C = Cash</w:t>
      </w:r>
    </w:p>
    <w:p w14:paraId="58A81D19" w14:textId="77777777" w:rsidR="00593A1B" w:rsidRDefault="00593A1B" w:rsidP="00593A1B">
      <w:r>
        <w:t>CE = Cash Equivalents</w:t>
      </w:r>
    </w:p>
    <w:p w14:paraId="447129F0" w14:textId="77777777" w:rsidR="00593A1B" w:rsidRDefault="00593A1B" w:rsidP="00593A1B">
      <w:r>
        <w:t>I = Inventory</w:t>
      </w:r>
    </w:p>
    <w:p w14:paraId="4462BE92" w14:textId="3D265441" w:rsidR="00593A1B" w:rsidRDefault="00593A1B" w:rsidP="00593A1B">
      <w:r>
        <w:t xml:space="preserve">AR = Accounts </w:t>
      </w:r>
      <w:r w:rsidR="00CC3241">
        <w:t>Receivable</w:t>
      </w:r>
    </w:p>
    <w:p w14:paraId="1B35AD79" w14:textId="77777777" w:rsidR="00593A1B" w:rsidRDefault="00593A1B" w:rsidP="00593A1B">
      <w:r>
        <w:t>MS = Marketable Securities</w:t>
      </w:r>
    </w:p>
    <w:p w14:paraId="754CCAE7" w14:textId="77777777" w:rsidR="00593A1B" w:rsidRDefault="00593A1B" w:rsidP="00593A1B">
      <w:r>
        <w:t>PE = Prepaid Expenses</w:t>
      </w:r>
    </w:p>
    <w:p w14:paraId="1E10F8DB" w14:textId="77777777" w:rsidR="00593A1B" w:rsidRDefault="00593A1B" w:rsidP="00593A1B">
      <w:r>
        <w:t>OLA = Other Liquid Assets</w:t>
      </w:r>
    </w:p>
    <w:p w14:paraId="67BD288F" w14:textId="77777777" w:rsidR="00593A1B" w:rsidRDefault="00593A1B" w:rsidP="00593A1B"/>
    <w:p w14:paraId="0248E6A0" w14:textId="49EAF7AD" w:rsidR="00593A1B" w:rsidRDefault="003B4ACF" w:rsidP="00593A1B">
      <w:r>
        <w:t xml:space="preserve">Current Assets are listed as above.  Then are calculated or using sum to add up these into the </w:t>
      </w:r>
      <w:r w:rsidRPr="003B4ACF">
        <w:rPr>
          <w:b/>
          <w:bCs/>
        </w:rPr>
        <w:t>Total Current Assets</w:t>
      </w:r>
      <w:r>
        <w:t>.  That follow the list of these.  That helps in seeing the balance when needed.</w:t>
      </w:r>
    </w:p>
    <w:p w14:paraId="59887E7F" w14:textId="77777777" w:rsidR="00C24DD0" w:rsidRDefault="00C24DD0" w:rsidP="00C24DD0"/>
    <w:p w14:paraId="7FFDD992" w14:textId="123631A3" w:rsidR="009337E8" w:rsidRDefault="009337E8" w:rsidP="00C24DD0">
      <w:r>
        <w:rPr>
          <w:noProof/>
        </w:rPr>
        <w:drawing>
          <wp:inline distT="0" distB="0" distL="0" distR="0" wp14:anchorId="441AF329" wp14:editId="58EF4788">
            <wp:extent cx="5905500" cy="4953000"/>
            <wp:effectExtent l="0" t="0" r="0" b="0"/>
            <wp:docPr id="121611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2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C6BF" w14:textId="77777777" w:rsidR="009337E8" w:rsidRDefault="009337E8" w:rsidP="00C24DD0"/>
    <w:p w14:paraId="49549BE5" w14:textId="151A3932" w:rsidR="009337E8" w:rsidRPr="00C24DD0" w:rsidRDefault="009337E8" w:rsidP="00C24DD0">
      <w:r>
        <w:t xml:space="preserve">Credit:  </w:t>
      </w:r>
      <w:r w:rsidRPr="009337E8">
        <w:t>https://www.google.com/url?sa=i&amp;url=https%3A%2F%2Fwww.accountingcapital.com%2Fquestion%2Fcan-you-please-share-a-list-of-current-assets-current-liabilities</w:t>
      </w:r>
    </w:p>
    <w:p w14:paraId="362B4E1D" w14:textId="77777777" w:rsidR="00C24DD0" w:rsidRDefault="00C24DD0"/>
    <w:p w14:paraId="2CDCA068" w14:textId="77777777" w:rsidR="009337E8" w:rsidRDefault="009337E8"/>
    <w:p w14:paraId="0D172974" w14:textId="5CC6206E" w:rsidR="00C24DD0" w:rsidRDefault="00C24DD0">
      <w:r w:rsidRPr="00C24DD0">
        <w:t>To qualify as current assets, these items must not have any restrictions that inhibit their short-term liquidity.</w:t>
      </w:r>
    </w:p>
    <w:p w14:paraId="54D260D8" w14:textId="77777777" w:rsidR="002A4949" w:rsidRDefault="002A4949"/>
    <w:p w14:paraId="03148761" w14:textId="77777777" w:rsidR="002A4949" w:rsidRPr="002A4949" w:rsidRDefault="002A4949" w:rsidP="002A4949">
      <w:pPr>
        <w:pStyle w:val="Title"/>
      </w:pPr>
      <w:r w:rsidRPr="002A4949">
        <w:t>What Are 3 Types of Current Assets?</w:t>
      </w:r>
    </w:p>
    <w:p w14:paraId="459A3D73" w14:textId="77777777" w:rsidR="002A4949" w:rsidRPr="002A4949" w:rsidRDefault="002A4949" w:rsidP="002A4949">
      <w:r w:rsidRPr="002A4949">
        <w:t xml:space="preserve">Of the many types of Current Assets accounts, three are </w:t>
      </w:r>
      <w:r w:rsidRPr="002A4949">
        <w:rPr>
          <w:b/>
          <w:bCs/>
        </w:rPr>
        <w:t>Cash and Cash Equivalents, Marketable Securities, and Prepaid Expenses.</w:t>
      </w:r>
    </w:p>
    <w:p w14:paraId="3A70658B" w14:textId="77777777" w:rsidR="002A4949" w:rsidRDefault="002A4949"/>
    <w:p w14:paraId="623D013C" w14:textId="77777777" w:rsidR="00C24DD0" w:rsidRDefault="00C24DD0"/>
    <w:p w14:paraId="6DB498C2" w14:textId="6B422866" w:rsidR="00C24DD0" w:rsidRDefault="00C24DD0">
      <w:r>
        <w:t xml:space="preserve">Credit: </w:t>
      </w:r>
      <w:hyperlink r:id="rId8" w:history="1">
        <w:r w:rsidRPr="000E26CB">
          <w:rPr>
            <w:rStyle w:val="Hyperlink"/>
          </w:rPr>
          <w:t>https://www.investopedia.com/terms/c/currentassets.asp</w:t>
        </w:r>
      </w:hyperlink>
    </w:p>
    <w:p w14:paraId="51715006" w14:textId="77777777" w:rsidR="00C24DD0" w:rsidRDefault="00C24DD0"/>
    <w:p w14:paraId="399A48E6" w14:textId="77777777" w:rsidR="00C24DD0" w:rsidRDefault="00C24DD0"/>
    <w:p w14:paraId="5046BA49" w14:textId="4B8F8B4C" w:rsidR="005115BE" w:rsidRDefault="005115BE">
      <w:r w:rsidRPr="005115BE">
        <w:t>These statements provide a comprehensive overview of a company's financial performance and position. </w:t>
      </w:r>
    </w:p>
    <w:p w14:paraId="7E86D33F" w14:textId="77777777" w:rsidR="005115BE" w:rsidRDefault="005115BE"/>
    <w:p w14:paraId="5CA75019" w14:textId="44655551" w:rsidR="00B2435B" w:rsidRPr="005115BE" w:rsidRDefault="005115BE">
      <w:pPr>
        <w:rPr>
          <w:b/>
          <w:bCs/>
        </w:rPr>
      </w:pPr>
      <w:r w:rsidRPr="005115BE">
        <w:rPr>
          <w:b/>
          <w:bCs/>
        </w:rPr>
        <w:t>Operating expenses:</w:t>
      </w:r>
    </w:p>
    <w:p w14:paraId="48AE1E70" w14:textId="206DF3E8" w:rsidR="005115BE" w:rsidRDefault="005115BE">
      <w:r>
        <w:t>Subscriptions;</w:t>
      </w:r>
    </w:p>
    <w:p w14:paraId="788A761A" w14:textId="3F660B06" w:rsidR="005115BE" w:rsidRDefault="005115BE">
      <w:r>
        <w:t>Fees;</w:t>
      </w:r>
    </w:p>
    <w:p w14:paraId="5E821D13" w14:textId="60821CF3" w:rsidR="00C2292C" w:rsidRDefault="00C2292C">
      <w:r>
        <w:t>Office Costs;</w:t>
      </w:r>
    </w:p>
    <w:p w14:paraId="0E5AC7A0" w14:textId="25C2B50B" w:rsidR="0042168A" w:rsidRDefault="0042168A">
      <w:r w:rsidRPr="0042168A">
        <w:t xml:space="preserve">The Expanded Accounting </w:t>
      </w:r>
      <w:r w:rsidR="00CC3241" w:rsidRPr="0042168A">
        <w:t>Equation This</w:t>
      </w:r>
      <w:r w:rsidRPr="0042168A">
        <w:t xml:space="preserve"> expanded equity portion of the equation allows the user of financial accounting information to see the changes in equity. In it's entirety, the expanded equation looks like this: </w:t>
      </w:r>
    </w:p>
    <w:p w14:paraId="0555FB67" w14:textId="4B8026BC" w:rsidR="00C2292C" w:rsidRPr="0042168A" w:rsidRDefault="0042168A">
      <w:pPr>
        <w:rPr>
          <w:b/>
          <w:bCs/>
        </w:rPr>
      </w:pPr>
      <w:r w:rsidRPr="0042168A">
        <w:rPr>
          <w:b/>
          <w:bCs/>
        </w:rPr>
        <w:t>Assets = Liabilities + Owner Contributions – Owner Withdrawals + Revenues – Expenses.</w:t>
      </w:r>
    </w:p>
    <w:p w14:paraId="45E60F12" w14:textId="77777777" w:rsidR="0042168A" w:rsidRDefault="0042168A"/>
    <w:p w14:paraId="16DB3E73" w14:textId="70F708A4" w:rsidR="0042168A" w:rsidRDefault="0042168A">
      <w:r w:rsidRPr="0042168A">
        <w:lastRenderedPageBreak/>
        <w:t>In addition, most companies capture expenses at a more detailed level, using accounts such as Rent Expense, Payroll Expense, Insurance Expense, and more.</w:t>
      </w:r>
    </w:p>
    <w:p w14:paraId="209A2753" w14:textId="77777777" w:rsidR="0042168A" w:rsidRDefault="0042168A"/>
    <w:p w14:paraId="290A6BC0" w14:textId="50F9D822" w:rsidR="0042168A" w:rsidRDefault="0042168A">
      <w:r>
        <w:t xml:space="preserve">Credit: </w:t>
      </w:r>
      <w:hyperlink r:id="rId9" w:history="1">
        <w:r w:rsidRPr="000E26CB">
          <w:rPr>
            <w:rStyle w:val="Hyperlink"/>
          </w:rPr>
          <w:t>https://courses.lumenlearning.com/wm-accountingformanagers/chapter/accounting-equation/</w:t>
        </w:r>
      </w:hyperlink>
    </w:p>
    <w:p w14:paraId="2F9704CD" w14:textId="77777777" w:rsidR="0042168A" w:rsidRDefault="0042168A"/>
    <w:p w14:paraId="447EB204" w14:textId="77777777" w:rsidR="0042168A" w:rsidRDefault="0042168A"/>
    <w:p w14:paraId="381FDAED" w14:textId="77777777" w:rsidR="002A4949" w:rsidRPr="002A4949" w:rsidRDefault="002A4949" w:rsidP="002A4949">
      <w:pPr>
        <w:pStyle w:val="Title"/>
      </w:pPr>
      <w:r w:rsidRPr="002A4949">
        <w:t>What is overstated income?</w:t>
      </w:r>
    </w:p>
    <w:p w14:paraId="391E80E0" w14:textId="77777777" w:rsidR="002A4949" w:rsidRDefault="002A4949" w:rsidP="002A4949">
      <w:r w:rsidRPr="002A4949">
        <w:rPr>
          <w:lang w:val="en"/>
        </w:rPr>
        <w:t>If a company overstates assets or understates liabilities it will result in an overstated net income, which carries over to the balance sheet as retained earnings and therefore inflates shareholders' equity.</w:t>
      </w:r>
      <w:r w:rsidRPr="002A4949">
        <w:t>Feb 7, 2025</w:t>
      </w:r>
    </w:p>
    <w:p w14:paraId="2E429E6D" w14:textId="77777777" w:rsidR="002A4949" w:rsidRDefault="002A4949" w:rsidP="002A4949"/>
    <w:p w14:paraId="2BEDC3A3" w14:textId="645A3A6F" w:rsidR="002A4949" w:rsidRDefault="002A4949" w:rsidP="002A4949">
      <w:r>
        <w:t xml:space="preserve">Credit: </w:t>
      </w:r>
      <w:hyperlink r:id="rId10" w:history="1">
        <w:r w:rsidR="009337E8" w:rsidRPr="000E26CB">
          <w:rPr>
            <w:rStyle w:val="Hyperlink"/>
          </w:rPr>
          <w:t>https://www.investopedia.com/articles/fundamental-analysis/10/creative-accounting-balance-sheet.asp</w:t>
        </w:r>
      </w:hyperlink>
    </w:p>
    <w:p w14:paraId="70C9012A" w14:textId="77777777" w:rsidR="009337E8" w:rsidRDefault="009337E8" w:rsidP="002A4949"/>
    <w:p w14:paraId="078F1CBF" w14:textId="77777777" w:rsidR="009337E8" w:rsidRDefault="009337E8" w:rsidP="002A4949"/>
    <w:p w14:paraId="798C8568" w14:textId="6764963B" w:rsidR="003B2B35" w:rsidRDefault="003B2B35" w:rsidP="002A4949">
      <w:r w:rsidRPr="003B2B35">
        <w:t xml:space="preserve">A </w:t>
      </w:r>
      <w:r w:rsidRPr="003B2B35">
        <w:rPr>
          <w:b/>
          <w:bCs/>
        </w:rPr>
        <w:t>sub-account</w:t>
      </w:r>
      <w:r w:rsidRPr="003B2B35">
        <w:t xml:space="preserve"> is a smaller, nested account within a larger primary account, used for more detailed tracking of financial activities. It allows businesses and individuals to categorize and manage funds for different purposes, without needing multiple separate accounts. Sub-accounts can be used to track expenses by department, project, or specific activity, providing a more granular view of financial data. </w:t>
      </w:r>
    </w:p>
    <w:p w14:paraId="626ADE86" w14:textId="77777777" w:rsidR="003B2B35" w:rsidRDefault="003B2B35" w:rsidP="002A4949"/>
    <w:p w14:paraId="18A5E0FD" w14:textId="77777777" w:rsidR="003B2B35" w:rsidRPr="002A4949" w:rsidRDefault="003B2B35" w:rsidP="002A4949"/>
    <w:p w14:paraId="454451B9" w14:textId="77777777" w:rsidR="003F65E8" w:rsidRPr="003F65E8" w:rsidRDefault="003F65E8" w:rsidP="003F65E8">
      <w:pPr>
        <w:pStyle w:val="Title"/>
      </w:pPr>
      <w:r w:rsidRPr="003F65E8">
        <w:t>How sub-accounts are created:</w:t>
      </w:r>
    </w:p>
    <w:p w14:paraId="4A3A6677" w14:textId="1588E5EF" w:rsidR="005115BE" w:rsidRDefault="003F65E8" w:rsidP="003F65E8">
      <w:pPr>
        <w:numPr>
          <w:ilvl w:val="0"/>
          <w:numId w:val="4"/>
        </w:numPr>
      </w:pPr>
      <w:r w:rsidRPr="003F65E8">
        <w:t>Sub-accounts are typically created within a specific accounting or budgeting software, such as QuickBooks.</w:t>
      </w:r>
    </w:p>
    <w:p w14:paraId="5F8809E5" w14:textId="77777777" w:rsidR="003F65E8" w:rsidRDefault="003F65E8" w:rsidP="003F65E8">
      <w:pPr>
        <w:numPr>
          <w:ilvl w:val="0"/>
          <w:numId w:val="3"/>
        </w:numPr>
      </w:pPr>
      <w:r w:rsidRPr="003F65E8">
        <w:t xml:space="preserve">The process usually involves defining the main account and then </w:t>
      </w:r>
      <w:r w:rsidRPr="003F65E8">
        <w:rPr>
          <w:b/>
          <w:bCs/>
        </w:rPr>
        <w:t>creating the sub-accounts within that main account</w:t>
      </w:r>
      <w:r w:rsidRPr="003F65E8">
        <w:t>.</w:t>
      </w:r>
    </w:p>
    <w:p w14:paraId="5C6CC72B" w14:textId="77777777" w:rsidR="003F65E8" w:rsidRPr="003F65E8" w:rsidRDefault="003F65E8" w:rsidP="003F65E8"/>
    <w:p w14:paraId="01E15284" w14:textId="222F9F21" w:rsidR="005115BE" w:rsidRDefault="005D66EF">
      <w:pPr>
        <w:rPr>
          <w:b/>
          <w:bCs/>
        </w:rPr>
      </w:pPr>
      <w:r w:rsidRPr="005D66EF">
        <w:t xml:space="preserve">Raw materials are a </w:t>
      </w:r>
      <w:r w:rsidRPr="005D66EF">
        <w:rPr>
          <w:b/>
          <w:bCs/>
        </w:rPr>
        <w:t>debit</w:t>
      </w:r>
      <w:r w:rsidRPr="005D66EF">
        <w:t xml:space="preserve"> to your inventory asset column and a </w:t>
      </w:r>
      <w:r w:rsidRPr="005D66EF">
        <w:rPr>
          <w:b/>
          <w:bCs/>
        </w:rPr>
        <w:t>credit</w:t>
      </w:r>
      <w:r w:rsidRPr="005D66EF">
        <w:t xml:space="preserve"> to your cash or accounts payable liabilities column.  That also makes raw materials a </w:t>
      </w:r>
      <w:r w:rsidRPr="005D66EF">
        <w:rPr>
          <w:b/>
          <w:bCs/>
        </w:rPr>
        <w:t>liquid asset.</w:t>
      </w:r>
    </w:p>
    <w:p w14:paraId="331C68C1" w14:textId="77777777" w:rsidR="005D66EF" w:rsidRDefault="005D66EF">
      <w:pPr>
        <w:rPr>
          <w:b/>
          <w:bCs/>
        </w:rPr>
      </w:pPr>
    </w:p>
    <w:p w14:paraId="5AA9A9BD" w14:textId="77777777" w:rsidR="005D66EF" w:rsidRDefault="005D66EF"/>
    <w:p w14:paraId="4BE124A4" w14:textId="77777777" w:rsidR="005115BE" w:rsidRDefault="005115BE"/>
    <w:sectPr w:rsidR="005115BE" w:rsidSect="00306E92">
      <w:pgSz w:w="12240" w:h="15840" w:code="1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770FD"/>
    <w:multiLevelType w:val="multilevel"/>
    <w:tmpl w:val="D432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62732"/>
    <w:multiLevelType w:val="multilevel"/>
    <w:tmpl w:val="B7B6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12657"/>
    <w:multiLevelType w:val="multilevel"/>
    <w:tmpl w:val="2F287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B362B6"/>
    <w:multiLevelType w:val="hybridMultilevel"/>
    <w:tmpl w:val="34667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604285">
    <w:abstractNumId w:val="3"/>
  </w:num>
  <w:num w:numId="2" w16cid:durableId="1451321943">
    <w:abstractNumId w:val="1"/>
  </w:num>
  <w:num w:numId="3" w16cid:durableId="1003241856">
    <w:abstractNumId w:val="2"/>
  </w:num>
  <w:num w:numId="4" w16cid:durableId="92723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BE"/>
    <w:rsid w:val="00072F70"/>
    <w:rsid w:val="000F65DD"/>
    <w:rsid w:val="00193962"/>
    <w:rsid w:val="002A4949"/>
    <w:rsid w:val="00306E92"/>
    <w:rsid w:val="003B2B35"/>
    <w:rsid w:val="003B4ACF"/>
    <w:rsid w:val="003F00E7"/>
    <w:rsid w:val="003F65E8"/>
    <w:rsid w:val="0042168A"/>
    <w:rsid w:val="00500B6B"/>
    <w:rsid w:val="00505F93"/>
    <w:rsid w:val="005115BE"/>
    <w:rsid w:val="00593A1B"/>
    <w:rsid w:val="005D66EF"/>
    <w:rsid w:val="00706904"/>
    <w:rsid w:val="007F57A9"/>
    <w:rsid w:val="00826EFA"/>
    <w:rsid w:val="00896764"/>
    <w:rsid w:val="009337E8"/>
    <w:rsid w:val="0099312D"/>
    <w:rsid w:val="00AF00BF"/>
    <w:rsid w:val="00B2435B"/>
    <w:rsid w:val="00C2292C"/>
    <w:rsid w:val="00C24DD0"/>
    <w:rsid w:val="00CC3241"/>
    <w:rsid w:val="00D26C2E"/>
    <w:rsid w:val="00DD432C"/>
    <w:rsid w:val="00ED3FE9"/>
    <w:rsid w:val="00F3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AAA5"/>
  <w15:chartTrackingRefBased/>
  <w15:docId w15:val="{CED90453-7ABA-4BEB-9E7C-FB9DBDA8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BM" w:eastAsiaTheme="minorHAnsi" w:hAnsi="IBM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5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5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5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5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5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5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5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5BE"/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5B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5B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5B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5B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5B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5B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5B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5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5B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5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5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5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4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DD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F65D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66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2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5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8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16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20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424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29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65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81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705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560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c/currentasset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ckbooks.intuit.com/r/covid-19/current-assets-small-busines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ajajfinserv.in/investments/assets-and-liabilities" TargetMode="External"/><Relationship Id="rId10" Type="http://schemas.openxmlformats.org/officeDocument/2006/relationships/hyperlink" Target="https://www.investopedia.com/articles/fundamental-analysis/10/creative-accounting-balance-shee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s.lumenlearning.com/wm-accountingformanagers/chapter/accounting-equ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800</Words>
  <Characters>4563</Characters>
  <Application>Microsoft Office Word</Application>
  <DocSecurity>2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Freiwald</dc:creator>
  <cp:keywords/>
  <dc:description/>
  <cp:lastModifiedBy>Martin Freiwald</cp:lastModifiedBy>
  <cp:revision>13</cp:revision>
  <dcterms:created xsi:type="dcterms:W3CDTF">2025-04-15T19:50:00Z</dcterms:created>
  <dcterms:modified xsi:type="dcterms:W3CDTF">2025-04-15T21:41:00Z</dcterms:modified>
</cp:coreProperties>
</file>