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2"/>
        </w:rPr>
        <w:t>UNIVERSIDAD TECNOLÓGICA NACIONAL</w:t>
        <w:br/>
      </w:r>
      <w:r>
        <w:rPr>
          <w:rFonts w:ascii="Calibri" w:hAnsi="Calibri"/>
          <w:b/>
          <w:color w:val="003366"/>
          <w:sz w:val="26"/>
        </w:rPr>
        <w:t>FACULTAD REGIONAL CÓRDOBA</w:t>
        <w:br/>
      </w:r>
      <w:r>
        <w:rPr>
          <w:rFonts w:ascii="Calibri" w:hAnsi="Calibri"/>
          <w:i/>
          <w:color w:val="646464"/>
          <w:sz w:val="22"/>
        </w:rPr>
        <w:t>Analista Desarrollador Universitario de Sistemas de Información</w:t>
        <w:br/>
        <w:t>Cátedra: Seminario Integrador | Ciclo Lectivo 2026 | Curso 3K2</w:t>
        <w:br/>
      </w:r>
    </w:p>
    <w:p>
      <w:pPr>
        <w:spacing w:before="400"/>
      </w:pPr>
    </w:p>
    <w:p>
      <w:pPr>
        <w:jc w:val="center"/>
      </w:pPr>
      <w:r>
        <w:rPr>
          <w:rFonts w:ascii="Calibri" w:hAnsi="Calibri"/>
          <w:b/>
          <w:color w:val="003366"/>
          <w:sz w:val="44"/>
        </w:rPr>
        <w:t>DOCUMENTO TÉCNICO</w:t>
        <w:br/>
        <w:t>ESTUDIO INICIAL</w:t>
        <w:br/>
      </w:r>
      <w:r>
        <w:rPr>
          <w:rFonts w:ascii="Calibri" w:hAnsi="Calibri"/>
          <w:b/>
          <w:color w:val="2980B9"/>
          <w:sz w:val="28"/>
        </w:rPr>
        <w:t>Sistema de Gestión del Tribunal de Disciplina y Premiaciones de A.V.E.I.T.</w:t>
        <w:br/>
        <w:t>(SGD-AVEIT)</w:t>
      </w:r>
    </w:p>
    <w:p>
      <w:pPr>
        <w:spacing w:before="5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Organización / Ámbito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Asociación Vocacional de Estudiantes e Ingenieros Tecnológicos (A.V.E.I.T.) - UTN FRC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Nombre del Software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SGD-AVEIT (Sistema de Gestión del Tribunal de Disciplina y Premiaciones)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Objetivo del Proyecto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Sistematizar, auditar y transparentar la gestión integral de expedientes disciplinarios, sustanciación de descargos (Formularios T01, T02, T03), cómputo algorítmico de saldos de puntos y generación automática de balances cuatrimestrales mediante una plataforma 100% web y responsive mobile.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Metodología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Metodología Ágil (Scrum)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Equipo de Trabajo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• Sanchez, Diego Gabriel (Leg. 87414) - diegogabriel.stm@gmail.com</w:t>
              <w:br/>
              <w:t>• Guillén, Lucas Martín (Leg. 85194)</w:t>
              <w:br/>
              <w:t>• Rosales, Nicolás (Leg. 408917)</w:t>
              <w:br/>
              <w:t>• Gastiaburu, Lucas (Leg. 74907)</w:t>
              <w:br/>
              <w:t>• Villegas, Axel Rene (Leg. 403655)</w:t>
              <w:br/>
              <w:t>• Urviola, Luis (Leg. 409953)</w:t>
              <w:br/>
              <w:t>• Quiroz, Tomas Augusto (Leg. 415327)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Fecha de Emisión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15 de Agosto de 2026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CONTROL DE VERSIONES / HISTORIAL DE REVISIONES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59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Autor / Responsable</w:t>
            </w:r>
          </w:p>
        </w:tc>
        <w:tc>
          <w:tcPr>
            <w:tcW w:type="dxa" w:w="3888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 del Cambio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1.0.0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15/08/2026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Equipo SGD-AVEIT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Elaboración inicial completa del Estudio Inicial según Guía de Documentación UTN FRC.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1.1.0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15/08/2026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Equipo SGD-AVEIT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Ajuste de subcomisiones según Reglamento 2026 (7 subcomisiones), estructura de CD (7 miembros), especificación de BD MySQL, sanción por omisión de tareas asignadas (hasta -2 pts), modalidad de reuniones virtuales de TD y arquitectura 100% Web y Responsive Mobile.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1.2.0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15/08/2026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Equipo SGD-AVEIT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Incorporación del análisis comparativo entre Reglamento Procesal 2018 (aprobado por Asamblea) y 2026 (flujo real). Estandarización de 6 estados del expediente, formularios T01 (con Anexo), T02 y T03, competencias de inicio (Arts. 21-26) y firma colegiada.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TABLA DE CONTENIDO (ÍNDICE)</w:t>
      </w:r>
    </w:p>
    <w:p>
      <w:pPr>
        <w:spacing w:after="40" w:line="276" w:lineRule="auto"/>
      </w:pPr>
      <w:r>
        <w:rPr>
          <w:rFonts w:ascii="Calibri" w:hAnsi="Calibri"/>
          <w:b/>
          <w:color w:val="003366"/>
          <w:sz w:val="21"/>
        </w:rPr>
        <w:t>Glosario de Términos</w:t>
      </w:r>
    </w:p>
    <w:p>
      <w:pPr>
        <w:spacing w:after="40" w:line="276" w:lineRule="auto"/>
      </w:pPr>
      <w:r>
        <w:rPr>
          <w:rFonts w:ascii="Calibri" w:hAnsi="Calibri"/>
          <w:b/>
          <w:color w:val="003366"/>
          <w:sz w:val="21"/>
        </w:rPr>
        <w:t>1. Introducción General del Proyecto</w:t>
      </w:r>
    </w:p>
    <w:p>
      <w:pPr>
        <w:spacing w:after="40" w:line="276" w:lineRule="auto"/>
      </w:pPr>
      <w:r>
        <w:rPr>
          <w:rFonts w:ascii="Calibri" w:hAnsi="Calibri"/>
          <w:b/>
          <w:color w:val="003366"/>
          <w:sz w:val="21"/>
        </w:rPr>
        <w:t>2. Propósito del Documento</w:t>
      </w:r>
    </w:p>
    <w:p>
      <w:pPr>
        <w:spacing w:after="40" w:line="276" w:lineRule="auto"/>
      </w:pPr>
      <w:r>
        <w:rPr>
          <w:rFonts w:ascii="Calibri" w:hAnsi="Calibri"/>
          <w:b/>
          <w:color w:val="003366"/>
          <w:sz w:val="21"/>
        </w:rPr>
        <w:t>3. Descripción del Ámbito o Contexto de Aplicación (Organización: A.V.E.I.T.)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3.1. Presentación de la Organización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3.2. Objetivo de la Organización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3.3. Reseña Histórica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3.4. Dimensionamiento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3.5. Marco Normativo, Políticas Institucionales y Evolución Procesal (2018 vs 2026)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3.6. Mapa Global de Procesos de la Organización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3.7. Descripción de Procesos de Negocio Afectados por la Propuesta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3.8. Recursos Informáticos Existentes y Modalidad Operativa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3.9. Lay-Out Físico y Dinámica Operativa de la Organización</w:t>
      </w:r>
    </w:p>
    <w:p>
      <w:pPr>
        <w:spacing w:after="40" w:line="276" w:lineRule="auto"/>
      </w:pPr>
      <w:r>
        <w:rPr>
          <w:rFonts w:ascii="Calibri" w:hAnsi="Calibri"/>
          <w:b/>
          <w:color w:val="003366"/>
          <w:sz w:val="21"/>
        </w:rPr>
        <w:t>4. Problemas y Oportunidades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4.1. Problemas Detectados</w:t>
      </w:r>
    </w:p>
    <w:p>
      <w:pPr>
        <w:spacing w:after="40" w:line="276" w:lineRule="auto"/>
      </w:pPr>
      <w:r>
        <w:rPr>
          <w:rFonts w:ascii="Calibri" w:hAnsi="Calibri"/>
          <w:sz w:val="21"/>
        </w:rPr>
        <w:t xml:space="preserve">    4.2. Oportunidades de Mejora y Beneficios</w:t>
      </w:r>
    </w:p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GLOSARIO DE TÉRMINOS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Término / Sigla</w:t>
            </w:r>
          </w:p>
        </w:tc>
        <w:tc>
          <w:tcPr>
            <w:tcW w:type="dxa" w:w="619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Definición Institucional y Operativa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A.V.E.I.T.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Asociación Vocacional de Estudiantes e Ingenieros Tecnológicos de la Universidad Tecnológica Nacional – Facultad Regional Córdoba.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CD (Comisión Directiva)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sz w:val="19"/>
              </w:rPr>
              <w:t>Órgano ejecutivo de gobierno de AVEIT compuesto por 7 miembros (Presidente, Vicepresidente, Tesorero, Protesorero, Secretario General, Prosecretario y Secretario de Actas), responsable de la conducción institucional y coordinación de subcomisiones.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TD (Tribunal de Disciplina)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Órgano estatutario independiente encargado de juzgar las transgresiones reglamentarias, evaluar conductas, otorgar premios y aplicar sanciones a los socios (3 titulares y 3 suplentes de 4º, 5º y 6º año social).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Subcomisiones (7)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sz w:val="19"/>
              </w:rPr>
              <w:t>Órganos operativos de trabajo creados por estatuto y reglamento: Cómputos, Relaciones Institucionales, Organización y Eventos, Prensa y Difusión, Mantenimiento, Recursos Humanos, y Gestión Social y Ambiental.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Formulario T01 / Anexo T01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Instrumento formal mediante el cual autoridades de CD, Subcomisiones o Líderes solicitan la apertura de un expediente de premio o sanción con detalle circunstanciado.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Formulario T02 (Justificación)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sz w:val="19"/>
              </w:rPr>
              <w:t>Formulario oficial para justificar inasistencias e incumplimientos por causales tipificadas (enfermedad, viajes, exámenes) con comprobantes digitales.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Formulario T03 (Descargo)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Formulario de descargo extraordinario para exponer causales atípicas evaluadas bajo sana crítica y antecedentes jurisprudenciales.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Resolución Disciplinaria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sz w:val="19"/>
              </w:rPr>
              <w:t>Acto formal de cierre con estructura de VISTOS, CONSIDERANDOS y RESOLUCIÓN, refrendado por firma colegiada de miembros de 4º, 5º y 6º año social.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Puntos Negativos (Sanciones)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Unidad de medida acumulativa (fracciones mínimas de 0.5 pts). Al acumular 10 puntos negativos netos, el socio pierde automáticamente su condición asociativa.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Puntos Positivos (Premios)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sz w:val="19"/>
              </w:rPr>
              <w:t>Unidad de medida acumulativa otorgada en reconocimiento a desempeños sobresalientes (0.5 a 4 puntos).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Balance Cuatrimestral de Disciplina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Informe consolidado emitido dos veces al año que resume actuaciones, auditorías y saldos de premios/sanciones (Art. 137 Reglamento Interno).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Responsive Mobile / Mobile-First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Calibri" w:hAnsi="Calibri"/>
                <w:sz w:val="19"/>
              </w:rPr>
              <w:t>Arquitectura web que garantiza accesibilidad y operatividad total en smartphones/tablets y computadoras.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1. INTRODUCCIÓN GENERAL DEL PROYECTO</w:t>
      </w:r>
    </w:p>
    <w:p>
      <w:pPr>
        <w:spacing w:line="276" w:lineRule="auto" w:after="120"/>
      </w:pPr>
      <w:r>
        <w:t>La formación académica de los futuros ingenieros en la Universidad Tecnológica Nacional – Facultad Regional Córdoba (UTN FRC) se complementa de forma decisiva con el desarrollo de competencias interpersonales, habilidades blandas, liderazgo y visión internacional. En este marco, la Asociación Vocacional de Estudiantes e Ingenieros Tecnológicos (A.V.E.I.T.) desempeña un rol fundamental desde hace más de cinco décadas mediante una propuesta formativa vivencial que culmina con un Viaje Técnico-Cultural por Europa de tres meses de duración.</w:t>
      </w:r>
    </w:p>
    <w:p>
      <w:pPr>
        <w:spacing w:line="276" w:lineRule="auto" w:after="120"/>
      </w:pPr>
      <w:r>
        <w:t>Para sustentar esta estructura asociativa de más de 500 socios, AVEIT cuenta con un estricto Estatuto Social, un Reglamento Interno de Disciplina y un Reglamento Procesal Disciplinario orientados a garantizar la equidad, el cumplimiento de los deberes sociales y la convivencia institucional. Dentro de este esquema, el Tribunal de Disciplina (TD) es el órgano clave responsable de dictaminar sobre faltas, administrar descargos y otorgar incentivos y penalizaciones a través de un sistema de puntaje acumulativo.</w:t>
      </w:r>
    </w:p>
    <w:p>
      <w:pPr>
        <w:spacing w:line="276" w:lineRule="auto" w:after="120"/>
      </w:pPr>
      <w:r>
        <w:t>En la actualidad, la organización experimenta una dualidad procedimental: si bien el marco reglamentario formal aprobado por Asamblea responde a la versión 2018 (con procedimientos concebidos bajo una lógica física y en papel), la práctica cotidiana y la dinámica de trabajo real han evolucionado hacia las pautas del Reglamento Procesal Disciplinario 2026. Bajo esta modalidad operativa real, el TD sesiona y delibera de forma predominantemente virtual, requiriendo flujos ágiles para la tramitación de expedientes, recepción de formularios digitales (T01, T02, T03) y notificación electrónica.</w:t>
      </w:r>
    </w:p>
    <w:p>
      <w:pPr>
        <w:spacing w:line="276" w:lineRule="auto" w:after="120"/>
      </w:pPr>
      <w:r>
        <w:t>El presente proyecto propone el diseño, desarrollo e implementación del Sistema de Gestión del Tribunal de Disciplina y Premiaciones de AVEIT (SGD-AVEIT) como una plataforma 100% web y responsive mobile que articulará el flujo de trabajo procesal 2026, automatizando el ciclo de expedientes, recepción de descargos con adjuntos digitales, votación colegiada, cómputo algorítmico de saldos de puntos y generación instantánea de balances de auditoría.</w:t>
      </w:r>
    </w:p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2. PROPÓSITO DEL DOCUMENTO</w:t>
      </w:r>
    </w:p>
    <w:p>
      <w:pPr>
        <w:spacing w:line="276" w:lineRule="auto" w:after="120"/>
      </w:pPr>
      <w:r>
        <w:t>El propósito de este documento de Estudio Inicial es establecer las bases funcionales, organizacionales, normativas y contextuales del proyecto de software, respondiendo formalmente a las directrices de la cátedra de Seminario Integrador de la UTN FRC.</w:t>
      </w:r>
    </w:p>
    <w:p>
      <w:pPr>
        <w:pStyle w:val="ListBullet"/>
        <w:spacing w:line="276" w:lineRule="auto" w:after="60"/>
      </w:pPr>
      <w:r>
        <w:t>Describir formalmente la organización beneficiaria (A.V.E.I.T.), su estructura orgánica (Asamblea, CD de 7 miembros, TD de 6 miembros y 7 Subcomisiones reglamentarias), historia, dimensionamiento operativo, layout físico y políticas de gobierno.</w:t>
      </w:r>
    </w:p>
    <w:p>
      <w:pPr>
        <w:pStyle w:val="ListBullet"/>
        <w:spacing w:line="276" w:lineRule="auto" w:after="60"/>
      </w:pPr>
      <w:r>
        <w:t>Analizar el marco reglamentario procesal, contrastando la versión histórica 2018 con el flujo de trabajo vigente 2026, estandarizando los 6 estados del expediente, formularios (T01, T02, T03) y competencias institucionales.</w:t>
      </w:r>
    </w:p>
    <w:p>
      <w:pPr>
        <w:pStyle w:val="ListBullet"/>
        <w:spacing w:line="276" w:lineRule="auto" w:after="60"/>
      </w:pPr>
      <w:r>
        <w:t>Caracterizar el mapa global de procesos y detallar minuciosamente los procesos de negocio directamente afectados por la implementación del software.</w:t>
      </w:r>
    </w:p>
    <w:p>
      <w:pPr>
        <w:pStyle w:val="ListBullet"/>
        <w:spacing w:line="276" w:lineRule="auto" w:after="60"/>
      </w:pPr>
      <w:r>
        <w:t>Relevar el estado de los recursos informáticos, la infraestructura preexistente (servidor central, backend Python, MySQL, Google Sheets) y la modalidad operativa virtual del TD.</w:t>
      </w:r>
    </w:p>
    <w:p>
      <w:pPr>
        <w:pStyle w:val="ListBullet"/>
        <w:spacing w:line="276" w:lineRule="auto" w:after="60"/>
      </w:pPr>
      <w:r>
        <w:t>Identificar las problemáticas críticas que afectan la gestión disciplinaria actual y justificar las oportunidades de mejora tecnológica y organizacional que brindará el sistema SGD-AVEIT.</w:t>
      </w:r>
    </w:p>
    <w:p>
      <w:pPr>
        <w:pStyle w:val="ListBullet"/>
        <w:spacing w:line="276" w:lineRule="auto" w:after="60"/>
      </w:pPr>
      <w:r>
        <w:t>Servir como instrumento de alineación inicial entre el equipo de desarrollo, la cátedra y las autoridades de AVEIT.</w:t>
      </w:r>
    </w:p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3. DESCRIPCIÓN DEL ÁMBITO O CONTEXTO DE APLICACIÓN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3.1. Presentación de la Organización</w:t>
      </w:r>
    </w:p>
    <w:p>
      <w:pPr>
        <w:spacing w:line="276" w:lineRule="auto" w:after="80"/>
      </w:pPr>
      <w:r>
        <w:t>• Razón Social / Denominación Oficial: Asociación Vocacional de Estudiantes e Ingenieros Tecnológicos (A.V.E.I.T.)</w:t>
        <w:br/>
        <w:t>• Personería Jurídica: Asociación Civil sin fines de lucro vinculada a la comunidad de la UTN FRC.</w:t>
        <w:br/>
        <w:t>• Ubicación Física: Sede Social A.V.E.I.T., Predio UTN FRC – Ciudad Universitaria, Av. Cruz Roja Argentina esq. Maestro Marcelo López, Ciudad de Córdoba, Provincia de Córdoba, República Argentina.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3.2. Objetivo de la Organización</w:t>
      </w:r>
    </w:p>
    <w:p>
      <w:pPr>
        <w:spacing w:line="276" w:lineRule="auto" w:after="80"/>
      </w:pPr>
      <w:r>
        <w:t>La misión fundamental de A.V.E.I.T. es dotar a los estudiantes y graduados de ingeniería de la UTN FRC de herramientas, liderazgo y habilidades blandas (comunicación asertiva, resolución de conflictos, trabajo en equipo, oratoria, gestión de proyectos) que complementen su formación técnica tradicional. Como herramienta pedagógica central, la Asociación organiza un Viaje Técnico-Cultural de Estudios por Europa de tres meses de duración, visitando plantas industriales y centros científicos de vanguardia.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3.3. Reseña Histórica</w:t>
      </w:r>
    </w:p>
    <w:p>
      <w:pPr>
        <w:spacing w:line="276" w:lineRule="auto" w:after="80"/>
      </w:pPr>
      <w:r>
        <w:t>Fundada en 1965 por estudiantes de la UTN FRC, AVEIT nació bajo la convicción de complementar la formación universitaria mediante misiones de estudio internacionales autogestionadas. A lo largo de seis décadas y sucesivas reformas estatutarias (consolidando su última reforma en el Estatuto 2026), AVEIT ha formado a generaciones de ingenieros con alta vocación de servicio, mérito y responsabilidad asociativa.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3.4. Dimensionamiento</w:t>
      </w:r>
    </w:p>
    <w:p>
      <w:pPr>
        <w:spacing w:line="276" w:lineRule="auto" w:after="80"/>
      </w:pPr>
      <w:r>
        <w:t>• Padrón de Socios Activos: Aprox. 515 socios activos distribuidos en grupos de 1º a 6º año social.</w:t>
        <w:br/>
        <w:t>• Socios Pasivos: Varias decenas de socios pasivos y honorarios.</w:t>
        <w:br/>
        <w:t>• Estructura Directiva, de Control y Subcomisiones:</w:t>
        <w:br/>
        <w:t xml:space="preserve">  - Comisión Directiva: 7 miembros (Presidente, Vicepresidente, Tesorero, Protesorero, Secretario General, Prosecretario y Secretario de Actas).</w:t>
        <w:br/>
        <w:t xml:space="preserve">  - Tribunal de Disciplina: 6 miembros (3 titulares y 3 suplentes electos por Asamblea, de 4º, 5º y 6º año social).</w:t>
        <w:br/>
        <w:t xml:space="preserve">  - Comisión Revisora de Cuentas: 3 miembros.</w:t>
        <w:br/>
        <w:t xml:space="preserve">  - Subcomisiones Reglamentarias (7): Cómputos, Relaciones Institucionales, Organización y Eventos, Prensa y Difusión, Mantenimiento, Recursos Humanos, y Gestión Social y Ambiental.</w:t>
        <w:br/>
        <w:t>• Volumen Operativo: Decenas de expedientes anuales por faltas, justificaciones (T02/T03) y premios.</w:t>
        <w:br/>
        <w:t>• Situación de Balances Cuatrimestrales: Si bien el Art. 137 del Reglamento Interno exige dos balances cuatrimestrales de auditoría al año, actualmente no se están presentando por la excesiva carga manual. SGD-AVEIT automatizará su generación para asegurar su cumplimiento regular.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3.5. Marco Normativo, Políticas Institucionales y Evolución Procesal (2018 vs 2026)</w:t>
      </w:r>
    </w:p>
    <w:p>
      <w:pPr>
        <w:spacing w:line="276" w:lineRule="auto" w:after="80"/>
      </w:pPr>
      <w:r>
        <w:t>1. Dualidad Normativa: La versión 2018 es el último reglamento aprobado por Asamblea (esquema físico en papel), mientras que la versión 2026 refleja el flujo de trabajo real y digitalizado de la institución.</w:t>
        <w:br/>
        <w:t>2. Los 6 Estados Oficiales del Expediente (Art. 12 Reg. 2026): 1) Expediente Creado, 2) En período de justificaciones (5 días hábiles con T02/T03), 3) Justificaciones en revisión, 4) En espera de resolución, 5) Pendiente de firma y envío (firma de 4º, 5º y 6º año), y 6) Expedientes emitidos.</w:t>
        <w:br/>
        <w:t>3. Catálogo de Formularios: T01 (Solicitud de premio/sanción con Anexo formal por autoridades), T02 (Justificación tipificada con adjuntos) y T03 (Descargo extraordinario).</w:t>
        <w:br/>
        <w:t>4. Competencias de Inicio (Arts. 21-26): CD sobre socios/subcomisiones; Fiscalizadora sobre CD/Revisora/TD; Revisora sobre Tesorería; TD de oficio/rectificación; Subcomisiones sobre socios a su cargo.</w:t>
        <w:br/>
        <w:t>5. Escalas de Sanciones: Inasistencia a reunión obligatoria (1 pto neg), inasistencia a Asamblea (2 ptos neg), omisión de mantenimiento/limpieza (2 ptos neg), omisión de tareas asignadas por CD/delegadas (llamado de atención hasta 2 ptos neg), llegadas tarde (llamado de atención o 0.5 ptos neg).</w:t>
        <w:br/>
        <w:t>6. Límite Crítico: 10 o más puntos negativos acumulados implican pérdida automática de la condición de socio (Art. 93). Fallos de mayoría absoluta irrecurribles (Art. 96 Estatuto).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3.6. Mapa Global de Procesos de la Organización</w:t>
      </w:r>
    </w:p>
    <w:p>
      <w:pPr>
        <w:spacing w:line="276" w:lineRule="auto" w:after="80"/>
      </w:pPr>
      <w:r>
        <w:t>• Macroprocesos Estratégicos: Gestión de Gobierno y Asambleas, Planificación Directiva de Comisión Directiva (7 miembros), y Estrategia y Relaciones Institucionales del Viaje.</w:t>
        <w:br/>
        <w:t>• Macroprocesos Operativos / Misionales: Campaña y Admisión de Socios, Formación de Habilidades Blandas, Gestión Operativa de las 7 Subcomisiones, Logística del Viaje a Europa, y Eventos / Gran Rifa.</w:t>
        <w:br/>
        <w:t>• Macroprocesos de Soporte / Apoyo: Gestión del Tribunal de Disciplina y Premiaciones (foco SGD-AVEIT), Administración Financiera / Tesorería, Mantenimiento e Infraestructura, y Soporte Informático.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3.7. Descripción de Procesos de Negocio Afectados por la Propuesta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Proceso 1: Detección, Reporte y Registro de Infracción / Mérito (Formulario T01 + Anexo)</w:t>
      </w:r>
    </w:p>
    <w:p>
      <w:pPr>
        <w:spacing w:line="276" w:lineRule="auto" w:after="80"/>
      </w:pPr>
      <w:r>
        <w:t>Disparador: Cierre de evento con inasistencias en sistema, reporte de omisión de tareas asignadas (llamado de atención a -2 pts), falta de limpieza o propuesta de premio elevada por autoridad competente (según Arts. 21 a 26).</w:t>
        <w:br/>
        <w:t>Actividades: La autoridad ingresa la solicitud T01 con hoja de Anexo formal; el sistema valida competencias, tipifica la falta y genera el expediente unívoco con sellado de tiempo.</w:t>
        <w:br/>
        <w:t>Salida: Expediente en estado "Expediente Creado".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Proceso 2: Notificación Automática y Carga de Descargos (T02/T03 - 5 Días Hábiles)</w:t>
      </w:r>
    </w:p>
    <w:p>
      <w:pPr>
        <w:spacing w:line="276" w:lineRule="auto" w:after="80"/>
      </w:pPr>
      <w:r>
        <w:t>Disparador: Alta del expediente en sistema.</w:t>
        <w:br/>
        <w:t>Actividades: El sistema remite el acuse de sanción por correo e inicia el plazo preclusivo de 5 días hábiles. El socio ingresa al módulo "Mis Expedientes" desde su móvil o PC y completa el Formulario T02 (con certificados médicos/pasajes) o T03 (descargo extraordinario). El sistema valida la temporalidad e incorpora los adjuntos.</w:t>
        <w:br/>
        <w:t>Salida: Expediente en estado "Las justificaciones están siendo revisadas".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Proceso 3: Sustanciación, Análisis, Votación y Resolución del TD (Firma Colegiada)</w:t>
      </w:r>
    </w:p>
    <w:p>
      <w:pPr>
        <w:spacing w:line="276" w:lineRule="auto" w:after="80"/>
      </w:pPr>
      <w:r>
        <w:t>Disparador: Plazo de 5 días vencido o descargos presentados.</w:t>
        <w:br/>
        <w:t>Actividades: En sesión virtual o presencial, el TD verifica conflictos de interés (activando suplentes); analiza pruebas y jurisprudencia; emite votos fundados en la plataforma web; redacta la Resolución (Vistos, Considerandos y Resolución) y se formaliza la firma digital de al menos un miembro de cada grupo social (4º, 5º y 6º año).</w:t>
        <w:br/>
        <w:t>Salida: Expediente en estado "Pendiente de firma y envío" y posterior "Expedientes ya emitidos".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Proceso 4: Cómputo Transaccional, Publicación Transparente y Alertas de Límite</w:t>
      </w:r>
    </w:p>
    <w:p>
      <w:pPr>
        <w:spacing w:line="276" w:lineRule="auto" w:after="80"/>
      </w:pPr>
      <w:r>
        <w:t>Disparador: Firma colegiada completa de la Resolución.</w:t>
        <w:br/>
        <w:t>Actividades: El motor de reglas impacta la transacción en el saldo histórico de forma auditada (prohibición de UPDATE manual en DB MySQL). Se notifican las resoluciones y se publica en el panel transparente. Se evalúan alertas automáticas: Alerta Preventiva Amarilla (7 pts neg) y Alerta Crítica Roja de Pérdida Automática de Condición de Socio (10 pts neg).</w:t>
        <w:br/>
        <w:t>Salida: Saldo actualizado, publicación visible y alertas automáticas disparadas.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Proceso 5: Auditorías Internas Cuatrimestrales y Emisión de Balances Oficiales (Art. 137)</w:t>
      </w:r>
    </w:p>
    <w:p>
      <w:pPr>
        <w:spacing w:line="276" w:lineRule="auto" w:after="80"/>
      </w:pPr>
      <w:r>
        <w:t>Disparador: Fecha de corte cuatrimestral estatutaria.</w:t>
        <w:br/>
        <w:t>Actividades: Las autoridades seleccionan el período cuatrimestral en la plataforma web; el sistema compila instantáneamente el Informe y Balance Cuatrimestral de Premiaciones y Sanciones por subcomisión y grupo social; se exporta firmado digitalmente para Comisión Directiva y Asamblea.</w:t>
        <w:br/>
        <w:t>Salida: Balance Cuatrimestral de Disciplina oficial listo para su tratamiento institucional.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3.8. Recursos Informáticos Existentes y Modalidad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Servidor Central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Servidor físico/dedicado en la sede de AVEIT para alojamiento del sistema web institucional y servicios centrales.</w:t>
            </w:r>
          </w:p>
        </w:tc>
      </w:tr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Backend Institucional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Arquitectura backend desarrollada en Python que provee servicios web y lógica de negocio para módulos preexistentes.</w:t>
            </w:r>
          </w:p>
        </w:tc>
      </w:tr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Base de Datos Relacional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Motor MySQL centralizado con almacenamiento del padrón de socios y tablas institucionales.</w:t>
            </w:r>
          </w:p>
        </w:tc>
      </w:tr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Herramientas Actuales del TD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Múltiples hojas de cálculo en Google Sheets mantenidas de forma aislada para registrar asistencias, puntos y notas.</w:t>
            </w:r>
          </w:p>
        </w:tc>
      </w:tr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Modalidad de Trabajo del TD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Reuniones de deliberación y tratamiento de casos predominantemente virtuales, requiriendo una solución 100% Web y Responsive Mobile para operar desde smartphones y notebooks.</w:t>
            </w:r>
          </w:p>
        </w:tc>
      </w:tr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Equipamiento de Sede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Computadoras de escritorio en Administración y Sala de TD, impresoras láser en red y equipamiento multimedia.</w:t>
            </w:r>
          </w:p>
        </w:tc>
      </w:tr>
      <w:tr>
        <w:tc>
          <w:tcPr>
            <w:tcW w:type="dxa" w:w="3168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Conectividad y Comunicaciones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Acceso a internet y Wi-Fi provistos por la UTN FRC, cuentas institucionales de correo y plataformas de videoconferencia (Meet/Zoom/Discord).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3.9. Lay-Out Físico y Dinámica Operativa de la Organización</w:t>
      </w:r>
    </w:p>
    <w:p>
      <w:pPr>
        <w:spacing w:line="276" w:lineRule="auto" w:after="80"/>
      </w:pPr>
      <w:r>
        <w:t>La Sede Social de A.V.E.I.T. en el campus de UTN FRC dispone de cuatro sectores físicos (Aula de Estudio/Coworking para 35 personas, Sala de Reuniones de CD/TD para 12 personas con proyector, Oficina Administrativa con puestos informáticos y Rack de Servidor Python/MySQL, y Sala de Depósito/Archivo físico). No obstante, dado que las deliberaciones del Tribunal de Disciplina se desarrollan en modalidad virtual y remota, el sistema se diseñará como una plataforma 100% Web y Responsive Mobile.</w:t>
      </w:r>
    </w:p>
    <w:p>
      <w:pPr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4. PROBLEMAS Y OPORTUNIDADES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4.1. Problemas Detectados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1. Descentralización y Fragmentación de Datos: </w:t>
      </w:r>
      <w:r>
        <w:rPr>
          <w:rFonts w:ascii="Calibri" w:hAnsi="Calibri"/>
        </w:rPr>
        <w:t>Uso de múltiples planillas desconectadas en Google Sheets, generando duplicidad de registros y riesgo constante de inconsistencias o pérdida de información.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2. Opacidad y Falta de Transparencia Pública: </w:t>
      </w:r>
      <w:r>
        <w:rPr>
          <w:rFonts w:ascii="Calibri" w:hAnsi="Calibri"/>
        </w:rPr>
        <w:t>Limitaciones técnico-operativas del sistema actual que impiden que las resoluciones y justificaciones sean consultadas públicamente por los socios en tiempo real desde sus teléfonos o navegadores.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3. Modificación Directa y no Auditada en Base de Datos (UPDATE manual en MySQL): </w:t>
      </w:r>
      <w:r>
        <w:rPr>
          <w:rFonts w:ascii="Calibri" w:hAnsi="Calibri"/>
        </w:rPr>
        <w:t>Ante correcciones en el puntaje de un expediente, se realizan sentencias UPDATE directas en la base de datos MySQL sin registro de autor, fecha ni justificativo, vulnerando la seguridad y trazabilidad.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4. Carencia de un Registro Unificado de Jurisprudencia y Criterios: </w:t>
      </w:r>
      <w:r>
        <w:rPr>
          <w:rFonts w:ascii="Calibri" w:hAnsi="Calibri"/>
        </w:rPr>
        <w:t>Falta de un repositorio histórico categorizado de resoluciones previas, lo que dificulta al TD consultar antecedentes para graduar penas o premios con uniformidad y equidad.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5. Canales Informales y Desfasajes de Comunicación Interorgánica (CD - 7 Subcomisiones - TD): </w:t>
      </w:r>
      <w:r>
        <w:rPr>
          <w:rFonts w:ascii="Calibri" w:hAnsi="Calibri"/>
        </w:rPr>
        <w:t>Comunicación dispersa de inasistencias o faltas por omisión de tareas asignadas (sancionables hasta con -2 pts) a través de chats o correos informales, provocando demoras y descontrol.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6. Control Manual e Impreciso de Plazos Reglamentarios Preclusivos (5 Días Hábiles): </w:t>
      </w:r>
      <w:r>
        <w:rPr>
          <w:rFonts w:ascii="Calibri" w:hAnsi="Calibri"/>
        </w:rPr>
        <w:t>Cómputo manual del plazo de 5 días hábiles para presentar formularios T02/T03 tras el acuse de sanción, careciendo de sellado de tiempo fehaciente.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7. Riesgo de Error Humano en el Cómputo y Falta de Alertas de Límite Sancionatorio: </w:t>
      </w:r>
      <w:r>
        <w:rPr>
          <w:rFonts w:ascii="Calibri" w:hAnsi="Calibri"/>
        </w:rPr>
        <w:t>Cálculo manual del saldo neto de puntos acumulados, con riesgo de omisión en la detección oportuna de socios que alcanzan los 10 puntos negativos (pérdida automática de condición de socio).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8. Omisión en la Confección y Presentación de Balances Cuatrimestrales (Art. 137): </w:t>
      </w:r>
      <w:r>
        <w:rPr>
          <w:rFonts w:ascii="Calibri" w:hAnsi="Calibri"/>
        </w:rPr>
        <w:t>Debido a la enorme complejidad de consolidar a mano decenas de planillas, actualmente el TD no logra emitir los balances cuatrimestrales exigidos por el marco reglamentario, limitando la rendición de cuentas ante CD y Asambleas.</w:t>
      </w:r>
    </w:p>
    <w:p>
      <w:pPr>
        <w:spacing w:line="276" w:lineRule="auto" w:after="80"/>
      </w:pPr>
      <w:r>
        <w:rPr>
          <w:rFonts w:ascii="Calibri" w:hAnsi="Calibri"/>
          <w:b/>
          <w:color w:val="003366"/>
        </w:rPr>
        <w:t xml:space="preserve">• 9. Falta de Soporte para la Modalidad de Trabajo Remoto / Mobile del TD y la Firma Colegiada: </w:t>
      </w:r>
      <w:r>
        <w:rPr>
          <w:rFonts w:ascii="Calibri" w:hAnsi="Calibri"/>
        </w:rPr>
        <w:t>Las deliberaciones del TD son predominantemente virtuales; la falta de una herramienta web responsive dificulta la votación estructurada, la firma colegiada de 4º, 5º y 6º año social y la emisión ágil de fallos.</w:t>
      </w:r>
    </w:p>
    <w:p>
      <w:pPr>
        <w:keepNext/>
        <w:spacing w:before="280" w:after="120"/>
      </w:pPr>
      <w:r>
        <w:rPr>
          <w:rFonts w:ascii="Calibri" w:hAnsi="Calibri"/>
          <w:b/>
          <w:color w:val="2980B9"/>
          <w:sz w:val="26"/>
        </w:rPr>
        <w:t>4.2. Oportunidades de Mejora y Beneficios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1. Integración Completa al Ecosistema AVEIT con Base de Datos MySQL Centralizada: </w:t>
      </w:r>
      <w:r>
        <w:rPr>
          <w:rFonts w:ascii="Calibri" w:hAnsi="Calibri"/>
        </w:rPr>
        <w:t>Centralización total de las actuaciones disciplinarias en la base de datos MySQL conectada al backend Python, con integridad referencial y respaldos automáticos.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2. Portal de Transparencia y Consulta Pública 100% Web y Responsive Mobile: </w:t>
      </w:r>
      <w:r>
        <w:rPr>
          <w:rFonts w:ascii="Calibri" w:hAnsi="Calibri"/>
        </w:rPr>
        <w:t>Acceso autónomo y adaptativo para que todos los socios consulten resoluciones publicadas, fundamentos y su estado de puntos desde smartphones, tablets o PC en el módulo "Mis Expedientes".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3. Trazabilidad Absoluta y Pistas de Auditoría en Modificaciones: </w:t>
      </w:r>
      <w:r>
        <w:rPr>
          <w:rFonts w:ascii="Calibri" w:hAnsi="Calibri"/>
        </w:rPr>
        <w:t>Eliminación definitiva de modificaciones directas en MySQL. Cualquier ajuste de puntos requerirá un flujo auditado con justificación y firma digital.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4. Repositorio de Precedentes y Catálogo de Graduación Homogénea: </w:t>
      </w:r>
      <w:r>
        <w:rPr>
          <w:rFonts w:ascii="Calibri" w:hAnsi="Calibri"/>
        </w:rPr>
        <w:t>Motor de búsqueda de antecedentes disciplinarios y clasificador según el Reglamento 2026 y la Circular 001/2026 para asegurar fallos justos y homogéneos.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5. Digitalización Integral de Formularios Oficiales (T01, T02 y T03): </w:t>
      </w:r>
      <w:r>
        <w:rPr>
          <w:rFonts w:ascii="Calibri" w:hAnsi="Calibri"/>
        </w:rPr>
        <w:t>Habilitación de módulos específicos para la carga digital de solicitudes T01 (con Anexo) por autoridades, justificaciones T02 tipificadas con adjuntos y descargos extraordinarios T03, eliminando el soporte en papel.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6. Motor Automatizado de Control de Plazos y Notificaciones: </w:t>
      </w:r>
      <w:r>
        <w:rPr>
          <w:rFonts w:ascii="Calibri" w:hAnsi="Calibri"/>
        </w:rPr>
        <w:t>Temporizadores de cálculo de plazos preclusivos de 5 días hábiles para justificaciones y notificaciones electrónicas automáticas con sellado de tiempo fehaciente.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7. Cómputo Transaccional y Sistema de Alarmas Escalonadas: </w:t>
      </w:r>
      <w:r>
        <w:rPr>
          <w:rFonts w:ascii="Calibri" w:hAnsi="Calibri"/>
        </w:rPr>
        <w:t>Actualización inmediata del saldo de puntos y disparo automático de alertas (Alerta Preventiva a los 7 puntos negativos y Alerta Roja a los 10 puntos negativos hacia el socio, CD y Comisión Fiscalizadora).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8. Generación Instantánea de Balances Cuatrimestrales y Reportes (Art. 137): </w:t>
      </w:r>
      <w:r>
        <w:rPr>
          <w:rFonts w:ascii="Calibri" w:hAnsi="Calibri"/>
        </w:rPr>
        <w:t>Emisión con un solo clic de los Balances e Informes de Auditoría Cuatrimestral en formato ejecutivo para Asambleas Ordinarias y CD, permitiendo al TD cumplir sin esfuerzo con el marco normativo.</w:t>
      </w:r>
    </w:p>
    <w:p>
      <w:pPr>
        <w:spacing w:line="276" w:lineRule="auto" w:after="80"/>
      </w:pPr>
      <w:r>
        <w:rPr>
          <w:rFonts w:ascii="Calibri" w:hAnsi="Calibri"/>
          <w:b/>
          <w:color w:val="2980B9"/>
        </w:rPr>
        <w:t xml:space="preserve">• 9. Soporte Pleno para Deliberación, Firma Colegiada Intergeneracional y Dictamen Remoto: </w:t>
      </w:r>
      <w:r>
        <w:rPr>
          <w:rFonts w:ascii="Calibri" w:hAnsi="Calibri"/>
        </w:rPr>
        <w:t>Herramientas integradas en la plataforma web que permiten a las integrantes del TD conectarse desde sus dispositivos móviles durante reuniones virtuales, emitir votos nominales fundados, registrar firmas de 4º, 5º y 6º año y promulgar resoluciones inmediatas.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