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[Document series or category]  ·  [Date] · [Distribution]</w:t>
      </w:r>
    </w:p>
    <w:p>
      <w:pPr>
        <w:pStyle w:val="Title"/>
      </w:pPr>
      <w:r>
        <w:t>[Headline stating the conclusion, not the topic]</w:t>
      </w:r>
    </w:p>
    <w:p>
      <w:pPr>
        <w:pStyle w:val="Quote"/>
        <w:pBdr>
          <w:left w:val="single" w:sz="24" w:space="8" w:color="2C5FD1"/>
        </w:pBdr>
        <w:shd w:val="clear" w:color="auto" w:fill="EEF2FC"/>
        <w:spacing w:before="80" w:after="80"/>
        <w:ind w:left="170"/>
      </w:pPr>
      <w:r>
        <w:rPr>
          <w:b/>
          <w:color w:val="2C5FD1"/>
          <w:sz w:val="21"/>
        </w:rPr>
        <w:t xml:space="preserve">Bottom line:  </w:t>
      </w:r>
      <w:r>
        <w:rPr>
          <w:sz w:val="23"/>
        </w:rPr>
        <w:t>One to three sentences: the actual takeaway, stated plainly, and what it implies for the reader.</w:t>
      </w:r>
    </w:p>
    <w:p>
      <w:r>
        <w:t>[Supporting paragraph. Explain the reasoning or evidence behind the bottom line — what changed, why it matters, what’s uncertain.]</w:t>
      </w:r>
    </w:p>
    <w:p>
      <w:r>
        <w:t>[Second paragraph if needed. Keep paragraphs short; this style favors prose over bullet lists for analysis.]</w:t>
      </w:r>
    </w:p>
    <w:p>
      <w:pPr>
        <w:pStyle w:val="Heading1"/>
      </w:pPr>
      <w:r>
        <w:t>[Section name]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[Item or signal]</w:t>
            </w:r>
          </w:p>
        </w:tc>
        <w:tc>
          <w:tcPr>
            <w:tcW w:type="dxa" w:w="3173"/>
          </w:tcPr>
          <w:p>
            <w:r>
              <w:t>Confidence</w:t>
            </w:r>
          </w:p>
        </w:tc>
        <w:tc>
          <w:tcPr>
            <w:tcW w:type="dxa" w:w="3173"/>
          </w:tcPr>
          <w:p>
            <w:r>
              <w:t>[Recommended action]</w:t>
            </w:r>
          </w:p>
        </w:tc>
      </w:tr>
      <w:tr>
        <w:tc>
          <w:tcPr>
            <w:tcW w:type="dxa" w:w="3173"/>
          </w:tcPr>
          <w:p>
            <w:r>
              <w:t>[Item or signal]</w:t>
            </w:r>
          </w:p>
        </w:tc>
        <w:tc>
          <w:tcPr>
            <w:tcW w:type="dxa" w:w="3173"/>
          </w:tcPr>
          <w:p>
            <w:r>
              <w:t>High</w:t>
            </w:r>
          </w:p>
        </w:tc>
        <w:tc>
          <w:tcPr>
            <w:tcW w:type="dxa" w:w="3173"/>
          </w:tcPr>
          <w:p>
            <w:r>
              <w:t>[Recommended action]</w:t>
            </w:r>
          </w:p>
        </w:tc>
      </w:tr>
      <w:tr>
        <w:tc>
          <w:tcPr>
            <w:tcW w:type="dxa" w:w="3173"/>
          </w:tcPr>
          <w:p>
            <w:r>
              <w:t>[Item or signal]</w:t>
            </w:r>
          </w:p>
        </w:tc>
        <w:tc>
          <w:tcPr>
            <w:tcW w:type="dxa" w:w="3173"/>
          </w:tcPr>
          <w:p>
            <w:r>
              <w:t>Medium</w:t>
            </w:r>
          </w:p>
        </w:tc>
        <w:tc>
          <w:tcPr>
            <w:tcW w:type="dxa" w:w="3173"/>
          </w:tcPr>
          <w:p>
            <w:r>
              <w:t>[Recommended action]</w:t>
            </w:r>
          </w:p>
        </w:tc>
      </w:tr>
      <w:tr>
        <w:tc>
          <w:tcPr>
            <w:tcW w:type="dxa" w:w="3173"/>
          </w:tcPr>
          <w:p>
            <w:r>
              <w:t>[Item or signal]</w:t>
            </w:r>
          </w:p>
        </w:tc>
        <w:tc>
          <w:tcPr>
            <w:tcW w:type="dxa" w:w="3173"/>
          </w:tcPr>
          <w:p>
            <w:r>
              <w:t>Low</w:t>
            </w:r>
          </w:p>
        </w:tc>
        <w:tc>
          <w:tcPr>
            <w:tcW w:type="dxa" w:w="3173"/>
          </w:tcPr>
          <w:p>
            <w:r>
              <w:t>[Recommended action]</w:t>
            </w:r>
          </w:p>
        </w:tc>
      </w:tr>
    </w:tbl>
    <w:p/>
    <w:p>
      <w:pPr>
        <w:pStyle w:val="Caption"/>
      </w:pPr>
      <w:r>
        <w:t>Prepared by M. Nystrom — [Practice / team] · Distribution: [Internal/External] · v1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200"/>
    </w:pPr>
    <w:rPr>
      <w:rFonts w:ascii="IBM Plex Sans" w:hAnsi="IBM Plex Sans" w:eastAsia="IBM Plex Sans" w:cs="IBM Plex Sans"/>
      <w:b w:val="0"/>
      <w:color w:val="1218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IBM Plex Sans" w:hAnsi="IBM Plex Sans" w:eastAsia="IBM Plex Sans" w:cs="IBM Plex Sans"/>
      <w:b/>
      <w:bCs/>
      <w:color w:val="1218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IBM Plex Sans" w:hAnsi="IBM Plex Sans" w:eastAsia="IBM Plex Sans" w:cs="IBM Plex Sans"/>
      <w:b/>
      <w:bCs/>
      <w:color w:val="1218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76" w:lineRule="auto"/>
      <w:contextualSpacing/>
    </w:pPr>
    <w:rPr>
      <w:rFonts w:asciiTheme="majorHAnsi" w:eastAsiaTheme="majorEastAsia" w:hAnsiTheme="majorHAnsi" w:cstheme="majorBidi" w:ascii="IBM Plex Sans" w:hAnsi="IBM Plex Sans" w:eastAsia="IBM Plex Sans" w:cs="IBM Plex Sans"/>
      <w:b/>
      <w:color w:val="1218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IBM Plex Sans" w:hAnsi="IBM Plex Sans" w:eastAsia="IBM Plex Sans" w:cs="IBM Plex Sans"/>
      <w:b w:val="0"/>
      <w:i/>
      <w:iCs/>
      <w:color w:val="2C5FD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IBM Plex Sans" w:hAnsi="IBM Plex Sans" w:eastAsia="IBM Plex Sans" w:cs="IBM Plex Sans"/>
      <w:b w:val="0"/>
      <w:i w:val="0"/>
      <w:iCs/>
      <w:color w:val="12181F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BM Plex Sans" w:hAnsi="IBM Plex Sans" w:eastAsia="IBM Plex Sans" w:cs="IBM Plex Sans"/>
      <w:b w:val="0"/>
      <w:bCs/>
      <w:color w:val="5762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IBM Plex Sans" w:hAnsi="IBM Plex Sans" w:eastAsia="IBM Plex Sans" w:cs="IBM Plex Sans"/>
      <w:b w:val="0"/>
      <w:color w:val="12181F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