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spacing w:line="480"/>
      </w:pPr>
    </w:p>
    <w:p>
      <w:pPr>
        <w:spacing w:line="480"/>
        <w:jc w:val="center"/>
      </w:pPr>
      <w:r>
        <w:rPr>
          <w:b/>
          <w:bCs/>
        </w:rPr>
        <w:t xml:space="preserve">Selección del Conjunto de Datos para el Proyecto Integrador</w:t>
      </w:r>
    </w:p>
    <w:p>
      <w:pPr>
        <w:spacing w:line="480"/>
        <w:jc w:val="center"/>
      </w:pPr>
      <w:r>
        <w:rPr>
          <w:b/>
          <w:bCs/>
        </w:rPr>
        <w:t xml:space="preserve">Proyecto Integrador METABRIC: Fase 1, Actividad 1</w:t>
      </w:r>
    </w:p>
    <w:p>
      <w:pPr>
        <w:spacing w:line="480"/>
      </w:pPr>
    </w:p>
    <w:p>
      <w:pPr>
        <w:spacing w:line="480"/>
        <w:jc w:val="center"/>
      </w:pPr>
      <w:r>
        <w:t xml:space="preserve">Martín Gracia Socha</w:t>
      </w:r>
    </w:p>
    <w:p>
      <w:pPr>
        <w:spacing w:line="480"/>
        <w:jc w:val="center"/>
      </w:pPr>
      <w:r>
        <w:t xml:space="preserve">Facultad de Ingeniería, Universidad de La Salle</w:t>
      </w:r>
    </w:p>
    <w:p>
      <w:pPr>
        <w:spacing w:line="480"/>
        <w:jc w:val="center"/>
      </w:pPr>
      <w:r>
        <w:t xml:space="preserve">Ciencia de Datos (2026-2): Maestría en Inteligencia Artificial</w:t>
      </w:r>
    </w:p>
    <w:p>
      <w:pPr>
        <w:spacing w:line="480"/>
        <w:jc w:val="center"/>
      </w:pPr>
      <w:r>
        <w:t xml:space="preserve">Fabián Camilo Castro Riveros</w:t>
      </w:r>
    </w:p>
    <w:p>
      <w:pPr>
        <w:spacing w:line="480"/>
        <w:jc w:val="center"/>
      </w:pPr>
      <w:r>
        <w:t xml:space="preserve">25 de octubre de 2026</w:t>
      </w:r>
    </w:p>
    <w:p>
      <w:pPr>
        <w:spacing w:line="480"/>
      </w:pPr>
    </w:p>
    <w:tbl>
      <w:tblPr>
        <w:tblW w:type="dxa" w:w="9360"/>
        <w:tblBorders>
          <w:top w:val="single" w:color="147089" w:sz="6"/>
          <w:left w:val="single" w:color="147089" w:sz="6"/>
          <w:bottom w:val="single" w:color="147089" w:sz="6"/>
          <w:right w:val="single" w:color="147089" w:sz="6"/>
          <w:insideH w:val="none" w:color="FFFFFF" w:sz="0"/>
          <w:insideV w:val="none" w:color="FFFFFF" w:sz="0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E2841"/>
                <w:sz w:val="20"/>
                <w:szCs w:val="20"/>
              </w:rPr>
              <w:t xml:space="preserve">Archivos ejecutables y recursos de esta entrega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Repositorio del proyecto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lyyv-x5jnisufsnbncpc_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Datos originales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oezzy8o5oqaan8ypadnqx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https://github.com/MartinGia/metabric-proyecto-integrador/tree/main/data/raw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Evidencia de la licencia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v-trtfdbktngttfff5ijc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https://github.com/MartinGia/metabric-proyecto-integrador/tree/main/docs/evidencias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Cuaderno 01 (GitHub)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px4mpgblhrrobdwkglgkz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https://github.com/MartinGia/metabric-proyecto-integrador/blob/main/notebooks/01_EDA_Fase1.ipynb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Cuaderno 01 (Colab)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7og6ibncofz4ts6chjeqk">
              <w:r>
                <w:rPr>
                  <w:rStyle w:val="Hyperlink"/>
                  <w:sz w:val="20"/>
                  <w:szCs w:val="20"/>
                </w:rPr>
                <w:t xml:space="preserve">https://colab.research.google.com/github/MartinGia/metabric-proyecto-integrador/blob/main/notebooks/01_EDA_Fase1.ipynb</w:t>
              </w:r>
            </w:hyperlink>
          </w:p>
        </w:tc>
      </w:tr>
    </w:tbl>
    <w:p>
      <w:r>
        <w:br w:type="page"/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Modalidad de trabajo</w:t>
      </w:r>
    </w:p>
    <w:p>
      <w:pPr>
        <w:spacing w:after="0" w:before="0" w:line="480"/>
        <w:ind w:firstLine="720"/>
        <w:jc w:val="left"/>
      </w:pPr>
      <w:r>
        <w:t xml:space="preserve">El proyecto integrador se desarrollará de manera </w:t>
      </w:r>
      <w:r>
        <w:rPr>
          <w:b/>
          <w:bCs/>
        </w:rPr>
        <w:t xml:space="preserve">individual</w:t>
      </w:r>
      <w:r>
        <w:t xml:space="preserve">. El estudiante asume todas las fases del ciclo de vida del proyecto: planteamiento y EDA, preprocesamiento y modelo base, modelado avanzado y comunicación de resultados.</w:t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Conjunto de datos seleccionado</w:t>
      </w:r>
    </w:p>
    <w:p>
      <w:pPr>
        <w:keepNext/>
        <w:spacing w:before="240" w:line="480"/>
      </w:pPr>
      <w:r>
        <w:rPr>
          <w:b/>
          <w:bCs/>
        </w:rPr>
        <w:t xml:space="preserve">Tabla 1</w:t>
      </w:r>
    </w:p>
    <w:p>
      <w:pPr>
        <w:keepNext/>
        <w:spacing w:line="480"/>
      </w:pPr>
      <w:r>
        <w:rPr>
          <w:i/>
          <w:iCs/>
        </w:rPr>
        <w:t xml:space="preserve">Ficha técnica del conjunto de datos seleccionado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</w:t>
            </w:r>
          </w:p>
        </w:tc>
        <w:tc>
          <w:tcPr>
            <w:tcW w:type="dxa" w:w="72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Breast Cancer Gene Expression Profiles (METABRIC)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Kaggle Datasets (repositorio permitido por la guía)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URL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https://www.kaggle.com/datasets/raghadalharbi/breast-cancer-gene-expression-profiles-metabric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Fuente primaria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cBioPortal for Cancer Genomics, estudio METABRIC (brca_metabric)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Licencia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Database License (ODbL) para la base de datos y Database Contents License (DbCL) v1.0 para los contenidos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 de extracción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 de octubre de 2026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Tamaño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1.904 registros (pacientes) × 693 variables; archivo CSV de 8,4 MB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Contenido</w:t>
            </w:r>
          </w:p>
        </w:tc>
        <w:tc>
          <w:tcPr>
            <w:tcW w:type="dxa" w:w="72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 variables clínicas, z-scores de expresión de ARNm de 489 genes y estado mutacional de 173 genes</w:t>
            </w:r>
          </w:p>
        </w:tc>
      </w:tr>
    </w:tbl>
    <w:p>
      <w:pPr>
        <w:spacing w:after="240" w:line="240"/>
      </w:pP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Justificación</w:t>
      </w:r>
    </w:p>
    <w:p>
      <w:pPr>
        <w:spacing w:after="0" w:before="0" w:line="480"/>
        <w:ind w:firstLine="720"/>
        <w:jc w:val="left"/>
      </w:pPr>
      <w:r>
        <w:t xml:space="preserve">Se eligió un conjunto de datos de </w:t>
      </w:r>
      <w:r>
        <w:rPr>
          <w:b/>
          <w:bCs/>
        </w:rPr>
        <w:t xml:space="preserve">bioinformática médica</w:t>
      </w:r>
      <w:r>
        <w:t xml:space="preserve">, en el área de la genómica del cáncer de mama. METABRIC (Molecular Taxonomy of Breast Cancer International Consortium) es una cohorte de referencia en oncología que integra información clínico-patológica con perfiles de expresión génica y mutaciones del tumor primario (Curtis et al., 2012; Pereira et al., 2016). Su elección se apoya en tres razones: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b/>
          <w:bCs/>
        </w:rPr>
        <w:t xml:space="preserve">Relevancia del problema:</w:t>
      </w:r>
      <w:r>
        <w:t xml:space="preserve"> el cáncer de mama es molecularmente heterogéneo, y estimar el pronóstico y el subtipo molecular de cada paciente es una necesidad clínica real.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b/>
          <w:bCs/>
        </w:rPr>
        <w:t xml:space="preserve">Versatilidad analítica:</w:t>
      </w:r>
      <w:r>
        <w:t xml:space="preserve"> el mismo conjunto permite plantear de forma natural los tres problemas que exige la guía (regresión, clasificación y clustering).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b/>
          <w:bCs/>
        </w:rPr>
        <w:t xml:space="preserve">Riqueza para el EDA:</w:t>
      </w:r>
      <w:r>
        <w:t xml:space="preserve"> combina tipos de variables, presenta datos faltantes reales, valores atípicos e incoherencias que justifican un preprocesamiento riguroso.</w:t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Verificación de los requisitos de la guía</w:t>
      </w:r>
    </w:p>
    <w:p>
      <w:pPr>
        <w:keepNext/>
        <w:spacing w:before="240" w:line="480"/>
      </w:pPr>
      <w:r>
        <w:rPr>
          <w:b/>
          <w:bCs/>
        </w:rPr>
        <w:t xml:space="preserve">Tabla 2</w:t>
      </w:r>
    </w:p>
    <w:p>
      <w:pPr>
        <w:keepNext/>
        <w:spacing w:line="480"/>
      </w:pPr>
      <w:r>
        <w:rPr>
          <w:i/>
          <w:iCs/>
        </w:rPr>
        <w:t xml:space="preserve">Verificación de los requisitos de la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160"/>
        <w:gridCol w:w="900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</w:t>
            </w:r>
          </w:p>
        </w:tc>
        <w:tc>
          <w:tcPr>
            <w:tcW w:type="dxa" w:w="51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METABRIC</w:t>
            </w:r>
          </w:p>
        </w:tc>
        <w:tc>
          <w:tcPr>
            <w:tcW w:type="dxa" w:w="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 público con licencia libre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Kaggle, ODbL/DbCL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es un dataset didáctico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reales de un consorcio de investigación (Curtis et al., 2012)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Mínimo 600 registros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1.904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Mínimo 5 variables de distintos tipos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693: cuantitativas continuas y discretas, cualitativas nominales y ordinales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Variable continua para regresión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nottingham_prognostic_index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Variable categórica para clasificación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pam50_+_claudin-low_subtype (6 clases)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Varias cuantitativas para clustering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489 z-scores de expresión génica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</w:tbl>
    <w:p>
      <w:pPr>
        <w:spacing w:after="240" w:line="240"/>
      </w:pP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Variables objetivo propuestas</w:t>
      </w:r>
    </w:p>
    <w:p>
      <w:pPr>
        <w:keepNext/>
        <w:spacing w:before="240" w:line="480"/>
      </w:pPr>
      <w:r>
        <w:rPr>
          <w:b/>
          <w:bCs/>
        </w:rPr>
        <w:t xml:space="preserve">Tabla 3</w:t>
      </w:r>
    </w:p>
    <w:p>
      <w:pPr>
        <w:keepNext/>
        <w:spacing w:line="480"/>
      </w:pPr>
      <w:r>
        <w:rPr>
          <w:i/>
          <w:iCs/>
        </w:rPr>
        <w:t xml:space="preserve">Variables objetivo propuestas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700"/>
        <w:gridCol w:w="396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3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Regresión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nottingham_prognostic_index (NPI)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Cuantitativa continua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Índice pronóstico clínico (Haybittle et al., 1982). Se estimará sin usar sus componentes (tamaño tumoral, ganglios positivos y grado) para evitar fuga de información.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pam50_+_claudin-low_subtype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Cualitativa nominal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Subtipo molecular intrínseco (Parker et al., 2009) con implicaciones terapéuticas directas.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Clustering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Expresión de 489 genes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Cuantitativas continuas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Permite descubrir grupos de pacientes y contrastarlos con los subtipos PAM50 conocidos.</w:t>
            </w:r>
          </w:p>
        </w:tc>
      </w:tr>
    </w:tbl>
    <w:p>
      <w:pPr>
        <w:spacing w:after="240" w:line="240"/>
      </w:pP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Siguiente paso</w:t>
      </w:r>
    </w:p>
    <w:p>
      <w:pPr>
        <w:spacing w:after="0" w:before="0" w:line="480"/>
        <w:ind w:firstLine="720"/>
        <w:jc w:val="left"/>
      </w:pPr>
      <w:r>
        <w:t xml:space="preserve">Con el conjunto de datos definido, el Entregable 1 (actividad 2, 1 de noviembre de 2026) presentará el planteamiento del problema, los objetivos SMART, la ficha técnica con el diccionario de datos y el análisis exploratorio completo. El código se organiza en un repositorio con la estructura /data, /notebooks, /src y /dashboard.</w:t>
      </w:r>
    </w:p>
    <w:p>
      <w:r>
        <w:br w:type="page"/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Referencias</w:t>
      </w:r>
    </w:p>
    <w:p>
      <w:pPr>
        <w:spacing w:line="480"/>
        <w:ind w:left="720" w:hanging="720"/>
      </w:pPr>
      <w:r>
        <w:t xml:space="preserve">Alharbi, R. (2020). </w:t>
      </w:r>
      <w:r>
        <w:rPr>
          <w:i/>
          <w:iCs/>
        </w:rPr>
        <w:t xml:space="preserve">Breast cancer gene expression profiles (METABRIC)</w:t>
      </w:r>
      <w:r>
        <w:t xml:space="preserve"> [Conjunto de datos]. Kaggle. </w:t>
      </w:r>
      <w:hyperlink w:history="1" r:id="rIdxr6pvp8dxwjq3i8wxeuhk">
        <w:r>
          <w:rPr>
            <w:rStyle w:val="Hyperlink"/>
          </w:rPr>
          <w:t xml:space="preserve">https://www.kaggle.com/datasets/raghadalharbi/breast-cancer-gene-expression-profiles-metabric</w:t>
        </w:r>
      </w:hyperlink>
    </w:p>
    <w:p>
      <w:pPr>
        <w:spacing w:line="480"/>
        <w:ind w:left="720" w:hanging="720"/>
      </w:pPr>
      <w:r>
        <w:t xml:space="preserve">Cerami, E., Gao, J., Dogrusoz, U., Gross, B. E., Sumer, S. O., Aksoy, B. A., Jacobsen, A., Byrne, C. J., Heuer, M. L., Larsson, E., Antipin, Y., Reva, B., Goldberg, A. P., Sander, C. y Schultz, N. (2012). The cBio cancer genomics portal: An open platform for exploring multidimensional cancer genomics data. </w:t>
      </w:r>
      <w:r>
        <w:rPr>
          <w:i/>
          <w:iCs/>
        </w:rPr>
        <w:t xml:space="preserve">Cancer Discovery, 2</w:t>
      </w:r>
      <w:r>
        <w:t xml:space="preserve">(5), 401–404. </w:t>
      </w:r>
      <w:hyperlink w:history="1" r:id="rId8vhjowf79xqci6e5np7_v">
        <w:r>
          <w:rPr>
            <w:rStyle w:val="Hyperlink"/>
          </w:rPr>
          <w:t xml:space="preserve">https://doi.org/10.1158/2159-8290.CD-12-0095</w:t>
        </w:r>
      </w:hyperlink>
    </w:p>
    <w:p>
      <w:pPr>
        <w:spacing w:line="480"/>
        <w:ind w:left="720" w:hanging="720"/>
      </w:pPr>
      <w:r>
        <w:t xml:space="preserve">Curtis, C., Shah, S. P., Chin, S.-F., Turashvili, G., Rueda, O. M., Dunning, M. J., Speed, D., Lynch, A. G., Samarajiwa, S., Yuan, Y., Gräf, S., Ha, G., Haffari, G., Bashashati, A., Russell, R., McKinney, S., METABRIC Group, Langerød, A., Green, A., … Aparicio, S. (2012). The genomic and transcriptomic architecture of 2,000 breast tumours reveals novel subgroups. </w:t>
      </w:r>
      <w:r>
        <w:rPr>
          <w:i/>
          <w:iCs/>
        </w:rPr>
        <w:t xml:space="preserve">Nature, 486</w:t>
      </w:r>
      <w:r>
        <w:t xml:space="preserve">(7403), 346–352. </w:t>
      </w:r>
      <w:hyperlink w:history="1" r:id="rIdxfunlbhjbitvmsc5mwul2">
        <w:r>
          <w:rPr>
            <w:rStyle w:val="Hyperlink"/>
          </w:rPr>
          <w:t xml:space="preserve">https://doi.org/10.1038/nature10983</w:t>
        </w:r>
      </w:hyperlink>
    </w:p>
    <w:p>
      <w:pPr>
        <w:spacing w:line="480"/>
        <w:ind w:left="720" w:hanging="720"/>
      </w:pPr>
      <w:r>
        <w:t xml:space="preserve">Haybittle, J. L., Blamey, R. W., Elston, C. W., Johnson, J., Doyle, P. J., Campbell, F. C., Nicholson, R. I. y Griffiths, K. (1982). A prognostic index in primary breast cancer. </w:t>
      </w:r>
      <w:r>
        <w:rPr>
          <w:i/>
          <w:iCs/>
        </w:rPr>
        <w:t xml:space="preserve">British Journal of Cancer, 45</w:t>
      </w:r>
      <w:r>
        <w:t xml:space="preserve">(3), 361–366. </w:t>
      </w:r>
      <w:hyperlink w:history="1" r:id="rIdjdgcg8-nt90ta4f8qzf6n">
        <w:r>
          <w:rPr>
            <w:rStyle w:val="Hyperlink"/>
          </w:rPr>
          <w:t xml:space="preserve">https://doi.org/10.1038/bjc.1982.62</w:t>
        </w:r>
      </w:hyperlink>
    </w:p>
    <w:p>
      <w:pPr>
        <w:spacing w:line="480"/>
        <w:ind w:left="720" w:hanging="720"/>
      </w:pPr>
      <w:r>
        <w:t xml:space="preserve">Parker, J. S., Mullins, M., Cheang, M. C. U., Leung, S., Voduc, D., Vickery, T., Davies, S., Fauron, C., He, X., Hu, Z., Quackenbush, J. F., Stijleman, I. J., Palazzo, J., Marron, J. S., Nobel, A. B., Mardis, E., Nielsen, T. O., Ellis, M. J., Perou, C. M. y Bernard, P. S. (2009). Supervised risk predictor of breast cancer based on intrinsic subtypes. </w:t>
      </w:r>
      <w:r>
        <w:rPr>
          <w:i/>
          <w:iCs/>
        </w:rPr>
        <w:t xml:space="preserve">Journal of Clinical Oncology, 27</w:t>
      </w:r>
      <w:r>
        <w:t xml:space="preserve">(8), 1160–1167. </w:t>
      </w:r>
      <w:hyperlink w:history="1" r:id="rIdeli8mub0jvoja4eo1ceeh">
        <w:r>
          <w:rPr>
            <w:rStyle w:val="Hyperlink"/>
          </w:rPr>
          <w:t xml:space="preserve">https://doi.org/10.1200/JCO.2008.18.8370</w:t>
        </w:r>
      </w:hyperlink>
    </w:p>
    <w:p>
      <w:pPr>
        <w:spacing w:line="480"/>
        <w:ind w:left="720" w:hanging="720"/>
      </w:pPr>
      <w:r>
        <w:t xml:space="preserve">Pereira, B., Chin, S.-F., Rueda, O. M., Vollan, H.-K. M., Provenzano, E., Bardwell, H. A., Pugh, M., Jones, L., Russell, R., Sammut, S.-J., Tsui, D. W. Y., Liu, B., Dawson, S.-J., Abraham, J., Northen, H., Peden, J. F., Mukherjee, A., Turashvili, G., Green, A. R., … Caldas, C. (2016). The somatic mutation profiles of 2,433 breast cancers refine their genomic and transcriptomic landscapes. </w:t>
      </w:r>
      <w:r>
        <w:rPr>
          <w:i/>
          <w:iCs/>
        </w:rPr>
        <w:t xml:space="preserve">Nature Communications, 7</w:t>
      </w:r>
      <w:r>
        <w:t xml:space="preserve">, Artículo 11479. </w:t>
      </w:r>
      <w:hyperlink w:history="1" r:id="rIdihe8d2dhfiiavvb1auq4b">
        <w:r>
          <w:rPr>
            <w:rStyle w:val="Hyperlink"/>
          </w:rPr>
          <w:t xml:space="preserve">https://doi.org/10.1038/ncomms11479</w:t>
        </w:r>
      </w:hyperlink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line="4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line="4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line="48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lyyv-x5jnisufsnbncpc_" Type="http://schemas.openxmlformats.org/officeDocument/2006/relationships/hyperlink" Target="https://github.com/MartinGia/metabric-proyecto-integrador" TargetMode="External"/><Relationship Id="rIdoezzy8o5oqaan8ypadnqx" Type="http://schemas.openxmlformats.org/officeDocument/2006/relationships/hyperlink" Target="https://github.com/MartinGia/metabric-proyecto-integrador/tree/main/data/raw" TargetMode="External"/><Relationship Id="rIdv-trtfdbktngttfff5ijc" Type="http://schemas.openxmlformats.org/officeDocument/2006/relationships/hyperlink" Target="https://github.com/MartinGia/metabric-proyecto-integrador/tree/main/docs/evidencias" TargetMode="External"/><Relationship Id="rIdpx4mpgblhrrobdwkglgkz" Type="http://schemas.openxmlformats.org/officeDocument/2006/relationships/hyperlink" Target="https://github.com/MartinGia/metabric-proyecto-integrador/blob/main/notebooks/01_EDA_Fase1.ipynb" TargetMode="External"/><Relationship Id="rId7og6ibncofz4ts6chjeqk" Type="http://schemas.openxmlformats.org/officeDocument/2006/relationships/hyperlink" Target="https://colab.research.google.com/github/MartinGia/metabric-proyecto-integrador/blob/main/notebooks/01_EDA_Fase1.ipynb" TargetMode="External"/><Relationship Id="rIdxr6pvp8dxwjq3i8wxeuhk" Type="http://schemas.openxmlformats.org/officeDocument/2006/relationships/hyperlink" Target="https://www.kaggle.com/datasets/raghadalharbi/breast-cancer-gene-expression-profiles-metabric" TargetMode="External"/><Relationship Id="rId8vhjowf79xqci6e5np7_v" Type="http://schemas.openxmlformats.org/officeDocument/2006/relationships/hyperlink" Target="https://doi.org/10.1158/2159-8290.CD-12-0095" TargetMode="External"/><Relationship Id="rIdxfunlbhjbitvmsc5mwul2" Type="http://schemas.openxmlformats.org/officeDocument/2006/relationships/hyperlink" Target="https://doi.org/10.1038/nature10983" TargetMode="External"/><Relationship Id="rIdjdgcg8-nt90ta4f8qzf6n" Type="http://schemas.openxmlformats.org/officeDocument/2006/relationships/hyperlink" Target="https://doi.org/10.1038/bjc.1982.62" TargetMode="External"/><Relationship Id="rIdeli8mub0jvoja4eo1ceeh" Type="http://schemas.openxmlformats.org/officeDocument/2006/relationships/hyperlink" Target="https://doi.org/10.1200/JCO.2008.18.8370" TargetMode="External"/><Relationship Id="rIdihe8d2dhfiiavvb1auq4b" Type="http://schemas.openxmlformats.org/officeDocument/2006/relationships/hyperlink" Target="https://doi.org/10.1038/ncomms11479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Martín Gracia Socha</dc:creator>
  <cp:lastModifiedBy>Un-named</cp:lastModifiedBy>
  <cp:revision>1</cp:revision>
  <dcterms:created xsi:type="dcterms:W3CDTF">2026-10-25T17:22:34.062Z</dcterms:created>
  <dcterms:modified xsi:type="dcterms:W3CDTF">2026-10-25T17:22:34.063Z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