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jc w:val="center"/>
      </w:pPr>
      <w:r>
        <w:rPr>
          <w:b/>
          <w:bCs/>
        </w:rPr>
        <w:t xml:space="preserve">Limpieza de Datos e Ingeniería de Variables</w:t>
      </w:r>
    </w:p>
    <w:p>
      <w:pPr>
        <w:spacing w:line="480"/>
        <w:jc w:val="center"/>
      </w:pPr>
      <w:r>
        <w:rPr>
          <w:b/>
          <w:bCs/>
        </w:rPr>
        <w:t xml:space="preserve">Proyecto Integrador METABRIC: Fase 2, Actividad 3</w:t>
      </w:r>
    </w:p>
    <w:p>
      <w:pPr>
        <w:spacing w:line="480"/>
      </w:pPr>
    </w:p>
    <w:p>
      <w:pPr>
        <w:spacing w:line="480"/>
        <w:jc w:val="center"/>
      </w:pPr>
      <w:r>
        <w:t xml:space="preserve">Martín Gracia Socha</w:t>
      </w:r>
    </w:p>
    <w:p>
      <w:pPr>
        <w:spacing w:line="480"/>
        <w:jc w:val="center"/>
      </w:pPr>
      <w:r>
        <w:t xml:space="preserve">Facultad de Ingeniería, Universidad de La Salle</w:t>
      </w:r>
    </w:p>
    <w:p>
      <w:pPr>
        <w:spacing w:line="480"/>
        <w:jc w:val="center"/>
      </w:pPr>
      <w:r>
        <w:t xml:space="preserve">Ciencia de Datos (2026-2): Maestría en Inteligencia Artificial</w:t>
      </w:r>
    </w:p>
    <w:p>
      <w:pPr>
        <w:spacing w:line="480"/>
        <w:jc w:val="center"/>
      </w:pPr>
      <w:r>
        <w:t xml:space="preserve">Fabián Camilo Castro Riveros</w:t>
      </w:r>
    </w:p>
    <w:p>
      <w:pPr>
        <w:spacing w:line="480"/>
        <w:jc w:val="center"/>
      </w:pPr>
      <w:r>
        <w:t xml:space="preserve">8 de noviembre de 2026</w:t>
      </w:r>
    </w:p>
    <w:p>
      <w:pPr>
        <w:spacing w:line="480"/>
      </w:pPr>
    </w:p>
    <w:tbl>
      <w:tblPr>
        <w:tblW w:type="dxa" w:w="9360"/>
        <w:tblBorders>
          <w:top w:val="single" w:color="147089" w:sz="6"/>
          <w:left w:val="single" w:color="147089" w:sz="6"/>
          <w:bottom w:val="single" w:color="147089" w:sz="6"/>
          <w:right w:val="single" w:color="147089" w:sz="6"/>
          <w:insideH w:val="none" w:color="FFFFFF" w:sz="0"/>
          <w:insideV w:val="none" w:color="FFFFFF" w:sz="0"/>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EAF2F6" w:color="auto" w:val="clear"/>
            <w:tcMar>
              <w:top w:type="dxa" w:w="60"/>
              <w:left w:type="dxa" w:w="100"/>
              <w:bottom w:type="dxa" w:w="60"/>
              <w:right w:type="dxa" w:w="100"/>
            </w:tcMar>
          </w:tcPr>
          <w:p>
            <w:pPr>
              <w:spacing w:line="240"/>
            </w:pPr>
            <w:r>
              <w:rPr>
                <w:b/>
                <w:bCs/>
                <w:color w:val="0E2841"/>
                <w:sz w:val="20"/>
                <w:szCs w:val="20"/>
              </w:rPr>
              <w:t xml:space="preserve">Archivos ejecutables y recursos de esta entrega</w:t>
            </w:r>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Repositorio del proyecto</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ncvjwysy-9-rcqf-tk71z">
              <w:r>
                <w:rPr>
                  <w:rStyle w:val="Hyperlink"/>
                  <w:sz w:val="20"/>
                  <w:szCs w:val="20"/>
                </w:rPr>
                <w:t xml:space="preserve">https://github.com/MartinGia/metabric-proyecto-integrador</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02 (GitHub)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j2xxo_03kjusstxv__svf">
              <w:r>
                <w:rPr>
                  <w:rStyle w:val="Hyperlink"/>
                  <w:sz w:val="20"/>
                  <w:szCs w:val="20"/>
                </w:rPr>
                <w:t xml:space="preserve">https://github.com/MartinGia/metabric-proyecto-integrador/blob/main/notebooks/02_Limpieza_Ingenieria_Variables.ipynb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02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9gsbb_aslw1ruzia5tp_y">
              <w:r>
                <w:rPr>
                  <w:rStyle w:val="Hyperlink"/>
                  <w:sz w:val="20"/>
                  <w:szCs w:val="20"/>
                </w:rPr>
                <w:t xml:space="preserve">https://colab.research.google.com/github/MartinGia/metabric-proyecto-integrador/blob/main/notebooks/02_Limpieza_Ingenieria_Variables.ipynb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Módulo de limpieza</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ktirlnwl0dr1epimxuk8c">
              <w:r>
                <w:rPr>
                  <w:rStyle w:val="Hyperlink"/>
                  <w:sz w:val="20"/>
                  <w:szCs w:val="20"/>
                </w:rPr>
                <w:t xml:space="preserve">https://github.com/MartinGia/metabric-proyecto-integrador/blob/main/src/cleaning.py</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Variables derivadas</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ymvckfnto8w6vn7fxb5uw">
              <w:r>
                <w:rPr>
                  <w:rStyle w:val="Hyperlink"/>
                  <w:sz w:val="20"/>
                  <w:szCs w:val="20"/>
                </w:rPr>
                <w:t xml:space="preserve">https://github.com/MartinGia/metabric-proyecto-integrador/blob/main/src/features.py</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Pipeline sin fuga</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u5kjjtx7pkyh94hyn9fhz">
              <w:r>
                <w:rPr>
                  <w:rStyle w:val="Hyperlink"/>
                  <w:sz w:val="20"/>
                  <w:szCs w:val="20"/>
                </w:rPr>
                <w:t xml:space="preserve">https://github.com/MartinGia/metabric-proyecto-integrador/blob/main/src/preprocessing.py</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Datos procesados</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n12fwhfr88irpp8av9lj5">
              <w:r>
                <w:rPr>
                  <w:rStyle w:val="Hyperlink"/>
                  <w:sz w:val="20"/>
                  <w:szCs w:val="20"/>
                </w:rPr>
                <w:t xml:space="preserve">https://github.com/MartinGia/metabric-proyecto-integrador/tree/main/data/processed</w:t>
              </w:r>
            </w:hyperlink>
          </w:p>
        </w:tc>
      </w:tr>
    </w:tbl>
    <w:p>
      <w:pPr>
        <w:spacing w:before="80" w:line="240"/>
      </w:pPr>
      <w:r>
        <w:rPr>
          <w:i/>
          <w:iCs/>
          <w:sz w:val="18"/>
          <w:szCs w:val="18"/>
        </w:rPr>
        <w:t xml:space="preserve">Los cuadernos se pueden abrir y ejecutar directamente en Google Colab: la primera celda clona el repositorio e instala las dependencias que falten.</w:t>
      </w:r>
    </w:p>
    <w:p>
      <w:r>
        <w:br w:type="page"/>
      </w:r>
    </w:p>
    <w:p>
      <w:pPr>
        <w:pStyle w:val="Heading1"/>
        <w:spacing w:after="0" w:before="0" w:line="480"/>
        <w:jc w:val="center"/>
      </w:pPr>
      <w:r>
        <w:rPr>
          <w:b/>
          <w:bCs/>
        </w:rPr>
        <w:t xml:space="preserve">Limpieza de Datos e Ingeniería de Variables</w:t>
      </w:r>
    </w:p>
    <w:p>
      <w:pPr>
        <w:spacing w:after="0" w:before="0" w:line="480"/>
        <w:ind w:firstLine="720"/>
        <w:jc w:val="left"/>
      </w:pPr>
      <w:r>
        <w:t xml:space="preserve">Esta actividad prepara los datos de METABRIC (Curtis et al., 2012; Pereira et al., 2016) para el modelado. El principio rector es evitar la </w:t>
      </w:r>
      <w:r>
        <w:rPr>
          <w:b/>
          <w:bCs/>
        </w:rPr>
        <w:t xml:space="preserve">fuga de información</w:t>
      </w:r>
      <w:r>
        <w:t xml:space="preserve">: las transformaciones determinísticas, que no aprenden parámetros de los datos, se aplican antes de la partición; las que sí aprenden (percentiles, imputadores, escalado y codificación) se ajustan solo con el conjunto de entrenamiento dentro de un </w:t>
      </w:r>
      <w:r>
        <w:rPr>
          <w:rFonts w:ascii="Courier New" w:cs="Courier New" w:eastAsia="Courier New" w:hAnsi="Courier New"/>
          <w:sz w:val="20"/>
          <w:szCs w:val="20"/>
        </w:rPr>
        <w:t xml:space="preserve">Pipeline</w:t>
      </w:r>
      <w:r>
        <w:t xml:space="preserve"> de scikit-learn (Pedregosa et al., 2011). Por esa razón, la partición 70/15/15 estratificada por subtipo se fijó en esta actividad y se reutiliza en todas las siguientes.</w:t>
      </w:r>
    </w:p>
    <w:p>
      <w:pPr>
        <w:pStyle w:val="Heading2"/>
        <w:spacing w:after="0" w:before="0" w:line="480"/>
      </w:pPr>
      <w:r>
        <w:rPr>
          <w:b/>
          <w:bCs/>
        </w:rPr>
        <w:t xml:space="preserve">Limpieza Determinística</w:t>
      </w:r>
    </w:p>
    <w:p>
      <w:pPr>
        <w:spacing w:after="0" w:before="0" w:line="480"/>
        <w:ind w:firstLine="720"/>
        <w:jc w:val="left"/>
      </w:pPr>
      <w:r>
        <w:t xml:space="preserve">La Tabla 1 resume las 12 reglas aplicadas. Tras excluir el único sarcoma, la cohorte queda en 1.903 pacientes. Dos hallazgos merecen destacarse. Primero, la fórmula del Nottingham Prognostic Index (Haybittle et al., 1982), tal como aparece en la fuente, reproduce el grado observado en el 99,8 % de los registros completos; esto permitió deducir 18 grados faltantes sin estimar nada. Segundo, en 57 registros el NPI se calculó sin el grado o es incoherente con sus componentes (media de 1,9 frente a 4,1), por lo que se marcaron como no válidos y se excluyen del problema de regresión.</w:t>
      </w:r>
    </w:p>
    <w:p>
      <w:pPr>
        <w:keepNext/>
        <w:spacing w:before="240" w:line="480"/>
      </w:pPr>
      <w:r>
        <w:rPr>
          <w:b/>
          <w:bCs/>
        </w:rPr>
        <w:t xml:space="preserve">Tabla 1</w:t>
      </w:r>
    </w:p>
    <w:p>
      <w:pPr>
        <w:keepNext/>
        <w:spacing w:line="480"/>
      </w:pPr>
      <w:r>
        <w:rPr>
          <w:i/>
          <w:iCs/>
        </w:rPr>
        <w:t xml:space="preserve">Reglas de limpieza determinística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Acción</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Registros</w:t>
            </w:r>
          </w:p>
        </w:tc>
        <w:tc>
          <w:tcPr>
            <w:tcW w:type="dxa" w:w="52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Justificación</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Corregir ’Positve’ por ’Positive’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1.445</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Error tipográfico en la fuente.</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Excluir el sarcoma de mama</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No es un carcinoma; caso único fuera de la población.</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HER2 por SNP6 ’UNDEF’ a faltante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Es un valor indeterminado, no una categoría.</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Estadio 0 a faltante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Estadio in situ incoherente con carcinomas invasivos de 11 a 65 mm.</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mutation_count faltante a 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45</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MNAR estructural: el mínimo observado es 1 y todos los faltantes tienen 0 mutaciones en el panel.</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Deducir el grado desde el NPI</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18</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NPI = grado + estadio ganglionar + 0,002 x tamaño; el grado se despeja sin estimar nada.</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Marcar NPI no válido (npi_valid = 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57</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El NPI se calculó sin el grado (residuo 0) o no es coherente con sus componentes.</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Codificar cellularity como ordinal (1 a 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1.849</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Orden natural Low &lt; Moderate &lt; High; mapeo fijo, sin aprendizaje.</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Mutaciones a indicadores 0/1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1.903</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173 columnas; el cambio de proteína no se usa en los modelos.</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Eliminar oncotree_code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Redundante: mapeo uno a uno con cancer_type_detailed.</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Eliminar cancer_type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w:t>
            </w:r>
          </w:p>
        </w:tc>
        <w:tc>
          <w:tcPr>
            <w:tcW w:type="dxa" w:w="5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Constante tras excluir el único sarcoma.</w:t>
            </w:r>
          </w:p>
        </w:tc>
      </w:tr>
      <w:tr>
        <w:trPr>
          <w:cantSplit/>
        </w:trPr>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Eliminar er_status_measured_by_ihc</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w:t>
            </w:r>
          </w:p>
        </w:tc>
        <w:tc>
          <w:tcPr>
            <w:tcW w:type="dxa" w:w="52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Redundante con er_status (completa); 118 discrepancias entre métodos.</w:t>
            </w:r>
          </w:p>
        </w:tc>
      </w:tr>
    </w:tbl>
    <w:p>
      <w:pPr>
        <w:spacing w:after="120" w:line="480"/>
      </w:pPr>
      <w:r>
        <w:rPr>
          <w:i/>
          <w:iCs/>
          <w:sz w:val="20"/>
          <w:szCs w:val="20"/>
        </w:rPr>
        <w:t xml:space="preserve">Nota. </w:t>
      </w:r>
      <w:r>
        <w:rPr>
          <w:sz w:val="20"/>
          <w:szCs w:val="20"/>
        </w:rPr>
        <w:t xml:space="preserve">Ninguna regla usa estadísticos del conjunto de datos; por eso pueden aplicarse antes de la partición.</w:t>
      </w:r>
    </w:p>
    <w:p>
      <w:pPr>
        <w:pStyle w:val="Heading2"/>
        <w:spacing w:after="0" w:before="0" w:line="480"/>
      </w:pPr>
      <w:r>
        <w:rPr>
          <w:b/>
          <w:bCs/>
        </w:rPr>
        <w:t xml:space="preserve">Mecanismo de los Datos Faltantes</w:t>
      </w:r>
    </w:p>
    <w:p>
      <w:pPr>
        <w:spacing w:after="0" w:before="0" w:line="480"/>
        <w:ind w:firstLine="720"/>
        <w:jc w:val="left"/>
      </w:pPr>
      <w:r>
        <w:t xml:space="preserve">Antes de imputar, se analizó el mecanismo de falta de cada variable (Little y Rubin, 2019). El indicador de ausencia se comparó con la cohorte, el subtipo, los receptores, la edad, el NPI y la supervivencia mediante pruebas χ² y U de Mann-Whitney con corrección de Bonferroni (77 pruebas; α = 6,5 × 10⁻⁴). Si alguna asociación resultaba significativa, se descartó MCAR. La Tabla 2 muestra el resultado: siete variables son MAR, la mayoría por diferencias entre los centros de reclutamiento; dos son compatibles con MCAR y </w:t>
      </w:r>
      <w:r>
        <w:rPr>
          <w:rFonts w:ascii="Courier New" w:cs="Courier New" w:eastAsia="Courier New" w:hAnsi="Courier New"/>
          <w:sz w:val="20"/>
          <w:szCs w:val="20"/>
        </w:rPr>
        <w:t xml:space="preserve">mutation_count</w:t>
      </w:r>
      <w:r>
        <w:t xml:space="preserve"> es MNAR estructural.</w:t>
      </w:r>
    </w:p>
    <w:p>
      <w:pPr>
        <w:keepNext/>
        <w:spacing w:before="240" w:line="480"/>
      </w:pPr>
      <w:r>
        <w:rPr>
          <w:b/>
          <w:bCs/>
        </w:rPr>
        <w:t xml:space="preserve">Tabla 2</w:t>
      </w:r>
    </w:p>
    <w:p>
      <w:pPr>
        <w:keepNext/>
        <w:spacing w:line="480"/>
      </w:pPr>
      <w:r>
        <w:rPr>
          <w:i/>
          <w:iCs/>
        </w:rPr>
        <w:t xml:space="preserve">Mecanismo de falta y tratamiento por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1000"/>
        <w:gridCol w:w="2210"/>
        <w:gridCol w:w="2900"/>
      </w:tblGrid>
      <w:tr>
        <w:trPr>
          <w:tblHeader/>
        </w:trPr>
        <w:tc>
          <w:tcPr>
            <w:tcW w:type="dxa" w:w="23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Variable</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 faltante</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Mecanismo</w:t>
            </w:r>
          </w:p>
        </w:tc>
        <w:tc>
          <w:tcPr>
            <w:tcW w:type="dxa" w:w="221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Asociación significativa</w:t>
            </w:r>
          </w:p>
        </w:tc>
        <w:tc>
          <w:tcPr>
            <w:tcW w:type="dxa" w:w="2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Tratamiento</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tumor_stage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26,5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Cohorte (100 % en C4; 84 % en C5)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Excluida de los predictores; versión descriptiva por regla TNM</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3-gene_classifier_subtype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Subtipo PAM50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Excluida (etiqueta derivada de la expresión génica)</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primary_tumor_laterality</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5,5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Cohorte y supervivencia</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Excluida (sin relación biológica con los objetivos)</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cellularity</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Cohorte y subtipo PAM50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IterativeImputer ajustado en entrenamiento</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neoplasm_histologic_grade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NPI</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Deducción exacta desde el NPI (18) e IterativeImputer</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type_of_breast_surgery</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Cohorte y supervivencia</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Excluida (tratamiento posterior al diagnóstico)</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tumor_size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Cohorte (C5)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IterativeImputer sobre su logaritmo</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tumor_other_histologic_subtype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MCAR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Ninguna significativa</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Categoría «Desconocido» antes del One-Hot</w:t>
            </w:r>
          </w:p>
        </w:tc>
      </w:tr>
      <w:tr>
        <w:trPr>
          <w:cantSplit/>
        </w:trP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her2_status_measured_by_snp6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MCAR</w:t>
            </w:r>
          </w:p>
        </w:tc>
        <w:tc>
          <w:tcPr>
            <w:tcW w:type="dxa" w:w="2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Ninguna significativa</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Categoría «Desconocido»</w:t>
            </w:r>
          </w:p>
        </w:tc>
      </w:tr>
      <w:tr>
        <w:trPr>
          <w:cantSplit/>
        </w:trPr>
        <w:tc>
          <w:tcPr>
            <w:tcW w:type="dxa" w:w="23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mutation_count</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2,4</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MNAR</w:t>
            </w:r>
          </w:p>
        </w:tc>
        <w:tc>
          <w:tcPr>
            <w:tcW w:type="dxa" w:w="221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Falta cuando el valor es 0</w:t>
            </w:r>
          </w:p>
        </w:tc>
        <w:tc>
          <w:tcPr>
            <w:tcW w:type="dxa" w:w="2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Imputación determinística con 0</w:t>
            </w:r>
          </w:p>
        </w:tc>
      </w:tr>
    </w:tbl>
    <w:p>
      <w:pPr>
        <w:spacing w:after="240" w:line="240"/>
      </w:pPr>
    </w:p>
    <w:p>
      <w:pPr>
        <w:keepNext/>
        <w:spacing w:before="240" w:line="480"/>
      </w:pPr>
      <w:r>
        <w:rPr>
          <w:b/>
          <w:bCs/>
        </w:rPr>
        <w:t xml:space="preserve">Figura 1</w:t>
      </w:r>
    </w:p>
    <w:p>
      <w:pPr>
        <w:keepNext/>
        <w:spacing w:line="480"/>
      </w:pPr>
      <w:r>
        <w:rPr>
          <w:i/>
          <w:iCs/>
        </w:rPr>
        <w:t xml:space="preserve">Asociación del indicador de faltante con variables observadas</w:t>
      </w:r>
    </w:p>
    <w:p>
      <w:pPr>
        <w:keepNext/>
        <w:jc w:val="center"/>
      </w:pPr>
      <w:r>
        <w:drawing>
          <wp:inline distT="0" distB="0" distL="0" distR="0">
            <wp:extent cx="5048250" cy="3105150"/>
            <wp:effectExtent t="0" r="0" b="0" l="0"/>
            <wp:docPr id="1" name="12_mecanismo_faltantes.png" descr="Asociación del indicador de faltante con variables observadas" title="Asociación del indicador de faltante con variables obser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3105150"/>
                    </a:xfrm>
                    <a:prstGeom prst="rect">
                      <a:avLst/>
                    </a:prstGeom>
                  </pic:spPr>
                </pic:pic>
              </a:graphicData>
            </a:graphic>
          </wp:inline>
        </w:drawing>
      </w:r>
    </w:p>
    <w:p>
      <w:pPr>
        <w:spacing w:after="120" w:line="480"/>
      </w:pPr>
      <w:r>
        <w:rPr>
          <w:i/>
          <w:iCs/>
          <w:sz w:val="20"/>
          <w:szCs w:val="20"/>
        </w:rPr>
        <w:t xml:space="preserve">Nota. </w:t>
      </w:r>
      <w:r>
        <w:rPr>
          <w:sz w:val="20"/>
          <w:szCs w:val="20"/>
        </w:rPr>
        <w:t xml:space="preserve">Las celdas marcadas con asterisco son significativas tras la corrección de Bonferroni.</w:t>
      </w:r>
    </w:p>
    <w:p>
      <w:pPr>
        <w:pStyle w:val="Heading2"/>
        <w:spacing w:after="0" w:before="0" w:line="480"/>
      </w:pPr>
      <w:r>
        <w:rPr>
          <w:b/>
          <w:bCs/>
        </w:rPr>
        <w:t xml:space="preserve">Tratamiento de Valores Atípicos</w:t>
      </w:r>
    </w:p>
    <w:p>
      <w:pPr>
        <w:spacing w:after="0" w:before="0" w:line="480"/>
        <w:ind w:firstLine="720"/>
        <w:jc w:val="left"/>
      </w:pPr>
      <w:r>
        <w:t xml:space="preserve">Los valores atípicos del tamaño tumoral, los ganglios positivos y el número de mutaciones son clínicamente plausibles, así que no se eliminaron. Se aplicó una transformación </w:t>
      </w:r>
      <w:r>
        <w:rPr>
          <w:rFonts w:ascii="Courier New" w:cs="Courier New" w:eastAsia="Courier New" w:hAnsi="Courier New"/>
          <w:sz w:val="20"/>
          <w:szCs w:val="20"/>
        </w:rPr>
        <w:t xml:space="preserve">log1p</w:t>
      </w:r>
      <w:r>
        <w:t xml:space="preserve"> seguida de winsorización en los percentiles 1 y 99, aprendidos solo en entrenamiento. La asimetría del tamaño tumoral bajó de 3,3 a 0,1 y la del número de mutaciones de 4,9 a −0,6. Los z-scores de expresión génica no se recortaron, porque sus extremos pueden reflejar amplificaciones o pérdidas con significado biológico.</w:t>
      </w:r>
    </w:p>
    <w:p>
      <w:pPr>
        <w:pStyle w:val="Heading2"/>
        <w:spacing w:after="0" w:before="0" w:line="480"/>
      </w:pPr>
      <w:r>
        <w:rPr>
          <w:b/>
          <w:bCs/>
        </w:rPr>
        <w:t xml:space="preserve">Variables Derivadas</w:t>
      </w:r>
    </w:p>
    <w:p>
      <w:pPr>
        <w:spacing w:after="0" w:before="0" w:line="480"/>
        <w:ind w:firstLine="720"/>
        <w:jc w:val="left"/>
      </w:pPr>
      <w:r>
        <w:t xml:space="preserve">Se crearon 11 variables a partir del conocimiento del dominio (Tabla 3). Todas se calculan fila por fila con reglas o listas de genes tomadas de la literatura, por lo que no introducen fuga. El puntaje de proliferación se correlaciona con el grado histológico (ρ = 0,54) y con el NPI válido (ρ = 0,40). El grupo por receptores es coherente con la biología: el 96,6 % de los tumores Luminal A son HR+/HER2− y el 75,9 % de los Basal son triple negativos (Figura 2).</w:t>
      </w:r>
    </w:p>
    <w:p>
      <w:pPr>
        <w:keepNext/>
        <w:spacing w:before="240" w:line="480"/>
      </w:pPr>
      <w:r>
        <w:rPr>
          <w:b/>
          <w:bCs/>
        </w:rPr>
        <w:t xml:space="preserve">Tabla 3</w:t>
      </w:r>
    </w:p>
    <w:p>
      <w:pPr>
        <w:keepNext/>
        <w:spacing w:line="480"/>
      </w:pPr>
      <w:r>
        <w:rPr>
          <w:i/>
          <w:iCs/>
        </w:rPr>
        <w:t xml:space="preserve">Variables derivadas y su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Variable</w:t>
            </w:r>
          </w:p>
        </w:tc>
        <w:tc>
          <w:tcPr>
            <w:tcW w:type="dxa" w:w="46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Definición</w:t>
            </w:r>
          </w:p>
        </w:tc>
        <w:tc>
          <w:tcPr>
            <w:tcW w:type="dxa" w:w="2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Respaldo</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proliferation_score</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Promedio de los z-scores de AURKA, CCNB1, CDK1, CHEK1, CCNE1, CDC25A y E2F2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Paik et al. (2004); Sotiriou et al. (2006)</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receptor_group</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HR+/HER2−, HER2+ o triple negativo según ER, PR y HER2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Goldhirsch et al. (2011)</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triple_negative</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1 si ER−, PR− y HER2−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Goldhirsch et al. (2011)</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driver_mutation_count</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Número de genes conductores mutados (15 genes)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Pereira et al. (2016)</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log_* (3 variables)</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log1p del tamaño tumoral, los ganglios positivos y el número de mutaciones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Reducción de asimetría</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node_category, age_group</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Categorías N0 / N1-3 / N4+ y grupos de edad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Perfiles y filtros del dashboard</w:t>
            </w:r>
          </w:p>
        </w:tc>
      </w:tr>
      <w:tr>
        <w:trPr>
          <w:cantSplit/>
        </w:trPr>
        <w:tc>
          <w:tcPr>
            <w:tcW w:type="dxa" w:w="2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tumor_stage_rule</w:t>
            </w:r>
          </w:p>
        </w:tc>
        <w:tc>
          <w:tcPr>
            <w:tcW w:type="dxa" w:w="46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Estadio anatómico por regla TNM (tamaño y ganglios)</w:t>
            </w:r>
          </w:p>
        </w:tc>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Solo descriptiva</w:t>
            </w:r>
          </w:p>
        </w:tc>
      </w:tr>
    </w:tbl>
    <w:p>
      <w:pPr>
        <w:spacing w:after="240" w:line="240"/>
      </w:pPr>
    </w:p>
    <w:p>
      <w:pPr>
        <w:keepNext/>
        <w:spacing w:before="240" w:line="480"/>
      </w:pPr>
      <w:r>
        <w:rPr>
          <w:b/>
          <w:bCs/>
        </w:rPr>
        <w:t xml:space="preserve">Figura 2</w:t>
      </w:r>
    </w:p>
    <w:p>
      <w:pPr>
        <w:keepNext/>
        <w:spacing w:line="480"/>
      </w:pPr>
      <w:r>
        <w:rPr>
          <w:i/>
          <w:iCs/>
        </w:rPr>
        <w:t xml:space="preserve">Validación de las variables derivadas frente a variables conocidas</w:t>
      </w:r>
    </w:p>
    <w:p>
      <w:pPr>
        <w:keepNext w:val="false"/>
        <w:jc w:val="center"/>
      </w:pPr>
      <w:r>
        <w:drawing>
          <wp:inline distT="0" distB="0" distL="0" distR="0">
            <wp:extent cx="5943600" cy="1562100"/>
            <wp:effectExtent t="0" r="0" b="0" l="0"/>
            <wp:docPr id="2" name="15_variables_derivadas.png" descr="Validación de las variables derivadas frente a variables conocidas" title="Validación de las variables derivadas frente a variables conoc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62100"/>
                    </a:xfrm>
                    <a:prstGeom prst="rect">
                      <a:avLst/>
                    </a:prstGeom>
                  </pic:spPr>
                </pic:pic>
              </a:graphicData>
            </a:graphic>
          </wp:inline>
        </w:drawing>
      </w:r>
    </w:p>
    <w:p>
      <w:pPr>
        <w:pStyle w:val="Heading2"/>
        <w:spacing w:after="0" w:before="0" w:line="480"/>
      </w:pPr>
      <w:r>
        <w:rPr>
          <w:b/>
          <w:bCs/>
        </w:rPr>
        <w:t xml:space="preserve">Selección del Método de Imputación</w:t>
      </w:r>
    </w:p>
    <w:p>
      <w:pPr>
        <w:spacing w:after="0" w:before="0" w:line="480"/>
        <w:ind w:firstLine="720"/>
        <w:jc w:val="left"/>
      </w:pPr>
      <w:r>
        <w:t xml:space="preserve">Para elegir el imputador con evidencia, se ocultó al azar el 15 % de los valores observados del grado y la celularidad dentro de entrenamiento, se imputaron con cada método y se midió la exactitud tras redondear al nivel ordinal más cercano (20 repeticiones). IterativeImputer, basado en ecuaciones encadenadas (van Buuren y Groothuis-Oudshoorn, 2011), recuperó el grado con una exactitud de 0,978, frente a 0,871 de KNNImputer y 0,500 de la moda (Tabla 4). Para la celularidad todos los métodos rondan 0,49, lo que indica que la variable aporta poca información; se mantuvo IterativeImputer por su menor error absoluto.</w:t>
      </w:r>
    </w:p>
    <w:p>
      <w:pPr>
        <w:keepNext/>
        <w:spacing w:before="240" w:line="480"/>
      </w:pPr>
      <w:r>
        <w:rPr>
          <w:b/>
          <w:bCs/>
        </w:rPr>
        <w:t xml:space="preserve">Tabla 4</w:t>
      </w:r>
    </w:p>
    <w:p>
      <w:pPr>
        <w:keepNext/>
        <w:spacing w:line="480"/>
      </w:pPr>
      <w:r>
        <w:rPr>
          <w:i/>
          <w:iCs/>
        </w:rPr>
        <w:t xml:space="preserve">Exactitud de la imputación en valores enmascarados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1900"/>
        <w:gridCol w:w="1900"/>
      </w:tblGrid>
      <w:tr>
        <w:trPr>
          <w:tblHeader/>
        </w:trPr>
        <w:tc>
          <w:tcPr>
            <w:tcW w:type="dxa" w:w="2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Variable</w:t>
            </w:r>
          </w:p>
        </w:tc>
        <w:tc>
          <w:tcPr>
            <w:tcW w:type="dxa" w:w="32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Método</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Exactitud</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MAE</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Grado histológico</w:t>
            </w: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IterativeImputer</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0,978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0,168</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KNNImputer (k = 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0,871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0,180</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Moda / mediana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0,500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0,592</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Celularidad</w:t>
            </w: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IterativeImputer</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0,490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0,566</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KNNImputer (k = 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0,483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0,577</w:t>
            </w:r>
          </w:p>
        </w:tc>
      </w:tr>
      <w:tr>
        <w:trPr>
          <w:cantSplit/>
        </w:trPr>
        <w:tc>
          <w:tcPr>
            <w:tcW w:type="dxa" w:w="2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p>
        </w:tc>
        <w:tc>
          <w:tcPr>
            <w:tcW w:type="dxa" w:w="32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Moda</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0,497</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0,609</w:t>
            </w:r>
          </w:p>
        </w:tc>
      </w:tr>
    </w:tbl>
    <w:p>
      <w:pPr>
        <w:spacing w:after="120" w:line="480"/>
      </w:pPr>
      <w:r>
        <w:rPr>
          <w:i/>
          <w:iCs/>
          <w:sz w:val="20"/>
          <w:szCs w:val="20"/>
        </w:rPr>
        <w:t xml:space="preserve">Nota. </w:t>
      </w:r>
      <w:r>
        <w:rPr>
          <w:sz w:val="20"/>
          <w:szCs w:val="20"/>
        </w:rPr>
        <w:t xml:space="preserve">Promedio de 20 repeticiones con el 15 % de los valores observados ocultos.</w:t>
      </w:r>
    </w:p>
    <w:p>
      <w:pPr>
        <w:pStyle w:val="Heading2"/>
        <w:spacing w:after="0" w:before="0" w:line="480"/>
      </w:pPr>
      <w:r>
        <w:rPr>
          <w:b/>
          <w:bCs/>
        </w:rPr>
        <w:t xml:space="preserve">Pipeline de Preprocesamiento y Partición</w:t>
      </w:r>
    </w:p>
    <w:p>
      <w:pPr>
        <w:spacing w:after="0" w:before="0" w:line="480"/>
        <w:ind w:firstLine="720"/>
        <w:jc w:val="left"/>
      </w:pPr>
      <w:r>
        <w:t xml:space="preserve">El </w:t>
      </w:r>
      <w:r>
        <w:rPr>
          <w:rFonts w:ascii="Courier New" w:cs="Courier New" w:eastAsia="Courier New" w:hAnsi="Courier New"/>
          <w:sz w:val="20"/>
          <w:szCs w:val="20"/>
        </w:rPr>
        <w:t xml:space="preserve">ColumnTransformer</w:t>
      </w:r>
      <w:r>
        <w:t xml:space="preserve"> final aplica a las variables clínicas winsorización, escalado estándar e IterativeImputer; a las nominales, imputación con la categoría «Desconocido» y codificación One-Hot; a los 489 genes, escalado estándar; y deja sin cambios las 71 variables binarias. Se ajusta solo con entrenamiento: las medias de los genes son 0 en entrenamiento y distintas de 0 en validación (0,001) y prueba (0,008), señal de que sus estadísticos no se usaron. La partición estratificada deja 1.332, 285 y 286 pacientes, con la misma distribución de subtipos en los tres subconjuntos (χ², p = 1,00).</w:t>
      </w:r>
    </w:p>
    <w:p>
      <w:pPr>
        <w:pStyle w:val="Heading2"/>
        <w:spacing w:after="0" w:before="0" w:line="480"/>
      </w:pPr>
      <w:r>
        <w:rPr>
          <w:b/>
          <w:bCs/>
        </w:rPr>
        <w:t xml:space="preserve">Conclusiones</w:t>
      </w:r>
    </w:p>
    <w:p>
      <w:pPr>
        <w:spacing w:after="0" w:before="0" w:line="480"/>
        <w:ind w:firstLine="720"/>
        <w:jc w:val="left"/>
      </w:pPr>
      <w:r>
        <w:t xml:space="preserve">Los datos quedan limpios, documentados y listos para modelar. Cada imputación tiene un mecanismo de falta justificado, los atípicos se tratan sin perder pacientes, las variables derivadas tienen respaldo bibliográfico y todo el preprocesamiento aprendido está encapsulado para evitar la fuga de información. Los artefactos generados (</w:t>
      </w:r>
      <w:r>
        <w:rPr>
          <w:rFonts w:ascii="Courier New" w:cs="Courier New" w:eastAsia="Courier New" w:hAnsi="Courier New"/>
          <w:sz w:val="20"/>
          <w:szCs w:val="20"/>
        </w:rPr>
        <w:t xml:space="preserve">metabric_clean.csv</w:t>
      </w:r>
      <w:r>
        <w:t xml:space="preserve">, </w:t>
      </w:r>
      <w:r>
        <w:rPr>
          <w:rFonts w:ascii="Courier New" w:cs="Courier New" w:eastAsia="Courier New" w:hAnsi="Courier New"/>
          <w:sz w:val="20"/>
          <w:szCs w:val="20"/>
        </w:rPr>
        <w:t xml:space="preserve">splits.csv</w:t>
      </w:r>
      <w:r>
        <w:t xml:space="preserve"> y </w:t>
      </w:r>
      <w:r>
        <w:rPr>
          <w:rFonts w:ascii="Courier New" w:cs="Courier New" w:eastAsia="Courier New" w:hAnsi="Courier New"/>
          <w:sz w:val="20"/>
          <w:szCs w:val="20"/>
        </w:rPr>
        <w:t xml:space="preserve">feature_sets.json</w:t>
      </w:r>
      <w:r>
        <w:t xml:space="preserve">) son la base de las actividades 4 a 7.</w:t>
      </w:r>
    </w:p>
    <w:p>
      <w:r>
        <w:br w:type="page"/>
      </w:r>
    </w:p>
    <w:p>
      <w:pPr>
        <w:pStyle w:val="Heading1"/>
        <w:spacing w:after="0" w:before="0" w:line="480"/>
        <w:jc w:val="center"/>
      </w:pPr>
      <w:r>
        <w:rPr>
          <w:b/>
          <w:bCs/>
        </w:rPr>
        <w:t xml:space="preserve">Referencias</w:t>
      </w:r>
    </w:p>
    <w:p>
      <w:pPr>
        <w:spacing w:line="480"/>
        <w:ind w:left="720" w:hanging="720"/>
      </w:pPr>
      <w:r>
        <w:t xml:space="preserve">Curtis, C., Shah, S. P., Chin, S.-F., Turashvili, G., Rueda, O. M., Dunning, M. J., Speed, D., Lynch, A. G., Samarajiwa, S., Yuan, Y., Gräf, S., Ha, G., Haffari, G., Bashashati, A., Russell, R., McKinney, S., METABRIC Group, Langerød, A., Green, A., … Aparicio, S. (2012). The genomic and transcriptomic architecture of 2,000 breast tumours reveals novel subgroups. </w:t>
      </w:r>
      <w:r>
        <w:rPr>
          <w:i/>
          <w:iCs/>
        </w:rPr>
        <w:t xml:space="preserve">Nature, 486</w:t>
      </w:r>
      <w:r>
        <w:t xml:space="preserve">(7403), 346–352. </w:t>
      </w:r>
      <w:hyperlink w:history="1" r:id="rIdj1drzrtdxgvfeokgisblg">
        <w:r>
          <w:rPr>
            <w:rStyle w:val="Hyperlink"/>
          </w:rPr>
          <w:t xml:space="preserve">https://doi.org/10.1038/nature10983</w:t>
        </w:r>
      </w:hyperlink>
    </w:p>
    <w:p>
      <w:pPr>
        <w:spacing w:line="480"/>
        <w:ind w:left="720" w:hanging="720"/>
      </w:pPr>
      <w:r>
        <w:t xml:space="preserve">Goldhirsch, A., Wood, W. C., Coates, A. S., Gelber, R. D., Thürlimann, B., Senn, H.-J. y Panel members. (2011). Strategies for subtypes—Dealing with the diversity of breast cancer: Highlights of the St Gallen International Expert Consensus on the Primary Therapy of Early Breast Cancer 2011. </w:t>
      </w:r>
      <w:r>
        <w:rPr>
          <w:i/>
          <w:iCs/>
        </w:rPr>
        <w:t xml:space="preserve">Annals of Oncology, 22</w:t>
      </w:r>
      <w:r>
        <w:t xml:space="preserve">(8), 1736–1747. </w:t>
      </w:r>
      <w:hyperlink w:history="1" r:id="rIdecma_hlohegb86dzm29v2">
        <w:r>
          <w:rPr>
            <w:rStyle w:val="Hyperlink"/>
          </w:rPr>
          <w:t xml:space="preserve">https://doi.org/10.1093/annonc/mdr304</w:t>
        </w:r>
      </w:hyperlink>
    </w:p>
    <w:p>
      <w:pPr>
        <w:spacing w:line="480"/>
        <w:ind w:left="720" w:hanging="720"/>
      </w:pPr>
      <w:r>
        <w:t xml:space="preserve">Haybittle, J. L., Blamey, R. W., Elston, C. W., Johnson, J., Doyle, P. J., Campbell, F. C., Nicholson, R. I. y Griffiths, K. (1982). A prognostic index in primary breast cancer. </w:t>
      </w:r>
      <w:r>
        <w:rPr>
          <w:i/>
          <w:iCs/>
        </w:rPr>
        <w:t xml:space="preserve">British Journal of Cancer, 45</w:t>
      </w:r>
      <w:r>
        <w:t xml:space="preserve">(3), 361–366. </w:t>
      </w:r>
      <w:hyperlink w:history="1" r:id="rIdfogbqogpkphyyrflqj0ln">
        <w:r>
          <w:rPr>
            <w:rStyle w:val="Hyperlink"/>
          </w:rPr>
          <w:t xml:space="preserve">https://doi.org/10.1038/bjc.1982.62</w:t>
        </w:r>
      </w:hyperlink>
    </w:p>
    <w:p>
      <w:pPr>
        <w:spacing w:line="480"/>
        <w:ind w:left="720" w:hanging="720"/>
      </w:pPr>
      <w:r>
        <w:t xml:space="preserve">Little, R. J. A. y Rubin, D. B. (2019). </w:t>
      </w:r>
      <w:r>
        <w:rPr>
          <w:i/>
          <w:iCs/>
        </w:rPr>
        <w:t xml:space="preserve">Statistical analysis with missing data</w:t>
      </w:r>
      <w:r>
        <w:t xml:space="preserve"> (3.ª ed.). Wiley. </w:t>
      </w:r>
      <w:hyperlink w:history="1" r:id="rIdd01hjst08crvubyxddaba">
        <w:r>
          <w:rPr>
            <w:rStyle w:val="Hyperlink"/>
          </w:rPr>
          <w:t xml:space="preserve">https://doi.org/10.1002/9781119482260</w:t>
        </w:r>
      </w:hyperlink>
    </w:p>
    <w:p>
      <w:pPr>
        <w:spacing w:line="480"/>
        <w:ind w:left="720" w:hanging="720"/>
      </w:pPr>
      <w:r>
        <w:t xml:space="preserve">Paik, S., Shak, S., Tang, G., Kim, C., Baker, J., Cronin, M., Baehner, F. L., Walker, M. G., Watson, D., Park, T., Hiller, W., Fisher, E. R., Wickerham, D. L., Bryant, J. y Wolmark, N. (2004). A multigene assay to predict recurrence of tamoxifen-treated, node-negative breast cancer. </w:t>
      </w:r>
      <w:r>
        <w:rPr>
          <w:i/>
          <w:iCs/>
        </w:rPr>
        <w:t xml:space="preserve">The New England Journal of Medicine, 351</w:t>
      </w:r>
      <w:r>
        <w:t xml:space="preserve">(27), 2817–2826. </w:t>
      </w:r>
      <w:hyperlink w:history="1" r:id="rIdq8pj5cidcorcwlxw7db77">
        <w:r>
          <w:rPr>
            <w:rStyle w:val="Hyperlink"/>
          </w:rPr>
          <w:t xml:space="preserve">https://doi.org/10.1056/NEJMoa041588</w:t>
        </w:r>
      </w:hyperlink>
    </w:p>
    <w:p>
      <w:pPr>
        <w:spacing w:line="480"/>
        <w:ind w:left="720" w:hanging="720"/>
      </w:pPr>
      <w:r>
        <w:t xml:space="preserve">Pedregosa, F., Varoquaux, G., Gramfort, A., Michel, V., Thirion, B., Grisel, O., Blondel, M., Prettenhofer, P., Weiss, R., Dubourg, V., Vanderplas, J., Passos, A., Cournapeau, D., Brucher, M., Perrot, M. y Duchesnay, É. (2011). Scikit-learn: Machine learning in Python. </w:t>
      </w:r>
      <w:r>
        <w:rPr>
          <w:i/>
          <w:iCs/>
        </w:rPr>
        <w:t xml:space="preserve">Journal of Machine Learning Research, 12</w:t>
      </w:r>
      <w:r>
        <w:t xml:space="preserve">, 2825–2830. </w:t>
      </w:r>
      <w:hyperlink w:history="1" r:id="rIdts3_u_hfcevayacy5crag">
        <w:r>
          <w:rPr>
            <w:rStyle w:val="Hyperlink"/>
          </w:rPr>
          <w:t xml:space="preserve">https://jmlr.org/papers/v12/pedregosa11a.html</w:t>
        </w:r>
      </w:hyperlink>
    </w:p>
    <w:p>
      <w:pPr>
        <w:spacing w:line="480"/>
        <w:ind w:left="720" w:hanging="720"/>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 xml:space="preserve">Nature Communications, 7</w:t>
      </w:r>
      <w:r>
        <w:t xml:space="preserve">, Artículo 11479. </w:t>
      </w:r>
      <w:hyperlink w:history="1" r:id="rIdfvolxmbr7vpy2-pen7cgl">
        <w:r>
          <w:rPr>
            <w:rStyle w:val="Hyperlink"/>
          </w:rPr>
          <w:t xml:space="preserve">https://doi.org/10.1038/ncomms11479</w:t>
        </w:r>
      </w:hyperlink>
    </w:p>
    <w:p>
      <w:pPr>
        <w:spacing w:line="480"/>
        <w:ind w:left="720" w:hanging="720"/>
      </w:pPr>
      <w:r>
        <w:t xml:space="preserve">Sotiriou, C., Wirapati, P., Loi, S., Harris, A., Fox, S., Smeds, J., Nordgren, H., Farmer, P., Praz, V., Haibe-Kains, B., Desmedt, C., Larsimont, D., Cardoso, F., Peterse, H., Nuyten, D., Buyse, M., Van de Vijver, M. J., Bergh, J., Piccart, M. y Delorenzi, M. (2006). Gene expression profiling in breast cancer: Understanding the molecular basis of histologic grade to improve prognosis. </w:t>
      </w:r>
      <w:r>
        <w:rPr>
          <w:i/>
          <w:iCs/>
        </w:rPr>
        <w:t xml:space="preserve">Journal of the National Cancer Institute, 98</w:t>
      </w:r>
      <w:r>
        <w:t xml:space="preserve">(4), 262–272. </w:t>
      </w:r>
      <w:hyperlink w:history="1" r:id="rIdssajzlbkjpfkfjkfguwth">
        <w:r>
          <w:rPr>
            <w:rStyle w:val="Hyperlink"/>
          </w:rPr>
          <w:t xml:space="preserve">https://doi.org/10.1093/jnci/djj052</w:t>
        </w:r>
      </w:hyperlink>
    </w:p>
    <w:p>
      <w:pPr>
        <w:spacing w:line="480"/>
        <w:ind w:left="720" w:hanging="720"/>
      </w:pPr>
      <w:r>
        <w:t xml:space="preserve">van Buuren, S. y Groothuis-Oudshoorn, K. (2011). mice: Multivariate imputation by chained equations in R. </w:t>
      </w:r>
      <w:r>
        <w:rPr>
          <w:i/>
          <w:iCs/>
        </w:rPr>
        <w:t xml:space="preserve">Journal of Statistical Software, 45</w:t>
      </w:r>
      <w:r>
        <w:t xml:space="preserve">(3), 1–67. </w:t>
      </w:r>
      <w:hyperlink w:history="1" r:id="rIdk4lp17jg2lfv4zigdnpjz">
        <w:r>
          <w:rPr>
            <w:rStyle w:val="Hyperlink"/>
          </w:rPr>
          <w:t xml:space="preserve">https://doi.org/10.18637/jss.v045.i03</w:t>
        </w:r>
      </w:hyperlink>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ncvjwysy-9-rcqf-tk71z" Type="http://schemas.openxmlformats.org/officeDocument/2006/relationships/hyperlink" Target="https://github.com/MartinGia/metabric-proyecto-integrador" TargetMode="External"/><Relationship Id="rIdj2xxo_03kjusstxv__svf" Type="http://schemas.openxmlformats.org/officeDocument/2006/relationships/hyperlink" Target="https://github.com/MartinGia/metabric-proyecto-integrador/blob/main/notebooks/02_Limpieza_Ingenieria_Variables.ipynb" TargetMode="External"/><Relationship Id="rId9gsbb_aslw1ruzia5tp_y" Type="http://schemas.openxmlformats.org/officeDocument/2006/relationships/hyperlink" Target="https://colab.research.google.com/github/MartinGia/metabric-proyecto-integrador/blob/main/notebooks/02_Limpieza_Ingenieria_Variables.ipynb" TargetMode="External"/><Relationship Id="rIdktirlnwl0dr1epimxuk8c" Type="http://schemas.openxmlformats.org/officeDocument/2006/relationships/hyperlink" Target="https://github.com/MartinGia/metabric-proyecto-integrador/blob/main/src/cleaning.py" TargetMode="External"/><Relationship Id="rIdymvckfnto8w6vn7fxb5uw" Type="http://schemas.openxmlformats.org/officeDocument/2006/relationships/hyperlink" Target="https://github.com/MartinGia/metabric-proyecto-integrador/blob/main/src/features.py" TargetMode="External"/><Relationship Id="rIdu5kjjtx7pkyh94hyn9fhz" Type="http://schemas.openxmlformats.org/officeDocument/2006/relationships/hyperlink" Target="https://github.com/MartinGia/metabric-proyecto-integrador/blob/main/src/preprocessing.py" TargetMode="External"/><Relationship Id="rIdn12fwhfr88irpp8av9lj5" Type="http://schemas.openxmlformats.org/officeDocument/2006/relationships/hyperlink" Target="https://github.com/MartinGia/metabric-proyecto-integrador/tree/main/data/processed" TargetMode="External"/><Relationship Id="rIdj1drzrtdxgvfeokgisblg" Type="http://schemas.openxmlformats.org/officeDocument/2006/relationships/hyperlink" Target="https://doi.org/10.1038/nature10983" TargetMode="External"/><Relationship Id="rIdecma_hlohegb86dzm29v2" Type="http://schemas.openxmlformats.org/officeDocument/2006/relationships/hyperlink" Target="https://doi.org/10.1093/annonc/mdr304" TargetMode="External"/><Relationship Id="rIdfogbqogpkphyyrflqj0ln" Type="http://schemas.openxmlformats.org/officeDocument/2006/relationships/hyperlink" Target="https://doi.org/10.1038/bjc.1982.62" TargetMode="External"/><Relationship Id="rIdd01hjst08crvubyxddaba" Type="http://schemas.openxmlformats.org/officeDocument/2006/relationships/hyperlink" Target="https://doi.org/10.1002/9781119482260" TargetMode="External"/><Relationship Id="rIdq8pj5cidcorcwlxw7db77" Type="http://schemas.openxmlformats.org/officeDocument/2006/relationships/hyperlink" Target="https://doi.org/10.1056/NEJMoa041588" TargetMode="External"/><Relationship Id="rIdts3_u_hfcevayacy5crag" Type="http://schemas.openxmlformats.org/officeDocument/2006/relationships/hyperlink" Target="https://jmlr.org/papers/v12/pedregosa11a.html" TargetMode="External"/><Relationship Id="rIdfvolxmbr7vpy2-pen7cgl" Type="http://schemas.openxmlformats.org/officeDocument/2006/relationships/hyperlink" Target="https://doi.org/10.1038/ncomms11479" TargetMode="External"/><Relationship Id="rIdssajzlbkjpfkfjkfguwth" Type="http://schemas.openxmlformats.org/officeDocument/2006/relationships/hyperlink" Target="https://doi.org/10.1093/jnci/djj052" TargetMode="External"/><Relationship Id="rIdk4lp17jg2lfv4zigdnpjz" Type="http://schemas.openxmlformats.org/officeDocument/2006/relationships/hyperlink" Target="https://doi.org/10.18637/jss.v045.i03" TargetMode="External"/><Relationship Id="rId8" Type="http://schemas.openxmlformats.org/officeDocument/2006/relationships/image" Target="media/4fe8139678eb38a8a24b7a001e26db3ff7a2a5fd.png"/><Relationship Id="rId9" Type="http://schemas.openxmlformats.org/officeDocument/2006/relationships/image" Target="media/29a9462f5a966f4f986d42a68b802b41dd363be1.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Martín Gracia Socha</dc:creator>
  <cp:lastModifiedBy>Un-named</cp:lastModifiedBy>
  <cp:revision>1</cp:revision>
  <dcterms:created xsi:type="dcterms:W3CDTF">2026-10-25T17:26:34.008Z</dcterms:created>
  <dcterms:modified xsi:type="dcterms:W3CDTF">2026-10-25T17:26:34.008Z</dcterms:modified>
</cp:coreProperties>
</file>

<file path=docProps/custom.xml><?xml version="1.0" encoding="utf-8"?>
<Properties xmlns="http://schemas.openxmlformats.org/officeDocument/2006/custom-properties" xmlns:vt="http://schemas.openxmlformats.org/officeDocument/2006/docPropsVTypes"/>
</file>