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</w:pPr>
    </w:p>
    <w:p>
      <w:pPr>
        <w:spacing w:line="480"/>
      </w:pPr>
    </w:p>
    <w:p>
      <w:pPr>
        <w:spacing w:line="480"/>
        <w:jc w:val="center"/>
      </w:pPr>
      <w:r>
        <w:rPr>
          <w:b/>
          <w:bCs/>
        </w:rPr>
        <w:t xml:space="preserve">Partición de Datos y Modelo Base</w:t>
      </w:r>
    </w:p>
    <w:p>
      <w:pPr>
        <w:spacing w:line="480"/>
        <w:jc w:val="center"/>
      </w:pPr>
      <w:r>
        <w:rPr>
          <w:b/>
          <w:bCs/>
        </w:rPr>
        <w:t xml:space="preserve">Proyecto Integrador METABRIC: Entregable 2 (Fase 2, Actividad 4)</w:t>
      </w:r>
    </w:p>
    <w:p>
      <w:pPr>
        <w:spacing w:line="480"/>
      </w:pPr>
    </w:p>
    <w:p>
      <w:pPr>
        <w:spacing w:line="480"/>
        <w:jc w:val="center"/>
      </w:pPr>
      <w:r>
        <w:t xml:space="preserve">Martín Gracia Socha</w:t>
      </w:r>
    </w:p>
    <w:p>
      <w:pPr>
        <w:spacing w:line="480"/>
        <w:jc w:val="center"/>
      </w:pPr>
      <w:r>
        <w:t xml:space="preserve">Facultad de Ingeniería, Universidad de La Salle</w:t>
      </w:r>
    </w:p>
    <w:p>
      <w:pPr>
        <w:spacing w:line="480"/>
        <w:jc w:val="center"/>
      </w:pPr>
      <w:r>
        <w:t xml:space="preserve">Ciencia de Datos (2026-2): Maestría en Inteligencia Artificial</w:t>
      </w:r>
    </w:p>
    <w:p>
      <w:pPr>
        <w:spacing w:line="480"/>
        <w:jc w:val="center"/>
      </w:pPr>
      <w:r>
        <w:t xml:space="preserve">Fabián Camilo Castro Riveros</w:t>
      </w:r>
    </w:p>
    <w:p>
      <w:pPr>
        <w:spacing w:line="480"/>
        <w:jc w:val="center"/>
      </w:pPr>
      <w:r>
        <w:t xml:space="preserve">15 de noviembre de 2026</w:t>
      </w:r>
    </w:p>
    <w:p>
      <w:pPr>
        <w:spacing w:line="480"/>
      </w:pPr>
    </w:p>
    <w:tbl>
      <w:tblPr>
        <w:tblW w:type="dxa" w:w="9360"/>
        <w:tblBorders>
          <w:top w:val="single" w:color="147089" w:sz="6"/>
          <w:left w:val="single" w:color="147089" w:sz="6"/>
          <w:bottom w:val="single" w:color="147089" w:sz="6"/>
          <w:right w:val="single" w:color="147089" w:sz="6"/>
          <w:insideH w:val="none" w:color="FFFFFF" w:sz="0"/>
          <w:insideV w:val="none" w:color="FFFFFF" w:sz="0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color w:val="0E2841"/>
                <w:sz w:val="20"/>
                <w:szCs w:val="20"/>
              </w:rPr>
              <w:t xml:space="preserve">Archivos ejecutables y recursos de esta entrega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Repositorio del proyecto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huadaijm73yrqbryvjtvn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Cuaderno 02 (GitHub)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pnpoxse-8zm8aobsozqli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https://github.com/MartinGia/metabric-proyecto-integrador/blob/main/notebooks/02_Limpieza_Ingenieria_Variables.ipynb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Cuaderno 02 (Colab)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iz3bzrpwh1g_0cgsvq2nt">
              <w:r>
                <w:rPr>
                  <w:rStyle w:val="Hyperlink"/>
                  <w:sz w:val="20"/>
                  <w:szCs w:val="20"/>
                </w:rPr>
                <w:t xml:space="preserve">https://colab.research.google.com/github/MartinGia/metabric-proyecto-integrador/blob/main/notebooks/02_Limpieza_Ingenieria_Variables.ipynb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Cuaderno 03 (GitHub)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7cuxmpskowk5805f0q5c6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https://github.com/MartinGia/metabric-proyecto-integrador/blob/main/notebooks/03_Particion_Modelo_Base.ipynb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Cuaderno 03 (Colab)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caw53zcv0ov74ucdaibzr">
              <w:r>
                <w:rPr>
                  <w:rStyle w:val="Hyperlink"/>
                  <w:sz w:val="20"/>
                  <w:szCs w:val="20"/>
                </w:rPr>
                <w:t xml:space="preserve">https://colab.research.google.com/github/MartinGia/metabric-proyecto-integrador/blob/main/notebooks/03_Particion_Modelo_Base.ipynb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Partición fija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tm1f_s1js8lyv78ofgeri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https://github.com/MartinGia/metabric-proyecto-integrador/blob/main/data/processed/splits.csv</w:t>
              </w:r>
            </w:hyperlink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80"/>
            </w:tcMar>
          </w:tcPr>
          <w:p>
            <w:pPr>
              <w:spacing w:line="240"/>
            </w:pPr>
            <w:r>
              <w:rPr>
                <w:b/>
                <w:bCs/>
                <w:sz w:val="20"/>
                <w:szCs w:val="20"/>
              </w:rPr>
              <w:t xml:space="preserve">Métricas del modelo base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100"/>
            </w:tcMar>
          </w:tcPr>
          <w:p>
            <w:pPr>
              <w:spacing w:line="240"/>
            </w:pPr>
            <w:hyperlink w:history="1" r:id="rIdzbfhe3pttcza8-xbylor2">
              <w:r>
                <w:rPr>
                  <w:rStyle w:val="Hyperlink"/>
                  <w:sz w:val="20"/>
                  <w:szCs w:val="20"/>
                </w:rPr>
                <w:t xml:space="preserve">https://github.com/MartinGia/metabric-proyecto-integrador/blob/main/reports/metrics/baseline_thresholds.json</w:t>
              </w:r>
            </w:hyperlink>
          </w:p>
        </w:tc>
      </w:tr>
    </w:tbl>
    <w:p>
      <w:pPr>
        <w:spacing w:before="80" w:line="240"/>
      </w:pPr>
      <w:r>
        <w:rPr>
          <w:i/>
          <w:iCs/>
          <w:sz w:val="18"/>
          <w:szCs w:val="18"/>
        </w:rPr>
        <w:t xml:space="preserve">Los cuadernos se pueden abrir y ejecutar directamente en Google Colab: la primera celda clona el repositorio e instala las dependencias que falten.</w:t>
      </w:r>
    </w:p>
    <w:p>
      <w:r>
        <w:br w:type="page"/>
      </w: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Partición de Datos y Modelo Base</w:t>
      </w:r>
    </w:p>
    <w:p>
      <w:pPr>
        <w:spacing w:after="0" w:before="0" w:line="480"/>
        <w:ind w:firstLine="720"/>
        <w:jc w:val="left"/>
      </w:pPr>
      <w:r>
        <w:t xml:space="preserve">El Entregable 2 lo forman dos cuadernos. El cuaderno 02 cubre la limpieza, el análisis del mecanismo de los faltantes, el tratamiento de atípicos, las variables derivadas y la codificación sin fuga de información. El cuaderno 03, resumido en este documento, valida la partición, trata el desbalance de clases y establece los modelos base que fijan el umbral mínimo de desempeño.</w:t>
      </w:r>
    </w:p>
    <w:p>
      <w:pPr>
        <w:pStyle w:val="Heading2"/>
        <w:spacing w:after="0" w:before="0" w:line="480"/>
      </w:pPr>
      <w:r>
        <w:rPr>
          <w:b/>
          <w:bCs/>
        </w:rPr>
        <w:t xml:space="preserve">Protocolo de Evaluación</w:t>
      </w:r>
    </w:p>
    <w:p>
      <w:pPr>
        <w:spacing w:after="0" w:before="0" w:line="480"/>
        <w:ind w:firstLine="720"/>
        <w:jc w:val="left"/>
      </w:pPr>
      <w:r>
        <w:t xml:space="preserve">Los hiperparámetros y la variabilidad se estiman con validación cruzada (CV) de 5 pliegues dentro de entrenamiento; la validación se usa para comparar modelos ya ajustados; y el conjunto de prueba se reserva para la evaluación final de la fase 3 (Hastie et al., 2009). La partición se regenera de forma idéntica desde los datos crudos, ninguna paciente aparece en dos subconjuntos y la distribución del NPI es equivalente entre ellos (Kolmogorov-Smirnov, p = 0,94 y 0,93).</w:t>
      </w:r>
    </w:p>
    <w:p>
      <w:pPr>
        <w:pStyle w:val="Heading2"/>
        <w:spacing w:after="0" w:before="0" w:line="480"/>
      </w:pPr>
      <w:r>
        <w:rPr>
          <w:b/>
          <w:bCs/>
        </w:rPr>
        <w:t xml:space="preserve">Desbalance de Clases</w:t>
      </w:r>
    </w:p>
    <w:p>
      <w:pPr>
        <w:spacing w:after="0" w:before="0" w:line="480"/>
        <w:ind w:firstLine="720"/>
        <w:jc w:val="left"/>
      </w:pPr>
      <w:r>
        <w:t xml:space="preserve">La razón entre la clase mayoritaria (Luminal A, 475 pacientes) y la minoritaria (Normal-like, 98) en entrenamiento es 4,85, un desbalance moderado. Se compararon tres estrategias sobre la misma regresión logística (Tabla 1). SMOTE (Chawla et al., 2002) se aplicó dentro de un </w:t>
      </w:r>
      <w:r>
        <w:rPr>
          <w:i/>
          <w:iCs/>
        </w:rPr>
        <w:t xml:space="preserve">pipeline</w:t>
      </w:r>
      <w:r>
        <w:t xml:space="preserve"> de imbalanced-learn (Lemaître et al., 2017) para no contaminar los pliegues de evaluación. Las tres empatan en F1 macro, dentro de una desviación estándar; se eligió </w:t>
      </w:r>
      <w:r>
        <w:rPr>
          <w:rFonts w:ascii="Courier New" w:cs="Courier New" w:eastAsia="Courier New" w:hAnsi="Courier New"/>
          <w:sz w:val="20"/>
          <w:szCs w:val="20"/>
        </w:rPr>
        <w:t xml:space="preserve">class_weight = balanced</w:t>
      </w:r>
      <w:r>
        <w:t xml:space="preserve"> porque mejora el </w:t>
      </w:r>
      <w:r>
        <w:rPr>
          <w:i/>
          <w:iCs/>
        </w:rPr>
        <w:t xml:space="preserve">recall</w:t>
      </w:r>
      <w:r>
        <w:t xml:space="preserve"> de la clase minoritaria sin crear datos sintéticos en un espacio de casi 600 dimensiones.</w:t>
      </w:r>
    </w:p>
    <w:p>
      <w:pPr>
        <w:keepNext/>
        <w:spacing w:before="240" w:line="480"/>
      </w:pPr>
      <w:r>
        <w:rPr>
          <w:b/>
          <w:bCs/>
        </w:rPr>
        <w:t xml:space="preserve">Tabla 1</w:t>
      </w:r>
    </w:p>
    <w:p>
      <w:pPr>
        <w:keepNext/>
        <w:spacing w:line="480"/>
      </w:pPr>
      <w:r>
        <w:rPr>
          <w:i/>
          <w:iCs/>
        </w:rPr>
        <w:t xml:space="preserve">Comparación de estrategias de desbalance (validación cruzada en entrenamiento)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Estrategia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F1 macro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Exactitud balanceada</w:t>
            </w:r>
          </w:p>
        </w:tc>
        <w:tc>
          <w:tcPr>
            <w:tcW w:type="dxa" w:w="20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Recall Normal-like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tratamiento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0,701 ± 0,012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0,694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0,449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class_weight = balanced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0,698 ± 0,019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0,697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0,480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SMOTE (k = 5)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0,697 ± 0,017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0,696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0,469</w:t>
            </w:r>
          </w:p>
        </w:tc>
      </w:tr>
    </w:tbl>
    <w:p>
      <w:pPr>
        <w:spacing w:after="240" w:line="240"/>
      </w:pPr>
    </w:p>
    <w:p>
      <w:pPr>
        <w:pStyle w:val="Heading2"/>
        <w:spacing w:after="0" w:before="0" w:line="480"/>
      </w:pPr>
      <w:r>
        <w:rPr>
          <w:b/>
          <w:bCs/>
        </w:rPr>
        <w:t xml:space="preserve">Modelo Base de Regresión</w:t>
      </w:r>
    </w:p>
    <w:p>
      <w:pPr>
        <w:spacing w:after="0" w:before="0" w:line="480"/>
        <w:ind w:firstLine="720"/>
        <w:jc w:val="left"/>
      </w:pPr>
      <w:r>
        <w:t xml:space="preserve">La Tabla 2 compara tres referencias para el NPI. La regresión lineal simple con el puntaje de proliferación explica el 15,3 % de la varianza en CV y reduce el RMSE de validación de 1,094 (</w:t>
      </w:r>
      <w:r>
        <w:rPr>
          <w:i/>
          <w:iCs/>
        </w:rPr>
        <w:t xml:space="preserve">Dummy</w:t>
      </w:r>
      <w:r>
        <w:t xml:space="preserve">) a 1,025. La regresión lineal múltiple sin regularizar, con 572 predictores, pasa de R² = 0,60 en entrenamiento a −0,63 en CV: memoriza el ruido, lo que justifica la regularización de la fase 3.</w:t>
      </w:r>
    </w:p>
    <w:p>
      <w:pPr>
        <w:keepNext/>
        <w:spacing w:before="240" w:line="480"/>
      </w:pPr>
      <w:r>
        <w:rPr>
          <w:b/>
          <w:bCs/>
        </w:rPr>
        <w:t xml:space="preserve">Tabla 2</w:t>
      </w:r>
    </w:p>
    <w:p>
      <w:pPr>
        <w:keepNext/>
        <w:spacing w:line="480"/>
      </w:pPr>
      <w:r>
        <w:rPr>
          <w:i/>
          <w:iCs/>
        </w:rPr>
        <w:t xml:space="preserve">Modelos base de regresión del NPI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R² train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R² CV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R² val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RMSE CV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RMSE val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DummyRegressor (media)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-0,003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-0,001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1,083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1,094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Regresión lineal simple (proliferación)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0,158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0,153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0,121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0,995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1,025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Regresión lineal múltiple sin regularizar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0,600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-0,629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-0,375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1,282</w:t>
            </w:r>
          </w:p>
        </w:tc>
      </w:tr>
    </w:tbl>
    <w:p>
      <w:pPr>
        <w:spacing w:after="240" w:line="240"/>
      </w:pPr>
    </w:p>
    <w:p>
      <w:pPr>
        <w:keepNext/>
        <w:spacing w:before="240" w:line="480"/>
      </w:pPr>
      <w:r>
        <w:rPr>
          <w:b/>
          <w:bCs/>
        </w:rPr>
        <w:t xml:space="preserve">Figura 1</w:t>
      </w:r>
    </w:p>
    <w:p>
      <w:pPr>
        <w:keepNext/>
        <w:spacing w:line="480"/>
      </w:pPr>
      <w:r>
        <w:rPr>
          <w:i/>
          <w:iCs/>
        </w:rPr>
        <w:t xml:space="preserve">Modelo base de regresión: recta ajustada, residuos y R² por subconjunto</w:t>
      </w:r>
    </w:p>
    <w:p>
      <w:pPr>
        <w:keepNext w:val="false"/>
        <w:jc w:val="center"/>
      </w:pPr>
      <w:r>
        <w:drawing>
          <wp:inline distT="0" distB="0" distL="0" distR="0">
            <wp:extent cx="5943600" cy="1562100"/>
            <wp:effectExtent t="0" r="0" b="0" l="0"/>
            <wp:docPr id="3" name="18_baseline_regresion.png" descr="Modelo base de regresión: recta ajustada, residuos y R² por subconjunto" title="Modelo base de regresión: recta ajustada, residuos y R² por subconju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0" w:before="0" w:line="480"/>
      </w:pPr>
      <w:r>
        <w:rPr>
          <w:b/>
          <w:bCs/>
        </w:rPr>
        <w:t xml:space="preserve">Modelo Base de Clasificación</w:t>
      </w:r>
    </w:p>
    <w:p>
      <w:pPr>
        <w:spacing w:after="0" w:before="0" w:line="480"/>
        <w:ind w:firstLine="720"/>
        <w:jc w:val="left"/>
      </w:pPr>
      <w:r>
        <w:t xml:space="preserve">La regresión logística básica con todos los predictores alcanza un F1 macro de 0,698 en CV y de 0,755 en validación, con AUC-ROC de 0,959 (Tabla 3). Supera con amplitud al clasificador </w:t>
      </w:r>
      <w:r>
        <w:rPr>
          <w:i/>
          <w:iCs/>
        </w:rPr>
        <w:t xml:space="preserve">Dummy</w:t>
      </w:r>
      <w:r>
        <w:t xml:space="preserve"> (0,088) y a una logística que solo usa los receptores clínicos ER, PR y HER2 (0,376), que no reconoce ningún tumor claudin-low ni Normal-like. Su F1 de entrenamiento es 1,000: la brecha de 0,30 frente a CV y la curva de aprendizaje, que sigue subiendo con más datos, indican un problema de alta varianza.</w:t>
      </w:r>
    </w:p>
    <w:p>
      <w:pPr>
        <w:keepNext/>
        <w:spacing w:before="240" w:line="480"/>
      </w:pPr>
      <w:r>
        <w:rPr>
          <w:b/>
          <w:bCs/>
        </w:rPr>
        <w:t xml:space="preserve">Tabla 3</w:t>
      </w:r>
    </w:p>
    <w:p>
      <w:pPr>
        <w:keepNext/>
        <w:spacing w:line="480"/>
      </w:pPr>
      <w:r>
        <w:rPr>
          <w:i/>
          <w:iCs/>
        </w:rPr>
        <w:t xml:space="preserve">Modelos base de clasificación del subtipo PAM50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33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F1 train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F1 CV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F1 val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Exactitud val</w:t>
            </w:r>
          </w:p>
        </w:tc>
        <w:tc>
          <w:tcPr>
            <w:tcW w:type="dxa" w:w="12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AUC val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Dummy (clase más frecuente)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0,088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0,088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0,088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0,359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0,500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Dummy (estratificado)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0,171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0,187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0,178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0,246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0,509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Logística: receptores ER/PR/HER2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0,351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0,351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0,376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0,507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0,723</w:t>
            </w:r>
          </w:p>
        </w:tc>
      </w:tr>
      <w:tr>
        <w:trPr>
          <w:cantSplit/>
        </w:trPr>
        <w:tc>
          <w:tcPr>
            <w:tcW w:type="dxa" w:w="33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Logística básica: todos los predictores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0,698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0,755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0,782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0,959</w:t>
            </w:r>
          </w:p>
        </w:tc>
      </w:tr>
    </w:tbl>
    <w:p>
      <w:pPr>
        <w:spacing w:after="240" w:line="240"/>
      </w:pPr>
    </w:p>
    <w:p>
      <w:pPr>
        <w:keepNext/>
        <w:spacing w:before="240" w:line="480"/>
      </w:pPr>
      <w:r>
        <w:rPr>
          <w:b/>
          <w:bCs/>
        </w:rPr>
        <w:t xml:space="preserve">Figura 2</w:t>
      </w:r>
    </w:p>
    <w:p>
      <w:pPr>
        <w:keepNext/>
        <w:spacing w:line="480"/>
      </w:pPr>
      <w:r>
        <w:rPr>
          <w:i/>
          <w:iCs/>
        </w:rPr>
        <w:t xml:space="preserve">Matrices de confusión y curvas ROC del modelo base de clasificación (validación)</w:t>
      </w:r>
    </w:p>
    <w:p>
      <w:pPr>
        <w:keepNext w:val="false"/>
        <w:jc w:val="center"/>
      </w:pPr>
      <w:r>
        <w:drawing>
          <wp:inline distT="0" distB="0" distL="0" distR="0">
            <wp:extent cx="5943600" cy="1600200"/>
            <wp:effectExtent t="0" r="0" b="0" l="0"/>
            <wp:docPr id="4" name="19_baseline_clasificacion.png" descr="Matrices de confusión y curvas ROC del modelo base de clasificación (validación)" title="Matrices de confusión y curvas ROC del modelo base de clasificación (validació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240" w:line="480"/>
      </w:pPr>
      <w:r>
        <w:rPr>
          <w:b/>
          <w:bCs/>
        </w:rPr>
        <w:t xml:space="preserve">Figura 3</w:t>
      </w:r>
    </w:p>
    <w:p>
      <w:pPr>
        <w:keepNext/>
        <w:spacing w:line="480"/>
      </w:pPr>
      <w:r>
        <w:rPr>
          <w:i/>
          <w:iCs/>
        </w:rPr>
        <w:t xml:space="preserve">Curvas de aprendizaje de los modelos base</w:t>
      </w:r>
    </w:p>
    <w:p>
      <w:pPr>
        <w:keepNext w:val="false"/>
        <w:jc w:val="center"/>
      </w:pPr>
      <w:r>
        <w:drawing>
          <wp:inline distT="0" distB="0" distL="0" distR="0">
            <wp:extent cx="5353050" cy="1676400"/>
            <wp:effectExtent t="0" r="0" b="0" l="0"/>
            <wp:docPr id="5" name="20_curvas_aprendizaje.png" descr="Curvas de aprendizaje de los modelos base" title="Curvas de aprendizaje de los modelos 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0" w:before="0" w:line="480"/>
      </w:pPr>
      <w:r>
        <w:rPr>
          <w:b/>
          <w:bCs/>
        </w:rPr>
        <w:t xml:space="preserve">Umbral Mínimo de Desempeño</w:t>
      </w:r>
    </w:p>
    <w:p>
      <w:pPr>
        <w:spacing w:after="0" w:before="0" w:line="480"/>
        <w:ind w:firstLine="720"/>
        <w:jc w:val="left"/>
      </w:pPr>
      <w:r>
        <w:t xml:space="preserve">Los modelos de la fase 3 deben superar dos umbrales: en regresión, RMSE de CV de 0,995 (R² = 0,153); en clasificación, F1 macro de CV de 0,698 (AUC = 0,943). Con estos resultados se fijaron las metas SMART: R² ≥ 0,20 para el NPI y, para el subtipo, F1 macro ≥ 0,75 en prueba con una brecha de sobreajuste menor que 0,15.</w:t>
      </w:r>
    </w:p>
    <w:p>
      <w:r>
        <w:br w:type="page"/>
      </w:r>
    </w:p>
    <w:p>
      <w:pPr>
        <w:pStyle w:val="Heading1"/>
        <w:spacing w:after="0" w:before="0" w:line="480"/>
        <w:jc w:val="center"/>
      </w:pPr>
      <w:r>
        <w:rPr>
          <w:b/>
          <w:bCs/>
        </w:rPr>
        <w:t xml:space="preserve">Referencias</w:t>
      </w:r>
    </w:p>
    <w:p>
      <w:pPr>
        <w:spacing w:line="480"/>
        <w:ind w:left="720" w:hanging="720"/>
      </w:pPr>
      <w:r>
        <w:t xml:space="preserve">Chawla, N. V., Bowyer, K. W., Hall, L. O. y Kegelmeyer, W. P. (2002). SMOTE: Synthetic minority over-sampling technique. </w:t>
      </w:r>
      <w:r>
        <w:rPr>
          <w:i/>
          <w:iCs/>
        </w:rPr>
        <w:t xml:space="preserve">Journal of Artificial Intelligence Research, 16</w:t>
      </w:r>
      <w:r>
        <w:t xml:space="preserve">, 321–357. </w:t>
      </w:r>
      <w:hyperlink w:history="1" r:id="rId1lgqmqeyrab8bxd0aoox5">
        <w:r>
          <w:rPr>
            <w:rStyle w:val="Hyperlink"/>
          </w:rPr>
          <w:t xml:space="preserve">https://doi.org/10.1613/jair.953</w:t>
        </w:r>
      </w:hyperlink>
    </w:p>
    <w:p>
      <w:pPr>
        <w:spacing w:line="480"/>
        <w:ind w:left="720" w:hanging="720"/>
      </w:pPr>
      <w:r>
        <w:t xml:space="preserve">Hastie, T., Tibshirani, R. y Friedman, J. (2009). </w:t>
      </w:r>
      <w:r>
        <w:rPr>
          <w:i/>
          <w:iCs/>
        </w:rPr>
        <w:t xml:space="preserve">The elements of statistical learning: Data mining, inference, and prediction</w:t>
      </w:r>
      <w:r>
        <w:t xml:space="preserve"> (2.ª ed.). Springer. </w:t>
      </w:r>
      <w:hyperlink w:history="1" r:id="rIdoiqe3hvdhftaxjx8dmahd">
        <w:r>
          <w:rPr>
            <w:rStyle w:val="Hyperlink"/>
          </w:rPr>
          <w:t xml:space="preserve">https://doi.org/10.1007/978-0-387-84858-7</w:t>
        </w:r>
      </w:hyperlink>
    </w:p>
    <w:p>
      <w:pPr>
        <w:spacing w:line="480"/>
        <w:ind w:left="720" w:hanging="720"/>
      </w:pPr>
      <w:r>
        <w:t xml:space="preserve">Lemaître, G., Nogueira, F. y Aridas, C. K. (2017). Imbalanced-learn: A Python toolbox to tackle the curse of imbalanced datasets in machine learning. </w:t>
      </w:r>
      <w:r>
        <w:rPr>
          <w:i/>
          <w:iCs/>
        </w:rPr>
        <w:t xml:space="preserve">Journal of Machine Learning Research, 18</w:t>
      </w:r>
      <w:r>
        <w:t xml:space="preserve">(17), 1–5. </w:t>
      </w:r>
      <w:hyperlink w:history="1" r:id="rIdkxlubobftlscmipwgpd2x">
        <w:r>
          <w:rPr>
            <w:rStyle w:val="Hyperlink"/>
          </w:rPr>
          <w:t xml:space="preserve">https://jmlr.org/papers/v18/16-365.html</w:t>
        </w:r>
      </w:hyperlink>
    </w:p>
    <w:p>
      <w:pPr>
        <w:spacing w:line="480"/>
        <w:ind w:left="720" w:hanging="720"/>
      </w:pPr>
      <w:r>
        <w:t xml:space="preserve">Pedregosa, F., Varoquaux, G., Gramfort, A., Michel, V., Thirion, B., Grisel, O., Blondel, M., Prettenhofer, P., Weiss, R., Dubourg, V., Vanderplas, J., Passos, A., Cournapeau, D., Brucher, M., Perrot, M. y Duchesnay, É. (2011). Scikit-learn: Machine learning in Python. </w:t>
      </w:r>
      <w:r>
        <w:rPr>
          <w:i/>
          <w:iCs/>
        </w:rPr>
        <w:t xml:space="preserve">Journal of Machine Learning Research, 12</w:t>
      </w:r>
      <w:r>
        <w:t xml:space="preserve">, 2825–2830. </w:t>
      </w:r>
      <w:hyperlink w:history="1" r:id="rIdnvvv7uxntg2pqpkacnp2j">
        <w:r>
          <w:rPr>
            <w:rStyle w:val="Hyperlink"/>
          </w:rPr>
          <w:t xml:space="preserve">https://jmlr.org/papers/v12/pedregosa11a.html</w:t>
        </w:r>
      </w:hyperlink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line="480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line="48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line="48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huadaijm73yrqbryvjtvn" Type="http://schemas.openxmlformats.org/officeDocument/2006/relationships/hyperlink" Target="https://github.com/MartinGia/metabric-proyecto-integrador" TargetMode="External"/><Relationship Id="rIdpnpoxse-8zm8aobsozqli" Type="http://schemas.openxmlformats.org/officeDocument/2006/relationships/hyperlink" Target="https://github.com/MartinGia/metabric-proyecto-integrador/blob/main/notebooks/02_Limpieza_Ingenieria_Variables.ipynb" TargetMode="External"/><Relationship Id="rIdiz3bzrpwh1g_0cgsvq2nt" Type="http://schemas.openxmlformats.org/officeDocument/2006/relationships/hyperlink" Target="https://colab.research.google.com/github/MartinGia/metabric-proyecto-integrador/blob/main/notebooks/02_Limpieza_Ingenieria_Variables.ipynb" TargetMode="External"/><Relationship Id="rId7cuxmpskowk5805f0q5c6" Type="http://schemas.openxmlformats.org/officeDocument/2006/relationships/hyperlink" Target="https://github.com/MartinGia/metabric-proyecto-integrador/blob/main/notebooks/03_Particion_Modelo_Base.ipynb" TargetMode="External"/><Relationship Id="rIdcaw53zcv0ov74ucdaibzr" Type="http://schemas.openxmlformats.org/officeDocument/2006/relationships/hyperlink" Target="https://colab.research.google.com/github/MartinGia/metabric-proyecto-integrador/blob/main/notebooks/03_Particion_Modelo_Base.ipynb" TargetMode="External"/><Relationship Id="rIdtm1f_s1js8lyv78ofgeri" Type="http://schemas.openxmlformats.org/officeDocument/2006/relationships/hyperlink" Target="https://github.com/MartinGia/metabric-proyecto-integrador/blob/main/data/processed/splits.csv" TargetMode="External"/><Relationship Id="rIdzbfhe3pttcza8-xbylor2" Type="http://schemas.openxmlformats.org/officeDocument/2006/relationships/hyperlink" Target="https://github.com/MartinGia/metabric-proyecto-integrador/blob/main/reports/metrics/baseline_thresholds.json" TargetMode="External"/><Relationship Id="rId1lgqmqeyrab8bxd0aoox5" Type="http://schemas.openxmlformats.org/officeDocument/2006/relationships/hyperlink" Target="https://doi.org/10.1613/jair.953" TargetMode="External"/><Relationship Id="rIdoiqe3hvdhftaxjx8dmahd" Type="http://schemas.openxmlformats.org/officeDocument/2006/relationships/hyperlink" Target="https://doi.org/10.1007/978-0-387-84858-7" TargetMode="External"/><Relationship Id="rIdkxlubobftlscmipwgpd2x" Type="http://schemas.openxmlformats.org/officeDocument/2006/relationships/hyperlink" Target="https://jmlr.org/papers/v18/16-365.html" TargetMode="External"/><Relationship Id="rIdnvvv7uxntg2pqpkacnp2j" Type="http://schemas.openxmlformats.org/officeDocument/2006/relationships/hyperlink" Target="https://jmlr.org/papers/v12/pedregosa11a.html" TargetMode="External"/><Relationship Id="rId8" Type="http://schemas.openxmlformats.org/officeDocument/2006/relationships/image" Target="media/594c8fcc1b375be4b28f137833511361ddffc022.png"/><Relationship Id="rId9" Type="http://schemas.openxmlformats.org/officeDocument/2006/relationships/image" Target="media/70b14bf487e9252740b3327bf1e92e1e369372cf.png"/><Relationship Id="rId10" Type="http://schemas.openxmlformats.org/officeDocument/2006/relationships/image" Target="media/99776f81c2ba2283542b6c804f2aa37f741faa73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Martín Gracia Socha</dc:creator>
  <cp:lastModifiedBy>Un-named</cp:lastModifiedBy>
  <cp:revision>1</cp:revision>
  <dcterms:created xsi:type="dcterms:W3CDTF">2026-10-25T17:26:34.335Z</dcterms:created>
  <dcterms:modified xsi:type="dcterms:W3CDTF">2026-10-25T17:26:34.335Z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