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Evaluación Comparativa, Optimización e Interpretabilidad</w:t>
      </w:r>
    </w:p>
    <w:p>
      <w:pPr>
        <w:spacing w:line="480"/>
        <w:jc w:val="center"/>
      </w:pPr>
      <w:r>
        <w:rPr>
          <w:b/>
          <w:bCs/>
        </w:rPr>
        <w:t xml:space="preserve">Proyecto Integrador METABRIC: Entregable 3 (Fase 3, Actividad 6)</w:t>
      </w:r>
    </w:p>
    <w:p>
      <w:pPr>
        <w:spacing w:line="480"/>
      </w:pPr>
    </w:p>
    <w:p>
      <w:pPr>
        <w:spacing w:line="480"/>
        <w:jc w:val="center"/>
      </w:pPr>
      <w:r>
        <w:t xml:space="preserve">Martín Gracia Socha</w:t>
      </w:r>
    </w:p>
    <w:p>
      <w:pPr>
        <w:spacing w:line="480"/>
        <w:jc w:val="center"/>
      </w:pPr>
      <w:r>
        <w:t xml:space="preserve">Facultad de Ingeniería, Universidad de La Salle</w:t>
      </w:r>
    </w:p>
    <w:p>
      <w:pPr>
        <w:spacing w:line="480"/>
        <w:jc w:val="center"/>
      </w:pPr>
      <w:r>
        <w:t xml:space="preserve">Ciencia de Datos (2026-2): Maestría en Inteligencia Artificial</w:t>
      </w:r>
    </w:p>
    <w:p>
      <w:pPr>
        <w:spacing w:line="480"/>
        <w:jc w:val="center"/>
      </w:pPr>
      <w:r>
        <w:t xml:space="preserve">Fabián Camilo Castro Riveros</w:t>
      </w:r>
    </w:p>
    <w:p>
      <w:pPr>
        <w:spacing w:line="480"/>
        <w:jc w:val="center"/>
      </w:pPr>
      <w:r>
        <w:t xml:space="preserve">22 de noviembre de 2026</w:t>
      </w:r>
    </w:p>
    <w:p>
      <w:pPr>
        <w:spacing w:line="480"/>
      </w:pPr>
    </w:p>
    <w:tbl>
      <w:tblPr>
        <w:tblW w:type="dxa" w:w="9360"/>
        <w:tblBorders>
          <w:top w:val="single" w:color="147089" w:sz="6"/>
          <w:left w:val="single" w:color="147089" w:sz="6"/>
          <w:bottom w:val="single" w:color="147089" w:sz="6"/>
          <w:right w:val="single" w:color="147089" w:sz="6"/>
          <w:insideH w:val="none" w:color="FFFFFF" w:sz="0"/>
          <w:insideV w:val="none" w:color="FFFFFF" w:sz="0"/>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EAF2F6" w:color="auto" w:val="clear"/>
            <w:tcMar>
              <w:top w:type="dxa" w:w="60"/>
              <w:left w:type="dxa" w:w="100"/>
              <w:bottom w:type="dxa" w:w="60"/>
              <w:right w:type="dxa" w:w="100"/>
            </w:tcMar>
          </w:tcPr>
          <w:p>
            <w:pPr>
              <w:spacing w:line="240"/>
            </w:pPr>
            <w:r>
              <w:rPr>
                <w:b/>
                <w:bCs/>
                <w:color w:val="0E2841"/>
                <w:sz w:val="20"/>
                <w:szCs w:val="20"/>
              </w:rPr>
              <w:t xml:space="preserve">Archivos ejecutables y recursos de esta entrega</w:t>
            </w:r>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Repositorio del proyecto</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aw71dhf2y9gtzqekbszzh">
              <w:r>
                <w:rPr>
                  <w:rStyle w:val="Hyperlink"/>
                  <w:sz w:val="20"/>
                  <w:szCs w:val="20"/>
                </w:rPr>
                <w:t xml:space="preserve">https://github.com/MartinGia/metabric-proyecto-integrador</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04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2yzzqstc3dprngnh8qste">
              <w:r>
                <w:rPr>
                  <w:rStyle w:val="Hyperlink"/>
                  <w:sz w:val="20"/>
                  <w:szCs w:val="20"/>
                </w:rPr>
                <w:t xml:space="preserve">https://github.com/MartinGia/metabric-proyecto-integrador/blob/main/notebooks/04_Modelado_Avanzado.ipynb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04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1bqwwt-xtnehdy6n2ooxj">
              <w:r>
                <w:rPr>
                  <w:rStyle w:val="Hyperlink"/>
                  <w:sz w:val="20"/>
                  <w:szCs w:val="20"/>
                </w:rPr>
                <w:t xml:space="preserve">https://colab.research.google.com/github/MartinGia/metabric-proyecto-integrador/blob/main/notebooks/04_Modelado_Avanzado.ipynb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05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_fkasoble5xgaj4a2dry-">
              <w:r>
                <w:rPr>
                  <w:rStyle w:val="Hyperlink"/>
                  <w:sz w:val="20"/>
                  <w:szCs w:val="20"/>
                </w:rPr>
                <w:t xml:space="preserve">https://github.com/MartinGia/metabric-proyecto-integrador/blob/main/notebooks/05_MLP_PyTorch.ipynb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05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dp8zgzer-rleqnux_cgaf">
              <w:r>
                <w:rPr>
                  <w:rStyle w:val="Hyperlink"/>
                  <w:sz w:val="20"/>
                  <w:szCs w:val="20"/>
                </w:rPr>
                <w:t xml:space="preserve">https://colab.research.google.com/github/MartinGia/metabric-proyecto-integrador/blob/main/notebooks/05_MLP_PyTorch.ipynb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06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105vkqledwruygikyz8zb">
              <w:r>
                <w:rPr>
                  <w:rStyle w:val="Hyperlink"/>
                  <w:sz w:val="20"/>
                  <w:szCs w:val="20"/>
                </w:rPr>
                <w:t xml:space="preserve">https://github.com/MartinGia/metabric-proyecto-integrador/blob/main/notebooks/06_Evaluacion_Interpretabilidad.ipynb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06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bxhlpqxgodp65nhesethz">
              <w:r>
                <w:rPr>
                  <w:rStyle w:val="Hyperlink"/>
                  <w:sz w:val="20"/>
                  <w:szCs w:val="20"/>
                </w:rPr>
                <w:t xml:space="preserve">https://colab.research.google.com/github/MartinGia/metabric-proyecto-integrador/blob/main/notebooks/06_Evaluacion_Interpretabilidad.ipynb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Modelos finales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i6nrpl5gsby-hffwgzq_t">
              <w:r>
                <w:rPr>
                  <w:rStyle w:val="Hyperlink"/>
                  <w:sz w:val="20"/>
                  <w:szCs w:val="20"/>
                </w:rPr>
                <w:t xml:space="preserve">https://github.com/MartinGia/metabric-proyecto-integrador/blob/main/models/final_models.json</w:t>
              </w:r>
            </w:hyperlink>
          </w:p>
        </w:tc>
      </w:tr>
    </w:tbl>
    <w:p>
      <w:pPr>
        <w:spacing w:before="80" w:line="240"/>
      </w:pPr>
      <w:r>
        <w:rPr>
          <w:i/>
          <w:iCs/>
          <w:sz w:val="18"/>
          <w:szCs w:val="18"/>
        </w:rPr>
        <w:t xml:space="preserve">Los cuadernos se pueden abrir y ejecutar directamente en Google Colab: la primera celda clona el repositorio e instala las dependencias que falten.</w:t>
      </w:r>
    </w:p>
    <w:p>
      <w:r>
        <w:br w:type="page"/>
      </w:r>
    </w:p>
    <w:p>
      <w:pPr>
        <w:pStyle w:val="Heading1"/>
        <w:spacing w:after="0" w:before="0" w:line="480"/>
        <w:jc w:val="center"/>
      </w:pPr>
      <w:r>
        <w:rPr>
          <w:b/>
          <w:bCs/>
        </w:rPr>
        <w:t xml:space="preserve">Evaluación Comparativa, Optimización e Interpretabilidad</w:t>
      </w:r>
    </w:p>
    <w:p>
      <w:pPr>
        <w:spacing w:after="0" w:before="0" w:line="480"/>
        <w:ind w:firstLine="720"/>
        <w:jc w:val="left"/>
      </w:pPr>
      <w:r>
        <w:t xml:space="preserve">El Entregable 3 lo forman los cuadernos 04 (modelado y ajuste de hiperparámetros), 05 (MLP en PyTorch) y 06, que se resume aquí. Antes de abrir el conjunto de prueba se fijaron las reglas de decisión. En regresión, el modelo final es el elegido con la regla de un error estándar. En clasificación, es el de mayor F1 macro en CV entre los que cumplen la meta de brecha de sobreajuste menor que 0,15. El conjunto de prueba se usó una sola vez y ninguna decisión de modelado se tomó con él.</w:t>
      </w:r>
    </w:p>
    <w:p>
      <w:pPr>
        <w:pStyle w:val="Heading2"/>
        <w:spacing w:after="0" w:before="0" w:line="480"/>
      </w:pPr>
      <w:r>
        <w:rPr>
          <w:b/>
          <w:bCs/>
        </w:rPr>
        <w:t xml:space="preserve">Optimización del Sobreajuste en Clasificación</w:t>
      </w:r>
    </w:p>
    <w:p>
      <w:pPr>
        <w:spacing w:after="0" w:before="0" w:line="480"/>
        <w:ind w:firstLine="720"/>
        <w:jc w:val="left"/>
      </w:pPr>
      <w:r>
        <w:t xml:space="preserve">Para atacar la alta varianza se compararon dos estrategias con CV: selección de variables con la prueba F de ANOVA (</w:t>
      </w:r>
      <w:r>
        <w:rPr>
          <w:rFonts w:ascii="Courier New" w:cs="Courier New" w:eastAsia="Courier New" w:hAnsi="Courier New"/>
          <w:sz w:val="20"/>
          <w:szCs w:val="20"/>
        </w:rPr>
        <w:t xml:space="preserve">SelectKBest</w:t>
      </w:r>
      <w:r>
        <w:t xml:space="preserve">, reajustada en cada pliegue) seguida de una logística L2, y un XGBoost más regularizado. La Tabla 1 muestra las mejores configuraciones. La seleccionada (k = 200, C = 0,01) reduce la brecha a 0,123 con un F1 de CV de 0,739, por encima del modelo base (0,698). La configuración con mayor F1 (0,750) se descartó por la regla fijada de antemano, ya que su brecha es 0,163.</w:t>
      </w:r>
    </w:p>
    <w:p>
      <w:pPr>
        <w:keepNext/>
        <w:spacing w:before="240" w:line="480"/>
      </w:pPr>
      <w:r>
        <w:rPr>
          <w:b/>
          <w:bCs/>
        </w:rPr>
        <w:t xml:space="preserve">Tabla 1</w:t>
      </w:r>
    </w:p>
    <w:p>
      <w:pPr>
        <w:keepNext/>
        <w:spacing w:line="480"/>
      </w:pPr>
      <w:r>
        <w:rPr>
          <w:i/>
          <w:iCs/>
        </w:rPr>
        <w:t xml:space="preserve">Configuraciones optimizadas (validación cruzada en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100"/>
        <w:gridCol w:w="1100"/>
      </w:tblGrid>
      <w:tr>
        <w:trPr>
          <w:tblHeader/>
        </w:trPr>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Familia</w:t>
            </w:r>
          </w:p>
        </w:tc>
        <w:tc>
          <w:tcPr>
            <w:tcW w:type="dxa" w:w="45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Configuración</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F1 CV</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Brecha</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SelectKBest + logística L2</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C=0,03; k=200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0,163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XGBoost regularizado</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colsample_bytree=0,2; max_depth=2; min_child_weight=10; n_estimators=300; reg_lambda=20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0,742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0,204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SelectKBest + logística L2</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C=0,01; k=300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0,163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SelectKBest + logística L2</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C=0,01; k=200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0,123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SelectKBest + logística L2</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C=0,03; k=300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0,213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XGBoost regularizado</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colsample_bytree=0,1; max_depth=2; min_child_weight=20; n_estimators=400; reg_lambda=50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0,176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SelectKBest + logística L2</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C=0,003; k=300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0,102</w:t>
            </w:r>
          </w:p>
        </w:tc>
      </w:tr>
      <w:tr>
        <w:trPr>
          <w:cantSplit/>
        </w:trP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SelectKBest + logística L2</w:t>
            </w:r>
          </w:p>
        </w:tc>
        <w:tc>
          <w:tcPr>
            <w:tcW w:type="dxa" w:w="45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C=0,01; k=100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0,732</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0,075</w:t>
            </w:r>
          </w:p>
        </w:tc>
      </w:tr>
    </w:tbl>
    <w:p>
      <w:pPr>
        <w:spacing w:after="240" w:line="240"/>
      </w:pPr>
    </w:p>
    <w:p>
      <w:pPr>
        <w:keepNext/>
        <w:spacing w:before="240" w:line="480"/>
      </w:pPr>
      <w:r>
        <w:rPr>
          <w:b/>
          <w:bCs/>
        </w:rPr>
        <w:t xml:space="preserve">Figura 1</w:t>
      </w:r>
    </w:p>
    <w:p>
      <w:pPr>
        <w:keepNext/>
        <w:spacing w:line="480"/>
      </w:pPr>
      <w:r>
        <w:rPr>
          <w:i/>
          <w:iCs/>
        </w:rPr>
        <w:t xml:space="preserve">Compromiso entre F1 macro de validación cruzada y brecha de sobreajuste</w:t>
      </w:r>
    </w:p>
    <w:p>
      <w:pPr>
        <w:keepNext w:val="false"/>
        <w:jc w:val="center"/>
      </w:pPr>
      <w:r>
        <w:drawing>
          <wp:inline distT="0" distB="0" distL="0" distR="0">
            <wp:extent cx="4457700" cy="2352675"/>
            <wp:effectExtent t="0" r="0" b="0" l="0"/>
            <wp:docPr id="1" name="28_optimizacion_brecha.png" descr="Compromiso entre F1 macro de validación cruzada y brecha de sobreajuste" title="Compromiso entre F1 macro de validación cruzada y brecha de sobre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352675"/>
                    </a:xfrm>
                    <a:prstGeom prst="rect">
                      <a:avLst/>
                    </a:prstGeom>
                  </pic:spPr>
                </pic:pic>
              </a:graphicData>
            </a:graphic>
          </wp:inline>
        </w:drawing>
      </w:r>
    </w:p>
    <w:p>
      <w:pPr>
        <w:pStyle w:val="Heading2"/>
        <w:spacing w:after="0" w:before="0" w:line="480"/>
      </w:pPr>
      <w:r>
        <w:rPr>
          <w:b/>
          <w:bCs/>
        </w:rPr>
        <w:t xml:space="preserve">Evaluación en el Conjunto de Prueba: Regresión</w:t>
      </w:r>
    </w:p>
    <w:p>
      <w:pPr>
        <w:spacing w:after="0" w:before="0" w:line="480"/>
        <w:ind w:firstLine="720"/>
        <w:jc w:val="left"/>
      </w:pPr>
      <w:r>
        <w:t xml:space="preserve">La Tabla 2 presenta las métricas en prueba con intervalos de confianza del 95 % por </w:t>
      </w:r>
      <w:r>
        <w:rPr>
          <w:i/>
          <w:iCs/>
        </w:rPr>
        <w:t xml:space="preserve">bootstrap</w:t>
      </w:r>
      <w:r>
        <w:t xml:space="preserve"> de 1.000 remuestreos (Efron y Tibshirani, 1993). Ridge alcanza R² = 0,260 y cumple la meta SMART. Los cuatro modelos avanzados son estadísticamente equivalentes: los intervalos de la diferencia de RMSE incluyen el 0 y la prueba de Wilcoxon da p &gt; 0,2. Frente al modelo base, Ridge reduce el RMSE en 0,047 (IC 95 %: 0,004 a 0,088).</w:t>
      </w:r>
    </w:p>
    <w:p>
      <w:pPr>
        <w:keepNext/>
        <w:spacing w:before="240" w:line="480"/>
      </w:pPr>
      <w:r>
        <w:rPr>
          <w:b/>
          <w:bCs/>
        </w:rPr>
        <w:t xml:space="preserve">Tabla 2</w:t>
      </w:r>
    </w:p>
    <w:p>
      <w:pPr>
        <w:keepNext/>
        <w:spacing w:line="480"/>
      </w:pPr>
      <w:r>
        <w:rPr>
          <w:i/>
          <w:iCs/>
        </w:rPr>
        <w:t xml:space="preserve">Regresión del NPI en el conjunto de prueba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1700"/>
        <w:gridCol w:w="900"/>
        <w:gridCol w:w="1700"/>
        <w:gridCol w:w="900"/>
      </w:tblGrid>
      <w:tr>
        <w:trPr>
          <w:tblHeader/>
        </w:trPr>
        <w:tc>
          <w:tcPr>
            <w:tcW w:type="dxa" w:w="27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Modelo</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R²</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IC 95 % R²</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RMSE</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IC 95 % RMSE</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MAE</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Dummy (media)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[-0,019; -0,000]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1,048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[0,964; 1,123]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0,792</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Base: lineal simple (proliferación)</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0,181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[0,094; 0,254]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0,949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[0,871; 1,025]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0,754</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Ridge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[0,175; 0,332]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[0,838; 0,969]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0,730</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ElasticNet / Lasso</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0,248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[0,163; 0,320]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[0,841; 0,981]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0,732</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Random Forest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0,257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[0,175; 0,327]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[0,832; 0,977]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0,729</w:t>
            </w:r>
          </w:p>
        </w:tc>
      </w:tr>
      <w:tr>
        <w:trPr>
          <w:cantSplit/>
        </w:trPr>
        <w:tc>
          <w:tcPr>
            <w:tcW w:type="dxa" w:w="27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XGBoost</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0,261</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[0,162; 0,339]</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0,901</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[0,832; 0,975]</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0,715</w:t>
            </w:r>
          </w:p>
        </w:tc>
      </w:tr>
    </w:tbl>
    <w:p>
      <w:pPr>
        <w:spacing w:after="240" w:line="240"/>
      </w:pPr>
    </w:p>
    <w:p>
      <w:pPr>
        <w:pStyle w:val="Heading2"/>
        <w:spacing w:after="0" w:before="0" w:line="480"/>
      </w:pPr>
      <w:r>
        <w:rPr>
          <w:b/>
          <w:bCs/>
        </w:rPr>
        <w:t xml:space="preserve">Evaluación en el Conjunto de Prueba: Clasificación</w:t>
      </w:r>
    </w:p>
    <w:p>
      <w:pPr>
        <w:spacing w:after="0" w:before="0" w:line="480"/>
        <w:ind w:firstLine="720"/>
        <w:jc w:val="left"/>
      </w:pPr>
      <w:r>
        <w:t xml:space="preserve">El clasificador final obtiene el mejor desempeño de todos: F1 macro = 0,792 (IC 95 %: 0,735 a 0,843), exactitud = 0,804 y AUC-ROC = 0,967 (Tabla 3). La prueba de McNemar (1947) no encuentra diferencias significativas frente a los demás modelos ajustados ni frente al modelo base (p = 0,16): con 285 pacientes, la prueba no tiene potencia para detectar diferencias de 2 a 7 puntos. Por eso la elección se apoya en la validación cruzada y en el criterio de sobreajuste. Normal-like sigue siendo la clase más difícil (F1 = 0,59).</w:t>
      </w:r>
    </w:p>
    <w:p>
      <w:pPr>
        <w:keepNext/>
        <w:spacing w:before="240" w:line="480"/>
      </w:pPr>
      <w:r>
        <w:rPr>
          <w:b/>
          <w:bCs/>
        </w:rPr>
        <w:t xml:space="preserve">Tabla 3</w:t>
      </w:r>
    </w:p>
    <w:p>
      <w:pPr>
        <w:keepNext/>
        <w:spacing w:line="480"/>
      </w:pPr>
      <w:r>
        <w:rPr>
          <w:i/>
          <w:iCs/>
        </w:rPr>
        <w:t xml:space="preserve">Clasificación del subtipo PAM50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300"/>
        <w:gridCol w:w="1300"/>
        <w:gridCol w:w="1900"/>
        <w:gridCol w:w="1400"/>
      </w:tblGrid>
      <w:tr>
        <w:trPr>
          <w:tblHeader/>
        </w:trPr>
        <w:tc>
          <w:tcPr>
            <w:tcW w:type="dxa" w:w="34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Modelo</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Exactitud</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F1 macro</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IC 95 % F1</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AUC-ROC</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Final: SelectKBest + logística L2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0,804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0,792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[0,735; 0,843]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0,967</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SVM</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0,800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0,762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[0,698; 0,817]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0,968</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Logística regularizada (L2)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0,786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[0,695; 0,811]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0,969</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XGBoost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0,789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[0,691; 0,804]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0,969</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MLP (PyTorch)</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0,768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0,729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[0,659; 0,784]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0,962</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Base: logística básica</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0,765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0,721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[0,652; 0,781]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0,958</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Random Forest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0,775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0,719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[0,645; 0,774]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0,960</w:t>
            </w:r>
          </w:p>
        </w:tc>
      </w:tr>
      <w:tr>
        <w:trPr>
          <w:cantSplit/>
        </w:trPr>
        <w:tc>
          <w:tcPr>
            <w:tcW w:type="dxa" w:w="34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Dummy (clase más frecuente)</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0,358</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0,088</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[0,078; 0,098]</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0,500</w:t>
            </w:r>
          </w:p>
        </w:tc>
      </w:tr>
    </w:tbl>
    <w:p>
      <w:pPr>
        <w:spacing w:after="240" w:line="240"/>
      </w:pPr>
    </w:p>
    <w:p>
      <w:pPr>
        <w:keepNext/>
        <w:spacing w:before="240" w:line="480"/>
      </w:pPr>
      <w:r>
        <w:rPr>
          <w:b/>
          <w:bCs/>
        </w:rPr>
        <w:t xml:space="preserve">Figura 2</w:t>
      </w:r>
    </w:p>
    <w:p>
      <w:pPr>
        <w:keepNext/>
        <w:spacing w:line="480"/>
      </w:pPr>
      <w:r>
        <w:rPr>
          <w:i/>
          <w:iCs/>
        </w:rPr>
        <w:t xml:space="preserve">F1 macro en prueba con intervalos de confianza y matrices de confusión</w:t>
      </w:r>
    </w:p>
    <w:p>
      <w:pPr>
        <w:keepNext w:val="false"/>
        <w:jc w:val="center"/>
      </w:pPr>
      <w:r>
        <w:drawing>
          <wp:inline distT="0" distB="0" distL="0" distR="0">
            <wp:extent cx="5943600" cy="1533525"/>
            <wp:effectExtent t="0" r="0" b="0" l="0"/>
            <wp:docPr id="2" name="30_clasificacion_prueba.png" descr="F1 macro en prueba con intervalos de confianza y matrices de confusión" title="F1 macro en prueba con intervalos de confianza y matrices de conf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33525"/>
                    </a:xfrm>
                    <a:prstGeom prst="rect">
                      <a:avLst/>
                    </a:prstGeom>
                  </pic:spPr>
                </pic:pic>
              </a:graphicData>
            </a:graphic>
          </wp:inline>
        </w:drawing>
      </w:r>
    </w:p>
    <w:p>
      <w:pPr>
        <w:pStyle w:val="Heading2"/>
        <w:spacing w:after="0" w:before="0" w:line="480"/>
      </w:pPr>
      <w:r>
        <w:rPr>
          <w:b/>
          <w:bCs/>
        </w:rPr>
        <w:t xml:space="preserve">Interpretabilidad</w:t>
      </w:r>
    </w:p>
    <w:p>
      <w:pPr>
        <w:spacing w:after="0" w:before="0" w:line="480"/>
        <w:ind w:firstLine="720"/>
        <w:jc w:val="left"/>
      </w:pPr>
      <w:r>
        <w:t xml:space="preserve">Se usaron coeficientes estandarizados, importancia por permutación y valores SHAP (Lundberg y Lee, 2017), calculados con TreeSHAP para XGBoost (Lundberg et al., 2020). En regresión, los genes de proliferación (AURKA, CCNB1, CDK1) y NCOA3 aumentan el NPI, mientras que BCL2, RUNX1, STAT5B y DIRAS3 lo disminuyen (Figura 3). En clasificación, los modelos redescubren la biología conocida de los subtipos (Parker et al., 2009; Prat et al., 2010): ERBB2 identifica HER2, GATA3 y ERBB3 los tumores luminales, el puntaje de proliferación separa Luminal A de Luminal B, EGFR y NOTCH1 señalan Basal, y genes inmunes como CSF1R caracterizan claudin-low (Figura 4). XGBoost y el modelo final comparten 18 de sus 30 variables principales.</w:t>
      </w:r>
    </w:p>
    <w:p>
      <w:pPr>
        <w:keepNext/>
        <w:spacing w:before="240" w:line="480"/>
      </w:pPr>
      <w:r>
        <w:rPr>
          <w:b/>
          <w:bCs/>
        </w:rPr>
        <w:t xml:space="preserve">Figura 3</w:t>
      </w:r>
    </w:p>
    <w:p>
      <w:pPr>
        <w:keepNext/>
        <w:spacing w:line="480"/>
      </w:pPr>
      <w:r>
        <w:rPr>
          <w:i/>
          <w:iCs/>
        </w:rPr>
        <w:t xml:space="preserve">Interpretabilidad de la regresión: coeficientes, SHAP e importancia por permutación</w:t>
      </w:r>
    </w:p>
    <w:p>
      <w:pPr>
        <w:keepNext w:val="false"/>
        <w:jc w:val="center"/>
      </w:pPr>
      <w:r>
        <w:drawing>
          <wp:inline distT="0" distB="0" distL="0" distR="0">
            <wp:extent cx="5943600" cy="1847850"/>
            <wp:effectExtent t="0" r="0" b="0" l="0"/>
            <wp:docPr id="3" name="31_interpretabilidad_regresion.png" descr="Interpretabilidad de la regresión: coeficientes, SHAP e importancia por permutación" title="Interpretabilidad de la regresión: coeficientes, SHAP e importancia por permu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47850"/>
                    </a:xfrm>
                    <a:prstGeom prst="rect">
                      <a:avLst/>
                    </a:prstGeom>
                  </pic:spPr>
                </pic:pic>
              </a:graphicData>
            </a:graphic>
          </wp:inline>
        </w:drawing>
      </w:r>
    </w:p>
    <w:p>
      <w:pPr>
        <w:keepNext/>
        <w:spacing w:before="240" w:line="480"/>
      </w:pPr>
      <w:r>
        <w:rPr>
          <w:b/>
          <w:bCs/>
        </w:rPr>
        <w:t xml:space="preserve">Figura 4</w:t>
      </w:r>
    </w:p>
    <w:p>
      <w:pPr>
        <w:keepNext/>
        <w:spacing w:line="480"/>
      </w:pPr>
      <w:r>
        <w:rPr>
          <w:i/>
          <w:iCs/>
        </w:rPr>
        <w:t xml:space="preserve">Valores SHAP de XGBoost por clase y para los subtipos Basal y Luminal A</w:t>
      </w:r>
    </w:p>
    <w:p>
      <w:pPr>
        <w:keepNext w:val="false"/>
        <w:jc w:val="center"/>
      </w:pPr>
      <w:r>
        <w:drawing>
          <wp:inline distT="0" distB="0" distL="0" distR="0">
            <wp:extent cx="5943600" cy="1952625"/>
            <wp:effectExtent t="0" r="0" b="0" l="0"/>
            <wp:docPr id="4" name="32_shap_clasificacion.png" descr="Valores SHAP de XGBoost por clase y para los subtipos Basal y Luminal A" title="Valores SHAP de XGBoost por clase y para los subtipos Basal y Lumina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52625"/>
                    </a:xfrm>
                    <a:prstGeom prst="rect">
                      <a:avLst/>
                    </a:prstGeom>
                  </pic:spPr>
                </pic:pic>
              </a:graphicData>
            </a:graphic>
          </wp:inline>
        </w:drawing>
      </w:r>
    </w:p>
    <w:p>
      <w:pPr>
        <w:pStyle w:val="Heading2"/>
        <w:spacing w:after="0" w:before="0" w:line="480"/>
      </w:pPr>
      <w:r>
        <w:rPr>
          <w:b/>
          <w:bCs/>
        </w:rPr>
        <w:t xml:space="preserve">Validación del Clustering y Efecto de Lote</w:t>
      </w:r>
    </w:p>
    <w:p>
      <w:pPr>
        <w:spacing w:after="0" w:before="0" w:line="480"/>
        <w:ind w:firstLine="720"/>
        <w:jc w:val="left"/>
      </w:pPr>
      <w:r>
        <w:t xml:space="preserve">En prueba, la segmentación conserva su estructura: silueta de 0,150 frente a 0,158 en entrenamiento y ARI con PAM50 de 0,215 frente a 0,209. Sin embargo, el 82,6 % del clúster 2 proviene de la cohorte C3, frente al 38,5 % en toda la cohorte, y sus genes distintivos no forman una firma biológica coherente. Lo más probable es que refleje diferencias técnicas entre centros (efecto de lote). En conjunto, los clústeres se explican mucho más por la biología que por la cohorte (ARI con PAM50 = 0,208 frente a 0,025 con la cohorte). Como trabajo futuro, se propone corregir el efecto de lote con ComBat (Johnson et al., 2007) antes de segmentar.</w:t>
      </w:r>
    </w:p>
    <w:p>
      <w:pPr>
        <w:keepNext/>
        <w:spacing w:before="240" w:line="480"/>
      </w:pPr>
      <w:r>
        <w:rPr>
          <w:b/>
          <w:bCs/>
        </w:rPr>
        <w:t xml:space="preserve">Figura 5</w:t>
      </w:r>
    </w:p>
    <w:p>
      <w:pPr>
        <w:keepNext/>
        <w:spacing w:line="480"/>
      </w:pPr>
      <w:r>
        <w:rPr>
          <w:i/>
          <w:iCs/>
        </w:rPr>
        <w:t xml:space="preserve">Genes que más distinguen a cada clúster</w:t>
      </w:r>
    </w:p>
    <w:p>
      <w:pPr>
        <w:keepNext w:val="false"/>
        <w:jc w:val="center"/>
      </w:pPr>
      <w:r>
        <w:drawing>
          <wp:inline distT="0" distB="0" distL="0" distR="0">
            <wp:extent cx="3562350" cy="3571875"/>
            <wp:effectExtent t="0" r="0" b="0" l="0"/>
            <wp:docPr id="5" name="34_genes_clusteres.png" descr="Genes que más distinguen a cada clúster" title="Genes que más distinguen a cada clú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3571875"/>
                    </a:xfrm>
                    <a:prstGeom prst="rect">
                      <a:avLst/>
                    </a:prstGeom>
                  </pic:spPr>
                </pic:pic>
              </a:graphicData>
            </a:graphic>
          </wp:inline>
        </w:drawing>
      </w:r>
    </w:p>
    <w:p>
      <w:pPr>
        <w:pStyle w:val="Heading2"/>
        <w:spacing w:after="0" w:before="0" w:line="480"/>
      </w:pPr>
      <w:r>
        <w:rPr>
          <w:b/>
          <w:bCs/>
        </w:rPr>
        <w:t xml:space="preserve">Cumplimiento de los Objetivos SMART</w:t>
      </w:r>
    </w:p>
    <w:p>
      <w:pPr>
        <w:keepNext/>
        <w:spacing w:before="240" w:line="480"/>
      </w:pPr>
      <w:r>
        <w:rPr>
          <w:b/>
          <w:bCs/>
        </w:rPr>
        <w:t xml:space="preserve">Tabla 4</w:t>
      </w:r>
    </w:p>
    <w:p>
      <w:pPr>
        <w:keepNext/>
        <w:spacing w:line="480"/>
      </w:pPr>
      <w:r>
        <w:rPr>
          <w:i/>
          <w:iCs/>
        </w:rPr>
        <w:t xml:space="preserve">Cumplimiento de los objetivos SMART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3300"/>
        <w:gridCol w:w="900"/>
      </w:tblGrid>
      <w:tr>
        <w:trPr>
          <w:tblHeader/>
        </w:trPr>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Objetivo</w:t>
            </w:r>
          </w:p>
        </w:tc>
        <w:tc>
          <w:tcPr>
            <w:tcW w:type="dxa" w:w="34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Criterio</w:t>
            </w:r>
          </w:p>
        </w:tc>
        <w:tc>
          <w:tcPr>
            <w:tcW w:type="dxa" w:w="3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Resultado</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Cumple</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 Regresión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R² ≥ 0,20 en prueba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R² = 0,260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 Regresión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RMSE menor que el modelo base (prueba)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0,902 vs. 0,949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 Clasificación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F1 macro ≥ 0,75 en prueba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F1 = 0,792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 Clasificación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Superar al modelo base en CV (0,698)</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F1 CV = 0,739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 Clasificación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Brecha train − CV &lt; 0,15</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brecha = 0,123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3. Clustering</w:t>
            </w:r>
          </w:p>
        </w:tc>
        <w:tc>
          <w:tcPr>
            <w:tcW w:type="dxa" w:w="34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K-Means (codo y silueta) + segundo algoritmo + perfiles</w:t>
            </w:r>
          </w:p>
        </w:tc>
        <w:tc>
          <w:tcPr>
            <w:tcW w:type="dxa" w:w="3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K = 4; silueta prueba = 0,150; Ward y DBSCAN evaluados</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bl>
    <w:p>
      <w:pPr>
        <w:spacing w:after="240" w:line="240"/>
      </w:pPr>
    </w:p>
    <w:p>
      <w:r>
        <w:br w:type="page"/>
      </w:r>
    </w:p>
    <w:p>
      <w:pPr>
        <w:pStyle w:val="Heading1"/>
        <w:spacing w:after="0" w:before="0" w:line="480"/>
        <w:jc w:val="center"/>
      </w:pPr>
      <w:r>
        <w:rPr>
          <w:b/>
          <w:bCs/>
        </w:rPr>
        <w:t xml:space="preserve">Referencias</w:t>
      </w:r>
    </w:p>
    <w:p>
      <w:pPr>
        <w:spacing w:line="480"/>
        <w:ind w:left="720" w:hanging="720"/>
      </w:pPr>
      <w:r>
        <w:t xml:space="preserve">Chen, T. y Guestrin, C. (2016). XGBoost: A scalable tree boosting system. En </w:t>
      </w:r>
      <w:r>
        <w:rPr>
          <w:i/>
          <w:iCs/>
        </w:rPr>
        <w:t xml:space="preserve">Proceedings of the 22nd ACM SIGKDD International Conference on Knowledge Discovery and Data Mining</w:t>
      </w:r>
      <w:r>
        <w:t xml:space="preserve"> (pp. 785–794). Association for Computing Machinery. </w:t>
      </w:r>
      <w:hyperlink w:history="1" r:id="rIdrukhthx8v1yrtri1gyadz">
        <w:r>
          <w:rPr>
            <w:rStyle w:val="Hyperlink"/>
          </w:rPr>
          <w:t xml:space="preserve">https://doi.org/10.1145/2939672.2939785</w:t>
        </w:r>
      </w:hyperlink>
    </w:p>
    <w:p>
      <w:pPr>
        <w:spacing w:line="480"/>
        <w:ind w:left="720" w:hanging="720"/>
      </w:pPr>
      <w:r>
        <w:t xml:space="preserve">Efron, B. y Tibshirani, R. J. (1993). </w:t>
      </w:r>
      <w:r>
        <w:rPr>
          <w:i/>
          <w:iCs/>
        </w:rPr>
        <w:t xml:space="preserve">An introduction to the bootstrap</w:t>
      </w:r>
      <w:r>
        <w:t xml:space="preserve">. Chapman &amp; Hall/CRC. </w:t>
      </w:r>
      <w:hyperlink w:history="1" r:id="rIdolq6efraskdtmks5maj5g">
        <w:r>
          <w:rPr>
            <w:rStyle w:val="Hyperlink"/>
          </w:rPr>
          <w:t xml:space="preserve">https://doi.org/10.1201/9780429246593</w:t>
        </w:r>
      </w:hyperlink>
    </w:p>
    <w:p>
      <w:pPr>
        <w:spacing w:line="480"/>
        <w:ind w:left="720" w:hanging="720"/>
      </w:pPr>
      <w:r>
        <w:t xml:space="preserve">Hastie, T., Tibshirani, R. y Friedman, J. (2009). </w:t>
      </w:r>
      <w:r>
        <w:rPr>
          <w:i/>
          <w:iCs/>
        </w:rPr>
        <w:t xml:space="preserve">The elements of statistical learning: Data mining, inference, and prediction</w:t>
      </w:r>
      <w:r>
        <w:t xml:space="preserve"> (2.ª ed.). Springer. </w:t>
      </w:r>
      <w:hyperlink w:history="1" r:id="rIde8dhtn5rsjscevp22mawf">
        <w:r>
          <w:rPr>
            <w:rStyle w:val="Hyperlink"/>
          </w:rPr>
          <w:t xml:space="preserve">https://doi.org/10.1007/978-0-387-84858-7</w:t>
        </w:r>
      </w:hyperlink>
    </w:p>
    <w:p>
      <w:pPr>
        <w:spacing w:line="480"/>
        <w:ind w:left="720" w:hanging="720"/>
      </w:pPr>
      <w:r>
        <w:t xml:space="preserve">Johnson, W. E., Li, C. y Rabinovic, A. (2007). Adjusting batch effects in microarray expression data using empirical Bayes methods. </w:t>
      </w:r>
      <w:r>
        <w:rPr>
          <w:i/>
          <w:iCs/>
        </w:rPr>
        <w:t xml:space="preserve">Biostatistics, 8</w:t>
      </w:r>
      <w:r>
        <w:t xml:space="preserve">(1), 118–127. </w:t>
      </w:r>
      <w:hyperlink w:history="1" r:id="rIdpcpavkod6lurg1goh0uex">
        <w:r>
          <w:rPr>
            <w:rStyle w:val="Hyperlink"/>
          </w:rPr>
          <w:t xml:space="preserve">https://doi.org/10.1093/biostatistics/kxj037</w:t>
        </w:r>
      </w:hyperlink>
    </w:p>
    <w:p>
      <w:pPr>
        <w:spacing w:line="480"/>
        <w:ind w:left="720" w:hanging="720"/>
      </w:pPr>
      <w:r>
        <w:t xml:space="preserve">Lundberg, S. M. y Lee, S.-I. (2017). A unified approach to interpreting model predictions. En I. Guyon, U. von Luxburg, S. Bengio, H. Wallach, R. Fergus, S. Vishwanathan y R. Garnett (Eds.), </w:t>
      </w:r>
      <w:r>
        <w:rPr>
          <w:i/>
          <w:iCs/>
        </w:rPr>
        <w:t xml:space="preserve">Advances in Neural Information Processing Systems 30</w:t>
      </w:r>
      <w:r>
        <w:t xml:space="preserve"> (pp. 4765–4774). Curran Associates.</w:t>
      </w:r>
    </w:p>
    <w:p>
      <w:pPr>
        <w:spacing w:line="480"/>
        <w:ind w:left="720" w:hanging="720"/>
      </w:pPr>
      <w:r>
        <w:t xml:space="preserve">Lundberg, S. M., Erion, G., Chen, H., DeGrave, A., Prutkin, J. M., Nair, B., Katz, R., Himmelfarb, J., Bansal, N. y Lee, S.-I. (2020). From local explanations to global understanding with explainable AI for trees. </w:t>
      </w:r>
      <w:r>
        <w:rPr>
          <w:i/>
          <w:iCs/>
        </w:rPr>
        <w:t xml:space="preserve">Nature Machine Intelligence, 2</w:t>
      </w:r>
      <w:r>
        <w:t xml:space="preserve">(1), 56–67. </w:t>
      </w:r>
      <w:hyperlink w:history="1" r:id="rIdfg1cpycazpckqwyrogkl8">
        <w:r>
          <w:rPr>
            <w:rStyle w:val="Hyperlink"/>
          </w:rPr>
          <w:t xml:space="preserve">https://doi.org/10.1038/s42256-019-0138-9</w:t>
        </w:r>
      </w:hyperlink>
    </w:p>
    <w:p>
      <w:pPr>
        <w:spacing w:line="480"/>
        <w:ind w:left="720" w:hanging="720"/>
      </w:pPr>
      <w:r>
        <w:t xml:space="preserve">McNemar, Q. (1947). Note on the sampling error of the difference between correlated proportions or percentages. </w:t>
      </w:r>
      <w:r>
        <w:rPr>
          <w:i/>
          <w:iCs/>
        </w:rPr>
        <w:t xml:space="preserve">Psychometrika, 12</w:t>
      </w:r>
      <w:r>
        <w:t xml:space="preserve">(2), 153–157. </w:t>
      </w:r>
      <w:hyperlink w:history="1" r:id="rId9bqrvdwmud9votvicwop4">
        <w:r>
          <w:rPr>
            <w:rStyle w:val="Hyperlink"/>
          </w:rPr>
          <w:t xml:space="preserve">https://doi.org/10.1007/BF02295996</w:t>
        </w:r>
      </w:hyperlink>
    </w:p>
    <w:p>
      <w:pPr>
        <w:spacing w:line="480"/>
        <w:ind w:left="720" w:hanging="720"/>
      </w:pPr>
      <w:r>
        <w:t xml:space="preserve">Parker, J. S., Mullins, M., Cheang, M. C. U., Leung, S., Voduc, D., Vickery, T., Davies, S., Fauron, C., He, X., Hu, Z., Quackenbush, J. F., Stijleman, I. J., Palazzo, J., Marron, J. S., Nobel, A. B., Mardis, E., Nielsen, T. O., Ellis, M. J., Perou, C. M. y Bernard, P. S. (2009). Supervised risk predictor of breast cancer based on intrinsic subtypes. </w:t>
      </w:r>
      <w:r>
        <w:rPr>
          <w:i/>
          <w:iCs/>
        </w:rPr>
        <w:t xml:space="preserve">Journal of Clinical Oncology, 27</w:t>
      </w:r>
      <w:r>
        <w:t xml:space="preserve">(8), 1160–1167. </w:t>
      </w:r>
      <w:hyperlink w:history="1" r:id="rIdjhoulx649sqtmqhkxcud8">
        <w:r>
          <w:rPr>
            <w:rStyle w:val="Hyperlink"/>
          </w:rPr>
          <w:t xml:space="preserve">https://doi.org/10.1200/JCO.2008.18.8370</w:t>
        </w:r>
      </w:hyperlink>
    </w:p>
    <w:p>
      <w:pPr>
        <w:spacing w:line="480"/>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 </w:t>
      </w:r>
      <w:hyperlink w:history="1" r:id="rIdkpl9c8p5mszx1admeexoy">
        <w:r>
          <w:rPr>
            <w:rStyle w:val="Hyperlink"/>
          </w:rPr>
          <w:t xml:space="preserve">https://jmlr.org/papers/v12/pedregosa11a.html</w:t>
        </w:r>
      </w:hyperlink>
    </w:p>
    <w:p>
      <w:pPr>
        <w:spacing w:line="480"/>
        <w:ind w:left="720" w:hanging="720"/>
      </w:pPr>
      <w:r>
        <w:t xml:space="preserve">Prat, A., Parker, J. S., Karginova, O., Fan, C., Livasy, C., Herschkowitz, J. I., He, X. y Perou, C. M. (2010). Phenotypic and molecular characterization of the claudin-low intrinsic subtype of breast cancer. </w:t>
      </w:r>
      <w:r>
        <w:rPr>
          <w:i/>
          <w:iCs/>
        </w:rPr>
        <w:t xml:space="preserve">Breast Cancer Research, 12</w:t>
      </w:r>
      <w:r>
        <w:t xml:space="preserve">(5), Artículo R68. </w:t>
      </w:r>
      <w:hyperlink w:history="1" r:id="rIdjm8tgqpz9rsunzzf49sxe">
        <w:r>
          <w:rPr>
            <w:rStyle w:val="Hyperlink"/>
          </w:rPr>
          <w:t xml:space="preserve">https://doi.org/10.1186/bcr2635</w:t>
        </w:r>
      </w:hyperlink>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aw71dhf2y9gtzqekbszzh" Type="http://schemas.openxmlformats.org/officeDocument/2006/relationships/hyperlink" Target="https://github.com/MartinGia/metabric-proyecto-integrador" TargetMode="External"/><Relationship Id="rId2yzzqstc3dprngnh8qste" Type="http://schemas.openxmlformats.org/officeDocument/2006/relationships/hyperlink" Target="https://github.com/MartinGia/metabric-proyecto-integrador/blob/main/notebooks/04_Modelado_Avanzado.ipynb" TargetMode="External"/><Relationship Id="rId1bqwwt-xtnehdy6n2ooxj" Type="http://schemas.openxmlformats.org/officeDocument/2006/relationships/hyperlink" Target="https://colab.research.google.com/github/MartinGia/metabric-proyecto-integrador/blob/main/notebooks/04_Modelado_Avanzado.ipynb" TargetMode="External"/><Relationship Id="rId_fkasoble5xgaj4a2dry-" Type="http://schemas.openxmlformats.org/officeDocument/2006/relationships/hyperlink" Target="https://github.com/MartinGia/metabric-proyecto-integrador/blob/main/notebooks/05_MLP_PyTorch.ipynb" TargetMode="External"/><Relationship Id="rIddp8zgzer-rleqnux_cgaf" Type="http://schemas.openxmlformats.org/officeDocument/2006/relationships/hyperlink" Target="https://colab.research.google.com/github/MartinGia/metabric-proyecto-integrador/blob/main/notebooks/05_MLP_PyTorch.ipynb" TargetMode="External"/><Relationship Id="rId105vkqledwruygikyz8zb" Type="http://schemas.openxmlformats.org/officeDocument/2006/relationships/hyperlink" Target="https://github.com/MartinGia/metabric-proyecto-integrador/blob/main/notebooks/06_Evaluacion_Interpretabilidad.ipynb" TargetMode="External"/><Relationship Id="rIdbxhlpqxgodp65nhesethz" Type="http://schemas.openxmlformats.org/officeDocument/2006/relationships/hyperlink" Target="https://colab.research.google.com/github/MartinGia/metabric-proyecto-integrador/blob/main/notebooks/06_Evaluacion_Interpretabilidad.ipynb" TargetMode="External"/><Relationship Id="rIdi6nrpl5gsby-hffwgzq_t" Type="http://schemas.openxmlformats.org/officeDocument/2006/relationships/hyperlink" Target="https://github.com/MartinGia/metabric-proyecto-integrador/blob/main/models/final_models.json" TargetMode="External"/><Relationship Id="rIdrukhthx8v1yrtri1gyadz" Type="http://schemas.openxmlformats.org/officeDocument/2006/relationships/hyperlink" Target="https://doi.org/10.1145/2939672.2939785" TargetMode="External"/><Relationship Id="rIdolq6efraskdtmks5maj5g" Type="http://schemas.openxmlformats.org/officeDocument/2006/relationships/hyperlink" Target="https://doi.org/10.1201/9780429246593" TargetMode="External"/><Relationship Id="rIde8dhtn5rsjscevp22mawf" Type="http://schemas.openxmlformats.org/officeDocument/2006/relationships/hyperlink" Target="https://doi.org/10.1007/978-0-387-84858-7" TargetMode="External"/><Relationship Id="rIdpcpavkod6lurg1goh0uex" Type="http://schemas.openxmlformats.org/officeDocument/2006/relationships/hyperlink" Target="https://doi.org/10.1093/biostatistics/kxj037" TargetMode="External"/><Relationship Id="rIdfg1cpycazpckqwyrogkl8" Type="http://schemas.openxmlformats.org/officeDocument/2006/relationships/hyperlink" Target="https://doi.org/10.1038/s42256-019-0138-9" TargetMode="External"/><Relationship Id="rId9bqrvdwmud9votvicwop4" Type="http://schemas.openxmlformats.org/officeDocument/2006/relationships/hyperlink" Target="https://doi.org/10.1007/BF02295996" TargetMode="External"/><Relationship Id="rIdjhoulx649sqtmqhkxcud8" Type="http://schemas.openxmlformats.org/officeDocument/2006/relationships/hyperlink" Target="https://doi.org/10.1200/JCO.2008.18.8370" TargetMode="External"/><Relationship Id="rIdkpl9c8p5mszx1admeexoy" Type="http://schemas.openxmlformats.org/officeDocument/2006/relationships/hyperlink" Target="https://jmlr.org/papers/v12/pedregosa11a.html" TargetMode="External"/><Relationship Id="rIdjm8tgqpz9rsunzzf49sxe" Type="http://schemas.openxmlformats.org/officeDocument/2006/relationships/hyperlink" Target="https://doi.org/10.1186/bcr2635" TargetMode="External"/><Relationship Id="rId8" Type="http://schemas.openxmlformats.org/officeDocument/2006/relationships/image" Target="media/fa66f5bb8f0e8b53882c7ef506431ab5d4036b6d.png"/><Relationship Id="rId9" Type="http://schemas.openxmlformats.org/officeDocument/2006/relationships/image" Target="media/77caaab87d13510dfd0e6fe4e9e0689a50414006.png"/><Relationship Id="rId10" Type="http://schemas.openxmlformats.org/officeDocument/2006/relationships/image" Target="media/36382eb7edeff9ff5653b0725e43602d4c27fe19.png"/><Relationship Id="rId11" Type="http://schemas.openxmlformats.org/officeDocument/2006/relationships/image" Target="media/08696a14512f66adef814f8cdab26879245b772e.png"/><Relationship Id="rId12" Type="http://schemas.openxmlformats.org/officeDocument/2006/relationships/image" Target="media/db3d8b3e95b89b8ae1f3dd3a8362b19b7ff2a27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Gracia Socha</dc:creator>
  <cp:lastModifiedBy>Un-named</cp:lastModifiedBy>
  <cp:revision>1</cp:revision>
  <dcterms:created xsi:type="dcterms:W3CDTF">2026-10-25T17:32:42.983Z</dcterms:created>
  <dcterms:modified xsi:type="dcterms:W3CDTF">2026-10-25T17:32:42.983Z</dcterms:modified>
</cp:coreProperties>
</file>

<file path=docProps/custom.xml><?xml version="1.0" encoding="utf-8"?>
<Properties xmlns="http://schemas.openxmlformats.org/officeDocument/2006/custom-properties" xmlns:vt="http://schemas.openxmlformats.org/officeDocument/2006/docPropsVTypes"/>
</file>