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  <w:jc w:val="center"/>
      </w:pPr>
      <w:r>
        <w:rPr>
          <w:b/>
          <w:bCs/>
        </w:rPr>
        <w:t xml:space="preserve">Dashboard Interactivo y Narrativa de Datos</w:t>
      </w:r>
    </w:p>
    <w:p>
      <w:pPr>
        <w:spacing w:line="480"/>
        <w:jc w:val="center"/>
      </w:pPr>
      <w:r>
        <w:rPr>
          <w:b/>
          <w:bCs/>
        </w:rPr>
        <w:t xml:space="preserve">Proyecto Integrador METABRIC: Fase 4, Actividad 7</w:t>
      </w:r>
    </w:p>
    <w:p>
      <w:pPr>
        <w:spacing w:line="480"/>
      </w:pPr>
    </w:p>
    <w:p>
      <w:pPr>
        <w:spacing w:line="480"/>
        <w:jc w:val="center"/>
      </w:pPr>
      <w:r>
        <w:t xml:space="preserve">Martín Gracia Socha</w:t>
      </w:r>
    </w:p>
    <w:p>
      <w:pPr>
        <w:spacing w:line="480"/>
        <w:jc w:val="center"/>
      </w:pPr>
      <w:r>
        <w:t xml:space="preserve">Facultad de Ingeniería, Universidad de La Salle</w:t>
      </w:r>
    </w:p>
    <w:p>
      <w:pPr>
        <w:spacing w:line="480"/>
        <w:jc w:val="center"/>
      </w:pPr>
      <w:r>
        <w:t xml:space="preserve">Ciencia de Datos (2026-2): Maestría en Inteligencia Artificial</w:t>
      </w:r>
    </w:p>
    <w:p>
      <w:pPr>
        <w:spacing w:line="480"/>
        <w:jc w:val="center"/>
      </w:pPr>
      <w:r>
        <w:t xml:space="preserve">Fabián Camilo Castro Riveros</w:t>
      </w:r>
    </w:p>
    <w:p>
      <w:pPr>
        <w:spacing w:line="480"/>
        <w:jc w:val="center"/>
      </w:pPr>
      <w:r>
        <w:t xml:space="preserve">25 de noviembre de 2026</w:t>
      </w:r>
    </w:p>
    <w:p>
      <w:pPr>
        <w:spacing w:line="480"/>
      </w:pPr>
    </w:p>
    <w:tbl>
      <w:tblPr>
        <w:tblW w:type="dxa" w:w="9360"/>
        <w:tblBorders>
          <w:top w:val="single" w:color="147089" w:sz="6"/>
          <w:left w:val="single" w:color="147089" w:sz="6"/>
          <w:bottom w:val="single" w:color="147089" w:sz="6"/>
          <w:right w:val="single" w:color="147089" w:sz="6"/>
          <w:insideH w:val="none" w:color="FFFFFF" w:sz="0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E2841"/>
                <w:sz w:val="20"/>
                <w:szCs w:val="20"/>
              </w:rPr>
              <w:t xml:space="preserve">Archivos ejecutables y recursos de esta entrega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Dashboard en línea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5ihtbk3wowxwf9sxvz7n3">
              <w:r>
                <w:rPr>
                  <w:rStyle w:val="Hyperlink"/>
                  <w:sz w:val="20"/>
                  <w:szCs w:val="20"/>
                </w:rPr>
                <w:t xml:space="preserve">https://metabric-proyecto-integrador.streamlit.app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Código del dashboard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lxamuefgranstqjyqbntg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https://github.com/MartinGia/metabric-proyecto-integrador/blob/main/dashboard/app.py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Instrucciones de despliegue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o-ji3y9t7f8y1lwh_5kgy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https://github.com/MartinGia/metabric-proyecto-integrador/blob/main/dashboard/README.md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Repositorio del proyecto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40uywvxcbt3ljfwvlra5i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</w:t>
              </w:r>
            </w:hyperlink>
          </w:p>
        </w:tc>
      </w:tr>
    </w:tbl>
    <w:p>
      <w:pPr>
        <w:spacing w:before="80" w:line="240"/>
      </w:pPr>
      <w:r>
        <w:rPr>
          <w:i/>
          <w:iCs/>
          <w:sz w:val="18"/>
          <w:szCs w:val="18"/>
        </w:rPr>
        <w:t xml:space="preserve">El dashboard está desplegado en Streamlit Community Cloud. Para ejecutarlo localmente: pip install -r dashboard/requirements.txt y streamlit run dashboard/app.py.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Dashboard Interactivo y Narrativa de Datos</w:t>
      </w:r>
    </w:p>
    <w:p>
      <w:pPr>
        <w:spacing w:after="0" w:before="0" w:line="480"/>
        <w:ind w:firstLine="720"/>
        <w:jc w:val="left"/>
      </w:pPr>
      <w:r>
        <w:t xml:space="preserve">El dashboard comunica los resultados del proyecto a una audiencia mixta, clínica y técnica. Se construyó con Streamlit (Streamlit Inc., s. f.) y Plotly, carga los modelos finales de la actividad 6 y no vuelve a entrenar nada, por lo que responde en tiempo real. La Tabla 1 relaciona cada módulo exigido por la guía con su ubicación en la aplicación.</w:t>
      </w:r>
    </w:p>
    <w:p>
      <w:pPr>
        <w:keepNext/>
        <w:spacing w:before="240"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Módulos del dashboard y requisitos de la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</w:t>
            </w:r>
          </w:p>
        </w:tc>
        <w:tc>
          <w:tcPr>
            <w:tcW w:type="dxa" w:w="5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Filtros dinámicos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Barra lateral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Rangos de tiempo de seguimiento, edad y NPI; subtipo, grupo por receptores, clúster, grado y subconjunto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Tarjetas KPI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Cinco indicadores de la cohorte filtrada y cinco del desempeño de los modelos en prueba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Predicción en vivo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Predicción en vivo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Perfil editable (8 variables clínicas y 10 genes) con NPI estimado, probabilidades de subtipo y clúster asignado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Segmentación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Segmentación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Clústeres en el espacio PCA (2D o 3D), perfiles promedio y composición por subtipo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Narrativa de datos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 y Modelos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Tres ideas clave, curvas de Kaplan-Meier, métricas, cumplimiento SMART y explicabilidad (SHAP)</w:t>
            </w:r>
          </w:p>
        </w:tc>
      </w:tr>
    </w:tbl>
    <w:p>
      <w:pPr>
        <w:spacing w:after="240" w:line="240"/>
      </w:pPr>
    </w:p>
    <w:p>
      <w:pPr>
        <w:pStyle w:val="Heading2"/>
        <w:spacing w:after="0" w:before="0" w:line="480"/>
      </w:pPr>
      <w:r>
        <w:rPr>
          <w:b/>
          <w:bCs/>
        </w:rPr>
        <w:t xml:space="preserve">Narrativa de Datos</w:t>
      </w:r>
    </w:p>
    <w:p>
      <w:pPr>
        <w:spacing w:after="0" w:before="0" w:line="480"/>
        <w:ind w:firstLine="720"/>
        <w:jc w:val="left"/>
      </w:pPr>
      <w:r>
        <w:t xml:space="preserve">La pestaña de resumen organiza la historia en tres ideas. Primera: el cáncer de mama no es una sola enfermedad, porque los subtipos difieren en receptores, proliferación y pronóstico. Segunda: la genómica aporta lo que la clínica no ve, ya que con solo ER, PR y HER2 el subtipo se reconoce mal (F1 = 0,38), mientras que con la expresión génica se alcanza F1 = 0,79 en pacientes nunca vistas. Tercera: los datos se agrupan solos en perfiles de riesgo, con un grupo agresivo ER negativo (41 % de mortalidad por cáncer) y grupos luminales de mejor pronóstico. Las curvas de supervivencia de Kaplan y Meier (1958) muestran estas diferencias de forma directa.</w:t>
      </w:r>
    </w:p>
    <w:p>
      <w:pPr>
        <w:keepNext/>
        <w:spacing w:before="240"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Pestaña de resumen: tarjetas KPI y narrativa</w:t>
      </w:r>
    </w:p>
    <w:p>
      <w:pPr>
        <w:keepNext w:val="false"/>
        <w:jc w:val="center"/>
      </w:pPr>
      <w:r>
        <w:drawing>
          <wp:inline distT="0" distB="0" distL="0" distR="0">
            <wp:extent cx="5353050" cy="3714750"/>
            <wp:effectExtent t="0" r="0" b="0" l="0"/>
            <wp:docPr id="15" name="35_dashboard_resumen.png" descr="Pestaña de resumen: tarjetas KPI y narrativa" title="Pestaña de resumen: tarjetas KPI y nar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 w:before="0" w:line="480"/>
      </w:pPr>
      <w:r>
        <w:rPr>
          <w:b/>
          <w:bCs/>
        </w:rPr>
        <w:t xml:space="preserve">Predicción en Vivo</w:t>
      </w:r>
    </w:p>
    <w:p>
      <w:pPr>
        <w:spacing w:after="0" w:before="0" w:line="480"/>
        <w:ind w:firstLine="720"/>
        <w:jc w:val="left"/>
      </w:pPr>
      <w:r>
        <w:t xml:space="preserve">Se elige una paciente del conjunto de prueba como punto de partida y se modifican sus variables clínicas o la expresión de los 10 genes con más peso en los modelos. La aplicación recalcula las variables derivadas, como el puntaje de proliferación, y muestra el NPI estimado por Ridge, la probabilidad de cada subtipo según el clasificador final y el clúster asignado, junto con los valores reales de la paciente para comparar. Los campos de tamaño, ganglios y grado solo afectan al clasificador, porque son componentes del NPI y se excluyeron del modelo de regresión.</w:t>
      </w:r>
    </w:p>
    <w:p>
      <w:pPr>
        <w:keepNext/>
        <w:spacing w:before="240" w:line="480"/>
      </w:pPr>
      <w:r>
        <w:rPr>
          <w:b/>
          <w:bCs/>
        </w:rPr>
        <w:t xml:space="preserve">Figura 2</w:t>
      </w:r>
    </w:p>
    <w:p>
      <w:pPr>
        <w:keepNext/>
        <w:spacing w:line="480"/>
      </w:pPr>
      <w:r>
        <w:rPr>
          <w:i/>
          <w:iCs/>
        </w:rPr>
        <w:t xml:space="preserve">Pestaña de predicción en vivo</w:t>
      </w:r>
    </w:p>
    <w:p>
      <w:pPr>
        <w:keepNext w:val="false"/>
        <w:jc w:val="center"/>
      </w:pPr>
      <w:r>
        <w:drawing>
          <wp:inline distT="0" distB="0" distL="0" distR="0">
            <wp:extent cx="5353050" cy="3714750"/>
            <wp:effectExtent t="0" r="0" b="0" l="0"/>
            <wp:docPr id="16" name="36_dashboard_prediccion.png" descr="Pestaña de predicción en vivo" title="Pestaña de predicción en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 w:before="0" w:line="480"/>
      </w:pPr>
      <w:r>
        <w:rPr>
          <w:b/>
          <w:bCs/>
        </w:rPr>
        <w:t xml:space="preserve">Segmentación</w:t>
      </w:r>
    </w:p>
    <w:p>
      <w:pPr>
        <w:spacing w:after="0" w:before="0" w:line="480"/>
        <w:ind w:firstLine="720"/>
        <w:jc w:val="left"/>
      </w:pPr>
      <w:r>
        <w:t xml:space="preserve">La pestaña de segmentación muestra a las pacientes en el espacio de las tres primeras componentes principales, coloreadas por clúster o por subtipo, con la paciente editada marcada como referencia. Incluye el perfil promedio de cada clúster y su composición por subtipo, y advierte que el clúster 2 probablemente refleja un efecto de lote.</w:t>
      </w:r>
    </w:p>
    <w:p>
      <w:pPr>
        <w:keepNext/>
        <w:spacing w:before="240" w:line="480"/>
      </w:pPr>
      <w:r>
        <w:rPr>
          <w:b/>
          <w:bCs/>
        </w:rPr>
        <w:t xml:space="preserve">Figura 3</w:t>
      </w:r>
    </w:p>
    <w:p>
      <w:pPr>
        <w:keepNext/>
        <w:spacing w:line="480"/>
      </w:pPr>
      <w:r>
        <w:rPr>
          <w:i/>
          <w:iCs/>
        </w:rPr>
        <w:t xml:space="preserve">Pestaña de segmentación en el espacio de componentes principales</w:t>
      </w:r>
    </w:p>
    <w:p>
      <w:pPr>
        <w:keepNext w:val="false"/>
        <w:jc w:val="center"/>
      </w:pPr>
      <w:r>
        <w:drawing>
          <wp:inline distT="0" distB="0" distL="0" distR="0">
            <wp:extent cx="5353050" cy="3714750"/>
            <wp:effectExtent t="0" r="0" b="0" l="0"/>
            <wp:docPr id="17" name="37_dashboard_segmentacion.png" descr="Pestaña de segmentación en el espacio de componentes principales" title="Pestaña de segmentación en el espacio de componentes princip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 w:before="0" w:line="480"/>
      </w:pPr>
      <w:r>
        <w:rPr>
          <w:b/>
          <w:bCs/>
        </w:rPr>
        <w:t xml:space="preserve">Limitaciones</w:t>
      </w:r>
    </w:p>
    <w:p>
      <w:pPr>
        <w:spacing w:after="0" w:before="0" w:line="480"/>
        <w:ind w:firstLine="720"/>
        <w:jc w:val="left"/>
      </w:pPr>
      <w:r>
        <w:t xml:space="preserve">METABRIC no incluye fechas de calendario; por eso, el filtro temporal usa los meses de seguimiento desde el diagnóstico. La aplicación es académica y no debe usarse para decisiones clínicas.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Referencias</w:t>
      </w:r>
    </w:p>
    <w:p>
      <w:pPr>
        <w:spacing w:line="480"/>
        <w:ind w:left="720" w:hanging="720"/>
      </w:pPr>
      <w:r>
        <w:t xml:space="preserve">Curtis, C., Shah, S. P., Chin, S.-F., Turashvili, G., Rueda, O. M., Dunning, M. J., Speed, D., Lynch, A. G., Samarajiwa, S., Yuan, Y., Gräf, S., Ha, G., Haffari, G., Bashashati, A., Russell, R., McKinney, S., METABRIC Group, Langerød, A., Green, A., … Aparicio, S. (2012). The genomic and transcriptomic architecture of 2,000 breast tumours reveals novel subgroups. </w:t>
      </w:r>
      <w:r>
        <w:rPr>
          <w:i/>
          <w:iCs/>
        </w:rPr>
        <w:t xml:space="preserve">Nature, 486</w:t>
      </w:r>
      <w:r>
        <w:t xml:space="preserve">(7403), 346–352. </w:t>
      </w:r>
      <w:hyperlink w:history="1" r:id="rIdcdzilgoso61ptjm4_qhs9">
        <w:r>
          <w:rPr>
            <w:rStyle w:val="Hyperlink"/>
          </w:rPr>
          <w:t xml:space="preserve">https://doi.org/10.1038/nature10983</w:t>
        </w:r>
      </w:hyperlink>
    </w:p>
    <w:p>
      <w:pPr>
        <w:spacing w:line="480"/>
        <w:ind w:left="720" w:hanging="720"/>
      </w:pPr>
      <w:r>
        <w:t xml:space="preserve">Kaplan, E. L. y Meier, P. (1958). Nonparametric estimation from incomplete observations. </w:t>
      </w:r>
      <w:r>
        <w:rPr>
          <w:i/>
          <w:iCs/>
        </w:rPr>
        <w:t xml:space="preserve">Journal of the American Statistical Association, 53</w:t>
      </w:r>
      <w:r>
        <w:t xml:space="preserve">(282), 457–481. </w:t>
      </w:r>
      <w:hyperlink w:history="1" r:id="rIdlgxdogjocpc7h4dmf3zye">
        <w:r>
          <w:rPr>
            <w:rStyle w:val="Hyperlink"/>
          </w:rPr>
          <w:t xml:space="preserve">https://doi.org/10.1080/01621459.1958.10501452</w:t>
        </w:r>
      </w:hyperlink>
    </w:p>
    <w:p>
      <w:pPr>
        <w:spacing w:line="480"/>
        <w:ind w:left="720" w:hanging="720"/>
      </w:pPr>
      <w:r>
        <w:t xml:space="preserve">Streamlit Inc. (s. f.). </w:t>
      </w:r>
      <w:r>
        <w:rPr>
          <w:i/>
          <w:iCs/>
        </w:rPr>
        <w:t xml:space="preserve">Streamlit</w:t>
      </w:r>
      <w:r>
        <w:t xml:space="preserve"> (Versión 1.66.1) [Software]. </w:t>
      </w:r>
      <w:hyperlink w:history="1" r:id="rIdy1klct5qqidlfukevdb_o">
        <w:r>
          <w:rPr>
            <w:rStyle w:val="Hyperlink"/>
          </w:rPr>
          <w:t xml:space="preserve">https://streamlit.io</w:t>
        </w:r>
      </w:hyperlink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4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line="4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5ihtbk3wowxwf9sxvz7n3" Type="http://schemas.openxmlformats.org/officeDocument/2006/relationships/hyperlink" Target="https://metabric-proyecto-integrador.streamlit.app" TargetMode="External"/><Relationship Id="rIdlxamuefgranstqjyqbntg" Type="http://schemas.openxmlformats.org/officeDocument/2006/relationships/hyperlink" Target="https://github.com/MartinGia/metabric-proyecto-integrador/blob/main/dashboard/app.py" TargetMode="External"/><Relationship Id="rIdo-ji3y9t7f8y1lwh_5kgy" Type="http://schemas.openxmlformats.org/officeDocument/2006/relationships/hyperlink" Target="https://github.com/MartinGia/metabric-proyecto-integrador/blob/main/dashboard/README.md" TargetMode="External"/><Relationship Id="rId40uywvxcbt3ljfwvlra5i" Type="http://schemas.openxmlformats.org/officeDocument/2006/relationships/hyperlink" Target="https://github.com/MartinGia/metabric-proyecto-integrador" TargetMode="External"/><Relationship Id="rIdcdzilgoso61ptjm4_qhs9" Type="http://schemas.openxmlformats.org/officeDocument/2006/relationships/hyperlink" Target="https://doi.org/10.1038/nature10983" TargetMode="External"/><Relationship Id="rIdlgxdogjocpc7h4dmf3zye" Type="http://schemas.openxmlformats.org/officeDocument/2006/relationships/hyperlink" Target="https://doi.org/10.1080/01621459.1958.10501452" TargetMode="External"/><Relationship Id="rIdy1klct5qqidlfukevdb_o" Type="http://schemas.openxmlformats.org/officeDocument/2006/relationships/hyperlink" Target="https://streamlit.io" TargetMode="External"/><Relationship Id="rId8" Type="http://schemas.openxmlformats.org/officeDocument/2006/relationships/image" Target="media/cac6e92159ba15685243d2703b875a99e3f30811.png"/><Relationship Id="rId9" Type="http://schemas.openxmlformats.org/officeDocument/2006/relationships/image" Target="media/15cb75ebf49b02b4ca35bb5e54f434127679b329.png"/><Relationship Id="rId10" Type="http://schemas.openxmlformats.org/officeDocument/2006/relationships/image" Target="media/6a4ccbef02ff31b63714430851398a923f8f07d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Gracia Socha</dc:creator>
  <cp:lastModifiedBy>Un-named</cp:lastModifiedBy>
  <cp:revision>1</cp:revision>
  <dcterms:created xsi:type="dcterms:W3CDTF">2026-10-25T17:26:34.865Z</dcterms:created>
  <dcterms:modified xsi:type="dcterms:W3CDTF">2026-10-25T17:26:34.865Z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