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jc w:val="center"/>
      </w:pPr>
      <w:r>
        <w:rPr>
          <w:b/>
          <w:bCs/>
        </w:rPr>
        <w:t xml:space="preserve">Planteamiento del Problema, Descripción del Conjunto de Datos y Análisis Exploratorio</w:t>
      </w:r>
    </w:p>
    <w:p>
      <w:pPr>
        <w:spacing w:line="480"/>
        <w:jc w:val="center"/>
      </w:pPr>
      <w:r>
        <w:rPr>
          <w:b/>
          <w:bCs/>
        </w:rPr>
        <w:t xml:space="preserve">Proyecto Integrador METABRIC: Entregable 1 (Fase 1, Actividad 2)</w:t>
      </w:r>
    </w:p>
    <w:p>
      <w:pPr>
        <w:spacing w:line="480"/>
      </w:pPr>
    </w:p>
    <w:p>
      <w:pPr>
        <w:spacing w:line="480"/>
        <w:jc w:val="center"/>
      </w:pPr>
      <w:r>
        <w:t xml:space="preserve">Martín Gracia Socha</w:t>
      </w:r>
    </w:p>
    <w:p>
      <w:pPr>
        <w:spacing w:line="480"/>
        <w:jc w:val="center"/>
      </w:pPr>
      <w:r>
        <w:t xml:space="preserve">Facultad de Ingeniería, Universidad de La Salle</w:t>
      </w:r>
    </w:p>
    <w:p>
      <w:pPr>
        <w:spacing w:line="480"/>
        <w:jc w:val="center"/>
      </w:pPr>
      <w:r>
        <w:t xml:space="preserve">Ciencia de Datos (2026-2): Maestría en Inteligencia Artificial</w:t>
      </w:r>
    </w:p>
    <w:p>
      <w:pPr>
        <w:spacing w:line="480"/>
        <w:jc w:val="center"/>
      </w:pPr>
      <w:r>
        <w:t xml:space="preserve">Fabián Camilo Castro Riveros</w:t>
      </w:r>
    </w:p>
    <w:p>
      <w:pPr>
        <w:spacing w:line="480"/>
        <w:jc w:val="center"/>
      </w:pPr>
      <w:r>
        <w:t xml:space="preserve">1 de noviembre de 2026</w:t>
      </w:r>
    </w:p>
    <w:p>
      <w:pPr>
        <w:spacing w:line="480"/>
      </w:pPr>
    </w:p>
    <w:tbl>
      <w:tblPr>
        <w:tblW w:type="dxa" w:w="9360"/>
        <w:tblBorders>
          <w:top w:val="single" w:color="147089" w:sz="6"/>
          <w:left w:val="single" w:color="147089" w:sz="6"/>
          <w:bottom w:val="single" w:color="147089" w:sz="6"/>
          <w:right w:val="single" w:color="147089" w:sz="6"/>
          <w:insideH w:val="none" w:color="FFFFFF" w:sz="0"/>
          <w:insideV w:val="none" w:color="FFFFFF" w:sz="0"/>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EAF2F6" w:color="auto" w:val="clear"/>
            <w:tcMar>
              <w:top w:type="dxa" w:w="60"/>
              <w:left w:type="dxa" w:w="100"/>
              <w:bottom w:type="dxa" w:w="60"/>
              <w:right w:type="dxa" w:w="100"/>
            </w:tcMar>
          </w:tcPr>
          <w:p>
            <w:pPr>
              <w:spacing w:line="240"/>
            </w:pPr>
            <w:r>
              <w:rPr>
                <w:b/>
                <w:bCs/>
                <w:color w:val="0E2841"/>
                <w:sz w:val="20"/>
                <w:szCs w:val="20"/>
              </w:rPr>
              <w:t xml:space="preserve">Archivos ejecutables y recursos de esta entrega</w:t>
            </w:r>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Repositorio del proyecto</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hpnisfuf5mt3coe4nyxog">
              <w:r>
                <w:rPr>
                  <w:rStyle w:val="Hyperlink"/>
                  <w:sz w:val="20"/>
                  <w:szCs w:val="20"/>
                </w:rPr>
                <w:t xml:space="preserve">https://github.com/MartinGia/metabric-proyecto-integrador</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01 (GitHub)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scbyniplwdeijletb8yea">
              <w:r>
                <w:rPr>
                  <w:rStyle w:val="Hyperlink"/>
                  <w:sz w:val="20"/>
                  <w:szCs w:val="20"/>
                </w:rPr>
                <w:t xml:space="preserve">https://github.com/MartinGia/metabric-proyecto-integrador/blob/main/notebooks/01_EDA_Fase1.ipynb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01 (Colab)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ftrzejezhem3oaz7-14j-">
              <w:r>
                <w:rPr>
                  <w:rStyle w:val="Hyperlink"/>
                  <w:sz w:val="20"/>
                  <w:szCs w:val="20"/>
                </w:rPr>
                <w:t xml:space="preserve">https://colab.research.google.com/github/MartinGia/metabric-proyecto-integrador/blob/main/notebooks/01_EDA_Fase1.ipynb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Diccionario de datos</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bmahrqbyecnk2saomryzq">
              <w:r>
                <w:rPr>
                  <w:rStyle w:val="Hyperlink"/>
                  <w:sz w:val="20"/>
                  <w:szCs w:val="20"/>
                </w:rPr>
                <w:t xml:space="preserve">https://github.com/MartinGia/metabric-proyecto-integrador/blob/main/docs/diccionario_datos.csv</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Datos originales</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wzu8nqjxdzwghgco9f2bk">
              <w:r>
                <w:rPr>
                  <w:rStyle w:val="Hyperlink"/>
                  <w:sz w:val="20"/>
                  <w:szCs w:val="20"/>
                </w:rPr>
                <w:t xml:space="preserve">https://github.com/MartinGia/metabric-proyecto-integrador/tree/main/data/raw</w:t>
              </w:r>
            </w:hyperlink>
          </w:p>
        </w:tc>
      </w:tr>
    </w:tbl>
    <w:p>
      <w:pPr>
        <w:spacing w:before="80" w:line="240"/>
      </w:pPr>
      <w:r>
        <w:rPr>
          <w:i/>
          <w:iCs/>
          <w:sz w:val="18"/>
          <w:szCs w:val="18"/>
        </w:rPr>
        <w:t xml:space="preserve">El cuaderno se ejecuta de principio a fin en Google Colab: la primera celda clona el repositorio e instala las dependencias.</w:t>
      </w:r>
    </w:p>
    <w:p>
      <w:r>
        <w:br w:type="page"/>
      </w:r>
    </w:p>
    <w:p>
      <w:pPr>
        <w:pStyle w:val="Heading1"/>
        <w:spacing w:after="0" w:before="0" w:line="480"/>
        <w:jc w:val="center"/>
      </w:pPr>
      <w:r>
        <w:rPr>
          <w:b/>
          <w:bCs/>
        </w:rPr>
        <w:t xml:space="preserve">Resumen</w:t>
      </w:r>
    </w:p>
    <w:p>
      <w:pPr>
        <w:spacing w:after="0" w:before="0" w:line="480"/>
        <w:ind w:firstLine="720"/>
        <w:jc w:val="left"/>
      </w:pPr>
      <w:r>
        <w:t xml:space="preserve">Este informe presenta la primera fase de un proyecto de ciencia de datos sobre la cohorte METABRIC de cáncer de mama (1.904 pacientes, 693 variables clínicas, de expresión génica y de mutaciones). Se plantean tres problemas analíticos: estimar el Nottingham Prognostic Index (regresión), predecir el subtipo molecular PAM50 (clasificación) y segmentar a las pacientes según su perfil de expresión (clustering). El análisis exploratorio muestra que el conjunto tiene muy pocos faltantes (0,083 % de las celdas), pero que estos no son aleatorios en variables como el estadio tumoral; que el NPI está determinado casi por completo por tres variables clínicas, lo que obliga a excluirlas como predictoras; y que la expresión génica discrimina con fuerza los subtipos moleculares (406 de 489 genes difieren entre subtipos).</w:t>
      </w:r>
    </w:p>
    <w:p>
      <w:pPr>
        <w:pStyle w:val="Heading1"/>
        <w:spacing w:after="0" w:before="0" w:line="480"/>
        <w:jc w:val="center"/>
      </w:pPr>
      <w:r>
        <w:rPr>
          <w:b/>
          <w:bCs/>
        </w:rPr>
        <w:t xml:space="preserve">Introducción y contexto del dominio</w:t>
      </w:r>
    </w:p>
    <w:p>
      <w:pPr>
        <w:spacing w:after="0" w:before="0" w:line="480"/>
        <w:ind w:firstLine="720"/>
        <w:jc w:val="left"/>
      </w:pPr>
      <w:r>
        <w:t xml:space="preserve">El cáncer de mama es el cáncer más frecuente en mujeres y una enfermedad molecularmente heterogénea: tumores con el mismo estadio clínico pueden responder de forma distinta al tratamiento. La práctica clínica combina dos herramientas para estratificar a las pacientes. La primera son los índices clínico-patológicos, como el </w:t>
      </w:r>
      <w:r>
        <w:rPr>
          <w:b/>
          <w:bCs/>
        </w:rPr>
        <w:t xml:space="preserve">Nottingham Prognostic Index (NPI)</w:t>
      </w:r>
      <w:r>
        <w:t xml:space="preserve">, que integra el tamaño del tumor, el compromiso ganglionar y el grado histológico (Haybittle et al., 1982). La segunda son las clasificaciones moleculares, como los </w:t>
      </w:r>
      <w:r>
        <w:rPr>
          <w:b/>
          <w:bCs/>
        </w:rPr>
        <w:t xml:space="preserve">subtipos intrínsecos PAM50</w:t>
      </w:r>
      <w:r>
        <w:t xml:space="preserve"> (Luminal A, Luminal B, HER2-enriquecido, Basal y Normal-like, a los que se suma Claudin-low), que se asocian a terapias específicas (Parker et al., 2009).</w:t>
      </w:r>
    </w:p>
    <w:p>
      <w:pPr>
        <w:spacing w:after="0" w:before="0" w:line="480"/>
        <w:ind w:firstLine="720"/>
        <w:jc w:val="left"/>
      </w:pPr>
      <w:r>
        <w:t xml:space="preserve">El consorcio METABRIC caracterizó cerca de 2.000 tumores primarios con datos clínicos, de expresión génica y de alteraciones genómicas (Curtis et al., 2012; Pereira et al., 2016). </w:t>
      </w:r>
      <w:r>
        <w:rPr>
          <w:b/>
          <w:bCs/>
        </w:rPr>
        <w:t xml:space="preserve">Impacto potencial:</w:t>
      </w:r>
      <w:r>
        <w:t xml:space="preserve"> un modelo capaz de estimar el riesgo pronóstico y el subtipo a partir de un panel reducido de genes, junto con una segmentación no supervisada de pacientes, puede apoyar la priorización de pruebas moleculares y la discusión de alternativas terapéuticas. El trabajo es académico y no sustituye el criterio clínico.</w:t>
      </w:r>
    </w:p>
    <w:p>
      <w:pPr>
        <w:pStyle w:val="Heading1"/>
        <w:spacing w:after="0" w:before="0" w:line="480"/>
        <w:jc w:val="center"/>
      </w:pPr>
      <w:r>
        <w:rPr>
          <w:b/>
          <w:bCs/>
        </w:rPr>
        <w:t xml:space="preserve">Preguntas de investigación y objetivos</w:t>
      </w:r>
    </w:p>
    <w:p>
      <w:pPr>
        <w:pStyle w:val="Heading2"/>
        <w:spacing w:after="0" w:before="0" w:line="480"/>
      </w:pPr>
      <w:r>
        <w:rPr>
          <w:b/>
          <w:bCs/>
        </w:rPr>
        <w:t xml:space="preserve">Preguntas</w:t>
      </w:r>
    </w:p>
    <w:p>
      <w:pPr>
        <w:spacing w:after="0" w:before="0" w:line="480"/>
        <w:ind w:firstLine="720"/>
        <w:jc w:val="left"/>
      </w:pPr>
      <w:r>
        <w:rPr>
          <w:b/>
          <w:bCs/>
        </w:rPr>
        <w:t xml:space="preserve">Pregunta principal.</w:t>
      </w:r>
      <w:r>
        <w:t xml:space="preserve"> ¿En qué medida el perfil clínico y la expresión génica del tumor primario permiten estimar el riesgo pronóstico de una paciente con cáncer de mama, predecir su subtipo molecular intrínseco e identificar grupos de pacientes con perfiles biológicos diferenciados?</w:t>
      </w:r>
    </w:p>
    <w:p>
      <w:pPr>
        <w:pStyle w:val="ListParagraph"/>
        <w:numPr>
          <w:ilvl w:val="0"/>
          <w:numId w:val="2"/>
        </w:numPr>
        <w:spacing w:line="480"/>
      </w:pPr>
      <w:r>
        <w:rPr>
          <w:b/>
          <w:bCs/>
        </w:rPr>
        <w:t xml:space="preserve">Regresión.</w:t>
      </w:r>
      <w:r>
        <w:t xml:space="preserve"> ¿Qué tan bien puede estimarse el NPI a partir de la expresión génica y de variables clínicas que no forman parte de su fórmula, y qué genes aportan más a esa estimación?</w:t>
      </w:r>
    </w:p>
    <w:p>
      <w:pPr>
        <w:pStyle w:val="ListParagraph"/>
        <w:numPr>
          <w:ilvl w:val="0"/>
          <w:numId w:val="2"/>
        </w:numPr>
        <w:spacing w:line="480"/>
      </w:pPr>
      <w:r>
        <w:rPr>
          <w:b/>
          <w:bCs/>
        </w:rPr>
        <w:t xml:space="preserve">Clasificación.</w:t>
      </w:r>
      <w:r>
        <w:t xml:space="preserve"> ¿Con qué desempeño (F1 macro y AUC-ROC) puede predecirse el subtipo PAM50 + Claudin-low con el panel de 489 genes y las variables clínicas?</w:t>
      </w:r>
    </w:p>
    <w:p>
      <w:pPr>
        <w:pStyle w:val="ListParagraph"/>
        <w:numPr>
          <w:ilvl w:val="0"/>
          <w:numId w:val="2"/>
        </w:numPr>
        <w:spacing w:line="480"/>
      </w:pPr>
      <w:r>
        <w:rPr>
          <w:b/>
          <w:bCs/>
        </w:rPr>
        <w:t xml:space="preserve">Clustering.</w:t>
      </w:r>
      <w:r>
        <w:t xml:space="preserve"> ¿Los grupos que emergen en el espacio de expresión génica coinciden con los subtipos PAM50 y difieren en NPI y supervivencia?</w:t>
      </w:r>
    </w:p>
    <w:p>
      <w:pPr>
        <w:pStyle w:val="Heading2"/>
        <w:spacing w:after="0" w:before="0" w:line="480"/>
      </w:pPr>
      <w:r>
        <w:rPr>
          <w:b/>
          <w:bCs/>
        </w:rPr>
        <w:t xml:space="preserve">Objetivos SMART</w:t>
      </w:r>
    </w:p>
    <w:p>
      <w:pPr>
        <w:spacing w:after="0" w:before="0" w:line="480"/>
        <w:ind w:firstLine="720"/>
        <w:jc w:val="left"/>
      </w:pPr>
      <w:r>
        <w:rPr>
          <w:b/>
          <w:bCs/>
        </w:rPr>
        <w:t xml:space="preserve">Objetivo general.</w:t>
      </w:r>
      <w:r>
        <w:t xml:space="preserve"> Desarrollar, a más tardar el 28 de noviembre de 2026, una solución analítica reproducible sobre los 1.904 registros de METABRIC que integre un modelo de regresión del NPI, un modelo de clasificación del subtipo PAM50 y una segmentación no supervisada de pacientes, comunicada mediante un dashboard interactivo desplegado en línea.</w:t>
      </w:r>
    </w:p>
    <w:p>
      <w:pPr>
        <w:pStyle w:val="ListParagraph"/>
        <w:numPr>
          <w:ilvl w:val="0"/>
          <w:numId w:val="3"/>
        </w:numPr>
        <w:spacing w:line="480"/>
      </w:pPr>
      <w:r>
        <w:t xml:space="preserve">Entrenar y comparar, antes del 22 de noviembre de 2026, un modelo lineal regularizado (Lasso, Ridge o ElasticNet) y un modelo de ensamble (Random Forest o Gradient Boosting) que estimen el NPI sin usar sus componentes, con la meta de reducir el RMSE frente al modelo base y alcanzar un R² de al menos 0,20 en el conjunto de prueba.</w:t>
      </w:r>
    </w:p>
    <w:p>
      <w:pPr>
        <w:pStyle w:val="ListParagraph"/>
        <w:numPr>
          <w:ilvl w:val="0"/>
          <w:numId w:val="3"/>
        </w:numPr>
        <w:spacing w:line="480"/>
      </w:pPr>
      <w:r>
        <w:t xml:space="preserve">Entrenar y comparar, antes del 22 de noviembre de 2026, dos algoritmos de clasificación (por ejemplo, SVM y Random Forest) para el subtipo PAM50 con partición estratificada, con la meta de alcanzar un F1 macro de al menos 0,75 en prueba, superar a una regresión logística de referencia en validación cruzada (F1 macro = 0,698) y reducir la brecha de sobreajuste entre entrenamiento y validación cruzada por debajo de 0,15.</w:t>
      </w:r>
    </w:p>
    <w:p>
      <w:pPr>
        <w:pStyle w:val="ListParagraph"/>
        <w:numPr>
          <w:ilvl w:val="0"/>
          <w:numId w:val="3"/>
        </w:numPr>
        <w:spacing w:line="480"/>
      </w:pPr>
      <w:r>
        <w:t xml:space="preserve">Segmentar a las pacientes, antes del 22 de noviembre de 2026, con K-Means (K elegido por el método del codo y el coeficiente de silueta) y con Clustering Jerárquico Aglomerativo o DBSCAN sobre la expresión génica reducida por PCA, y caracterizar cada clúster por su perfil clínico, su correspondencia con PAM50 (Índice de Rand Ajustado) y su NPI promedio.</w:t>
      </w:r>
    </w:p>
    <w:p>
      <w:pPr>
        <w:spacing w:after="0" w:before="0" w:line="480"/>
        <w:ind w:firstLine="720"/>
        <w:jc w:val="left"/>
      </w:pPr>
      <w:r>
        <w:t xml:space="preserve">La meta de R² es moderada porque el EDA muestra que, sin los componentes del NPI, ningún gen supera una correlación de 0,40 con esta variable (sección 5.3). La meta de clasificación se fijó por encima del desempeño de una regresión logística de referencia, estimado con validación cruzada solo sobre el conjunto de entrenamiento; el conjunto de prueba no se usó para definirla.</w:t>
      </w:r>
    </w:p>
    <w:p>
      <w:pPr>
        <w:pStyle w:val="Heading1"/>
        <w:spacing w:after="0" w:before="0" w:line="480"/>
        <w:jc w:val="center"/>
      </w:pPr>
      <w:r>
        <w:rPr>
          <w:b/>
          <w:bCs/>
        </w:rPr>
        <w:t xml:space="preserve">Ficha técnica del conjunto de datos</w:t>
      </w:r>
    </w:p>
    <w:p>
      <w:pPr>
        <w:keepNext/>
        <w:spacing w:before="240" w:line="480"/>
      </w:pPr>
      <w:r>
        <w:rPr>
          <w:b/>
          <w:bCs/>
        </w:rPr>
        <w:t xml:space="preserve">Tabla 1</w:t>
      </w:r>
    </w:p>
    <w:p>
      <w:pPr>
        <w:keepNext/>
        <w:spacing w:line="480"/>
      </w:pPr>
      <w:r>
        <w:rPr>
          <w:i/>
          <w:iCs/>
        </w:rPr>
        <w:t xml:space="preserve">Ficha técnica del conjunto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Campo</w:t>
            </w:r>
          </w:p>
        </w:tc>
        <w:tc>
          <w:tcPr>
            <w:tcW w:type="dxa" w:w="70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Detalle</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Nombre</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Breast Cancer Gene Expression Profiles (METABRIC)</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Repositorio</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Kaggle Datasets</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URL</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https://www.kaggle.com/datasets/raghadalharbi/breast-cancer-gene-expression-profiles-metabric</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Fuente primaria</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cBioPortal for Cancer Genomics, estudio brca_metabric</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Fecha de extracción</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24 de octubre de 2026</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Licencia</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Open Database License (ODbL) y Database Contents License (DbCL) v1.0</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Dimensiones</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1.904 registros × 693 variables (archivo METABRIC_RNA_Mutation.csv, 8,4 MB)</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Bloques</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31 variables clínicas; 489 z-scores de expresión de ARNm; 173 variables de mutación</w:t>
            </w:r>
          </w:p>
        </w:tc>
      </w:tr>
      <w:tr>
        <w:trPr>
          <w:cantSplit/>
        </w:trPr>
        <w:tc>
          <w:tcPr>
            <w:tcW w:type="dxa" w:w="2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Unidad de observación</w:t>
            </w:r>
          </w:p>
        </w:tc>
        <w:tc>
          <w:tcPr>
            <w:tcW w:type="dxa" w:w="70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Una paciente con cáncer de mama primario</w:t>
            </w:r>
          </w:p>
        </w:tc>
      </w:tr>
    </w:tbl>
    <w:p>
      <w:pPr>
        <w:spacing w:after="240" w:line="240"/>
      </w:pPr>
    </w:p>
    <w:p>
      <w:pPr>
        <w:pStyle w:val="Heading1"/>
        <w:spacing w:after="0" w:before="0" w:line="480"/>
        <w:jc w:val="center"/>
      </w:pPr>
      <w:r>
        <w:rPr>
          <w:b/>
          <w:bCs/>
        </w:rPr>
        <w:t xml:space="preserve">Diccionario de datos</w:t>
      </w:r>
    </w:p>
    <w:p>
      <w:pPr>
        <w:spacing w:after="0" w:before="0" w:line="480"/>
        <w:ind w:firstLine="720"/>
        <w:jc w:val="left"/>
      </w:pPr>
      <w:r>
        <w:t xml:space="preserve">La Tabla 2 describe las 31 variables clínicas. Las 489 variables de expresión génica son cuantitativas continuas: cada una es el z-score de expresión de ARNm de un gen (media 0 y desviación estándar 1; rango global de −7,24 a 20,40). Las 173 variables de mutación son cualitativas nominales: valen </w:t>
      </w:r>
      <w:r>
        <w:rPr>
          <w:rFonts w:ascii="Courier New" w:cs="Courier New" w:eastAsia="Courier New" w:hAnsi="Courier New"/>
          <w:sz w:val="20"/>
          <w:szCs w:val="20"/>
        </w:rPr>
        <w:t xml:space="preserve">0</w:t>
      </w:r>
      <w:r>
        <w:t xml:space="preserve"> si el gen no está mutado o registran el cambio de proteína (por ejemplo, R175H en TP53). El diccionario completo de las 693 columnas está en </w:t>
      </w:r>
      <w:r>
        <w:rPr>
          <w:rFonts w:ascii="Courier New" w:cs="Courier New" w:eastAsia="Courier New" w:hAnsi="Courier New"/>
          <w:sz w:val="20"/>
          <w:szCs w:val="20"/>
        </w:rPr>
        <w:t xml:space="preserve">docs/diccionario_datos.csv</w:t>
      </w:r>
      <w:r>
        <w:t xml:space="preserve"> del repositorio.</w:t>
      </w:r>
    </w:p>
    <w:p>
      <w:pPr>
        <w:keepNext/>
        <w:spacing w:before="240" w:line="480"/>
      </w:pPr>
      <w:r>
        <w:rPr>
          <w:b/>
          <w:bCs/>
        </w:rPr>
        <w:t xml:space="preserve">Tabla 2</w:t>
      </w:r>
    </w:p>
    <w:p>
      <w:pPr>
        <w:keepNext/>
        <w:spacing w:line="480"/>
      </w:pPr>
      <w:r>
        <w:rPr>
          <w:i/>
          <w:iCs/>
        </w:rPr>
        <w:t xml:space="preserve">Diccionario de las variables clínicas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400"/>
        <w:gridCol w:w="3610"/>
        <w:gridCol w:w="2000"/>
      </w:tblGrid>
      <w:tr>
        <w:trPr>
          <w:tblHeader/>
        </w:trPr>
        <w:tc>
          <w:tcPr>
            <w:tcW w:type="dxa" w:w="23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Variable</w:t>
            </w:r>
          </w:p>
        </w:tc>
        <w:tc>
          <w:tcPr>
            <w:tcW w:type="dxa" w:w="14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Tipo</w:t>
            </w:r>
          </w:p>
        </w:tc>
        <w:tc>
          <w:tcPr>
            <w:tcW w:type="dxa" w:w="361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Descripción</w:t>
            </w:r>
          </w:p>
        </w:tc>
        <w:tc>
          <w:tcPr>
            <w:tcW w:type="dxa" w:w="2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Rango o valores</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patient_id</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Identificador</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Identificador anónimo de la paciente; no se usa como predictor.</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1904 valores únicos</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age_at_diagnosis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Cuant. continua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Edad de la paciente al diagnóstico (años).</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[21.93, 96.29]</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type_of_breast_surgery</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Tipo de cirugía: mastectomía o cirugía conservadora de mama.</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BREAST CONSERVING, MASTECTOMY</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cancer_type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Tipo de cáncer: carcinoma de mama o sarcoma de mama.</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Breast Cancer, Breast Sarcoma</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cancer_type_detailed</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Tipo histológico detallado (ductal, lobulillar, mixto, etc.).</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Breast, Breast Invasive Ductal Carcinoma, Breast Invasive...</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cellularity</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ordinal</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Celularidad tumoral tras quimioterapia: Low &lt; Moderate &lt; High.</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High, Low, Moderate</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chemotherapy</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 (binaria)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Recibió quimioterapia (1 = sí, 0 = no).</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0, 1</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pam50_+_claudin-low_subtype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Subtipo intrínseco PAM50 + Claudin-low. </w:t>
            </w:r>
            <w:r>
              <w:rPr>
                <w:b w:val="false"/>
                <w:bCs w:val="false"/>
                <w:sz w:val="16"/>
                <w:szCs w:val="16"/>
              </w:rPr>
              <w:t xml:space="preserve">Objetivo de clasificación.</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Basal, Her2, LumA, LumB, NC, Normal, claudin-low</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cohort</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Cohorte de reclutamiento (1 a 5), codificada con números.</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1.0, 2.0, 3.0, 4.0, 5.0</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er_status_measured_by_ihc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 (binaria)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Receptor de estrógeno medido por inmunohistoquímica.</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Negative, Positve</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er_status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 (binaria)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Estado del receptor de estrógeno (positivo o negativo).</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Negative, Positive</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neoplasm_histologic_grade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ordinal</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Grado histológico de Nottingham (1 = bien diferenciado, 3 = poco diferenciado). Componente del NPI.</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1.0, 2.0, 3.0</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her2_status_measured_by_snp6</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Número de copias de HER2 medido con arreglos SNP6 (LOSS, NEUTRAL, GAIN, UNDEF).</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GAIN, LOSS, NEUTRAL, UNDEF</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her2_status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 (binaria)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Estado del receptor HER2 (positivo o negativo).</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Negative, Positive</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tumor_other_histologic_subtype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Subtipo histológico (Ductal/NST, Lobular, Mixed, Medullary, etc.).</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Ductal/NST, Lobular, Medullary, Metaplastic, Mixed, Mucin...</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hormone_therapy</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 (binaria)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Recibió terapia hormonal (1 = sí, 0 = no).</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0, 1</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inferred_menopausal_state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 (binaria)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Estado menopáusico inferido: Pre o Post.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Post, Pre</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integrative_cluster</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Clúster integrativo METABRIC (IntClust 1 a 10, con 4ER+ y 4ER-).</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 10, 2, 3, 4ER+, 4ER-, 5, 6, 7, 8, 9</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primary_tumor_laterality</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 (binaria)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Lateralidad del tumor primario: Left o Right.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Left, Right</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lymph_nodes_examined_positive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Cuant. discreta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Número de ganglios linfáticos positivos. Componente del NPI.</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 45]</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mutation_count</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Cuant. discreta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Número de genes con mutación detectada en el tumor.</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 80]</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nottingham_prognostic_index</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Cuant. continua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Nottingham Prognostic Index; a mayor valor, peor pronóstico. </w:t>
            </w:r>
            <w:r>
              <w:rPr>
                <w:b w:val="false"/>
                <w:bCs w:val="false"/>
                <w:sz w:val="16"/>
                <w:szCs w:val="16"/>
              </w:rPr>
              <w:t xml:space="preserve">Objetivo de regresión.</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 6.36]</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oncotree_code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Código OncoTree del tipo tumoral (IDC, ILC, MDLC, etc.).</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BREAST, IDC, ILC, IMMC, MBC, MDLC</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overall_survival_months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Cuant. continua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Meses desde la intervención hasta la muerte o el último seguimiento (dato censurado).</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 355.2]</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overall_survival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 (binaria)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Estado vital al cierre del seguimiento (1 = viva, 0 = fallecida).</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0, 1</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pr_status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 (binaria)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Estado del receptor de progesterona (positivo o negativo).</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Negative, Positive</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radio_therapy</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 (binaria)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Recibió radioterapia (1 = sí, 0 = no).</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0, 1</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3-gene_classifier_subtype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Subtipo según el clasificador de 3 genes (ER/HER2 y proliferación).</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ER+/HER2- High Prolif, ER+/HER2- Low Prolif, ER-/HER2-, H...</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tumor_size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Cuant. continua</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Tamaño del tumor (mm). Componente del NPI.</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 182]</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tumor_stage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ordinal</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Estadio del tumor (0 a 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0.0, 1.0, 2.0, 3.0, 4.0</w:t>
            </w:r>
          </w:p>
        </w:tc>
      </w:tr>
      <w:tr>
        <w:trPr>
          <w:cantSplit/>
        </w:trPr>
        <w:tc>
          <w:tcPr>
            <w:tcW w:type="dxa" w:w="23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death_from_cancer</w:t>
            </w:r>
          </w:p>
        </w:tc>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Cual. nominal</w:t>
            </w:r>
          </w:p>
        </w:tc>
        <w:tc>
          <w:tcPr>
            <w:tcW w:type="dxa" w:w="361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Causa de muerte: Living, Died of Disease o Died of Other Causes.</w:t>
            </w:r>
          </w:p>
        </w:tc>
        <w:tc>
          <w:tcPr>
            <w:tcW w:type="dxa" w:w="2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Died of Disease, Died of Other Causes, Living</w:t>
            </w:r>
          </w:p>
        </w:tc>
      </w:tr>
    </w:tbl>
    <w:p>
      <w:pPr>
        <w:spacing w:after="240" w:line="240"/>
      </w:pPr>
    </w:p>
    <w:p>
      <w:pPr>
        <w:pStyle w:val="Heading1"/>
        <w:spacing w:after="0" w:before="0" w:line="480"/>
        <w:jc w:val="center"/>
      </w:pPr>
      <w:r>
        <w:rPr>
          <w:b/>
          <w:bCs/>
        </w:rPr>
        <w:t xml:space="preserve">Análisis exploratorio de datos</w:t>
      </w:r>
    </w:p>
    <w:p>
      <w:pPr>
        <w:spacing w:after="0" w:before="0" w:line="480"/>
        <w:ind w:firstLine="720"/>
        <w:jc w:val="left"/>
      </w:pPr>
      <w:r>
        <w:t xml:space="preserve">El análisis se realizó en Python con pandas, SciPy, scikit-learn, Matplotlib y Seaborn, en el cuaderno </w:t>
      </w:r>
      <w:r>
        <w:rPr>
          <w:rFonts w:ascii="Courier New" w:cs="Courier New" w:eastAsia="Courier New" w:hAnsi="Courier New"/>
          <w:sz w:val="20"/>
          <w:szCs w:val="20"/>
        </w:rPr>
        <w:t xml:space="preserve">01_EDA_Fase1.ipynb</w:t>
      </w:r>
      <w:r>
        <w:t xml:space="preserve">. Se usó un nivel de significancia de 0,05 y, para comparaciones múltiples, la corrección de Bonferroni.</w:t>
      </w:r>
    </w:p>
    <w:p>
      <w:pPr>
        <w:pStyle w:val="Heading2"/>
        <w:spacing w:after="0" w:before="0" w:line="480"/>
      </w:pPr>
      <w:r>
        <w:rPr>
          <w:b/>
          <w:bCs/>
        </w:rPr>
        <w:t xml:space="preserve">Diagnóstico de calidad de datos</w:t>
      </w:r>
    </w:p>
    <w:p>
      <w:pPr>
        <w:spacing w:after="0" w:before="0" w:line="480"/>
        <w:ind w:firstLine="720"/>
        <w:jc w:val="left"/>
      </w:pPr>
      <w:r>
        <w:rPr>
          <w:b/>
          <w:bCs/>
        </w:rPr>
        <w:t xml:space="preserve">Faltantes.</w:t>
      </w:r>
      <w:r>
        <w:t xml:space="preserve"> Solo 1.100 de 1.319.472 celdas están vacías (0,083 %), todas en 13 variables clínicas; los bloques de genes y mutaciones están completos (Tabla 3 y Figura 1). Aun así, solo el 57,4 % de las filas tiene todas las variables clínicas completas, por lo que eliminar registros no es viable. Los faltantes de </w:t>
      </w:r>
      <w:r>
        <w:rPr>
          <w:rFonts w:ascii="Courier New" w:cs="Courier New" w:eastAsia="Courier New" w:hAnsi="Courier New"/>
          <w:sz w:val="20"/>
          <w:szCs w:val="20"/>
        </w:rPr>
        <w:t xml:space="preserve">tumor_stage</w:t>
      </w:r>
      <w:r>
        <w:t xml:space="preserve"> </w:t>
      </w:r>
      <w:r>
        <w:rPr>
          <w:b/>
          <w:bCs/>
        </w:rPr>
        <w:t xml:space="preserve">no son completamente aleatorios</w:t>
      </w:r>
      <w:r>
        <w:t xml:space="preserve">: alcanzan el 100 % en la cohorte 4 y el 84,4 % en la 5, frente al 0 % al 14,3 % en las demás (χ² = 1.232,6; p &lt; 0,001). Esto indica un mecanismo MAR asociado al centro de reclutamiento.</w:t>
      </w:r>
    </w:p>
    <w:p>
      <w:pPr>
        <w:keepNext/>
        <w:spacing w:before="240" w:line="480"/>
      </w:pPr>
      <w:r>
        <w:rPr>
          <w:b/>
          <w:bCs/>
        </w:rPr>
        <w:t xml:space="preserve">Tabla 3</w:t>
      </w:r>
    </w:p>
    <w:p>
      <w:pPr>
        <w:keepNext/>
        <w:spacing w:line="480"/>
      </w:pPr>
      <w:r>
        <w:rPr>
          <w:i/>
          <w:iCs/>
        </w:rPr>
        <w:t xml:space="preserve">Variables clínicas con valores faltantes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000"/>
        <w:gridCol w:w="2560"/>
      </w:tblGrid>
      <w:tr>
        <w:trPr>
          <w:tblHeader/>
        </w:trPr>
        <w:tc>
          <w:tcPr>
            <w:tcW w:type="dxa" w:w="48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Variable</w:t>
            </w:r>
          </w:p>
        </w:tc>
        <w:tc>
          <w:tcPr>
            <w:tcW w:type="dxa" w:w="2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Faltantes</w:t>
            </w:r>
          </w:p>
        </w:tc>
        <w:tc>
          <w:tcPr>
            <w:tcW w:type="dxa" w:w="25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Porcentaje</w:t>
            </w:r>
          </w:p>
        </w:tc>
      </w:tr>
      <w:tr>
        <w:trPr>
          <w:cantSplit/>
        </w:trP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tumor_stage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501</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26,313 %</w:t>
            </w:r>
          </w:p>
        </w:tc>
      </w:tr>
      <w:tr>
        <w:trPr>
          <w:cantSplit/>
        </w:trP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3-gene_classifier_subtype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204</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10,714 %</w:t>
            </w:r>
          </w:p>
        </w:tc>
      </w:tr>
      <w:tr>
        <w:trPr>
          <w:cantSplit/>
        </w:trP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primary_tumor_laterality</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106</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5,567 %</w:t>
            </w:r>
          </w:p>
        </w:tc>
      </w:tr>
      <w:tr>
        <w:trPr>
          <w:cantSplit/>
        </w:trP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neoplasm_histologic_grade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72</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3,782 %</w:t>
            </w:r>
          </w:p>
        </w:tc>
      </w:tr>
      <w:tr>
        <w:trPr>
          <w:cantSplit/>
        </w:trP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cellularity</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54</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2,836 %</w:t>
            </w:r>
          </w:p>
        </w:tc>
      </w:tr>
      <w:tr>
        <w:trPr>
          <w:cantSplit/>
        </w:trP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mutation_count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45</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2,363 %</w:t>
            </w:r>
          </w:p>
        </w:tc>
      </w:tr>
      <w:tr>
        <w:trPr>
          <w:cantSplit/>
        </w:trP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er_status_measured_by_ihc</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30</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1,576 %</w:t>
            </w:r>
          </w:p>
        </w:tc>
      </w:tr>
      <w:tr>
        <w:trPr>
          <w:cantSplit/>
        </w:trP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type_of_breast_surgery</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22</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1,155 %</w:t>
            </w:r>
          </w:p>
        </w:tc>
      </w:tr>
      <w:tr>
        <w:trPr>
          <w:cantSplit/>
        </w:trP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tumor_size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20</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1,050 %</w:t>
            </w:r>
          </w:p>
        </w:tc>
      </w:tr>
      <w:tr>
        <w:trPr>
          <w:cantSplit/>
        </w:trP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cancer_type_detailed</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15</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0,788 %</w:t>
            </w:r>
          </w:p>
        </w:tc>
      </w:tr>
      <w:tr>
        <w:trPr>
          <w:cantSplit/>
        </w:trP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tumor_other_histologic_subtype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15</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0,788 %</w:t>
            </w:r>
          </w:p>
        </w:tc>
      </w:tr>
      <w:tr>
        <w:trPr>
          <w:cantSplit/>
        </w:trP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oncotree_code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15</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0,788 %</w:t>
            </w:r>
          </w:p>
        </w:tc>
      </w:tr>
      <w:tr>
        <w:trPr>
          <w:cantSplit/>
        </w:trPr>
        <w:tc>
          <w:tcPr>
            <w:tcW w:type="dxa" w:w="48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death_from_cancer</w:t>
            </w:r>
          </w:p>
        </w:tc>
        <w:tc>
          <w:tcPr>
            <w:tcW w:type="dxa" w:w="2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1</w:t>
            </w:r>
          </w:p>
        </w:tc>
        <w:tc>
          <w:tcPr>
            <w:tcW w:type="dxa" w:w="25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0,053 %</w:t>
            </w:r>
          </w:p>
        </w:tc>
      </w:tr>
    </w:tbl>
    <w:p>
      <w:pPr>
        <w:spacing w:after="240" w:line="240"/>
      </w:pPr>
    </w:p>
    <w:p>
      <w:pPr>
        <w:keepNext/>
        <w:spacing w:before="240" w:line="480"/>
      </w:pPr>
      <w:r>
        <w:rPr>
          <w:b/>
          <w:bCs/>
        </w:rPr>
        <w:t xml:space="preserve">Figura 1</w:t>
      </w:r>
    </w:p>
    <w:p>
      <w:pPr>
        <w:keepNext/>
        <w:spacing w:line="480"/>
      </w:pPr>
      <w:r>
        <w:rPr>
          <w:i/>
          <w:iCs/>
        </w:rPr>
        <w:t xml:space="preserve">Porcentaje de valores faltantes por variable clínica</w:t>
      </w:r>
    </w:p>
    <w:p>
      <w:pPr>
        <w:keepNext w:val="false"/>
        <w:jc w:val="center"/>
      </w:pPr>
      <w:r>
        <w:drawing>
          <wp:inline distT="0" distB="0" distL="0" distR="0">
            <wp:extent cx="3686175" cy="1743075"/>
            <wp:effectExtent t="0" r="0" b="0" l="0"/>
            <wp:docPr id="1" name="01_faltantes.png" descr="Porcentaje de valores faltantes por variable clínica" title="Porcentaje de valores faltantes por variable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86175" cy="1743075"/>
                    </a:xfrm>
                    <a:prstGeom prst="rect">
                      <a:avLst/>
                    </a:prstGeom>
                  </pic:spPr>
                </pic:pic>
              </a:graphicData>
            </a:graphic>
          </wp:inline>
        </w:drawing>
      </w:r>
    </w:p>
    <w:p>
      <w:pPr>
        <w:spacing w:after="0" w:before="0" w:line="480"/>
        <w:ind w:firstLine="720"/>
        <w:jc w:val="left"/>
      </w:pPr>
      <w:r>
        <w:rPr>
          <w:b/>
          <w:bCs/>
        </w:rPr>
        <w:t xml:space="preserve">Duplicados.</w:t>
      </w:r>
      <w:r>
        <w:t xml:space="preserve"> No hay filas duplicadas ni identificadores repetidos, ni siquiera al ignorar </w:t>
      </w:r>
      <w:r>
        <w:rPr>
          <w:rFonts w:ascii="Courier New" w:cs="Courier New" w:eastAsia="Courier New" w:hAnsi="Courier New"/>
          <w:sz w:val="20"/>
          <w:szCs w:val="20"/>
        </w:rPr>
        <w:t xml:space="preserve">patient_id</w:t>
      </w:r>
      <w:r>
        <w:t xml:space="preserve">.</w:t>
      </w:r>
    </w:p>
    <w:p>
      <w:pPr>
        <w:spacing w:after="0" w:before="0" w:line="480"/>
        <w:ind w:firstLine="720"/>
        <w:jc w:val="left"/>
      </w:pPr>
      <w:r>
        <w:rPr>
          <w:b/>
          <w:bCs/>
        </w:rPr>
        <w:t xml:space="preserve">Incoherencias.</w:t>
      </w:r>
      <w:r>
        <w:t xml:space="preserve"> La Tabla 4 resume los problemas de consistencia detectados. El más importante para el modelado es el último: el NPI se reconstruye exactamente con el grado, el estadio ganglionar (1 si no hay ganglios positivos, 2 si hay de 1 a 3 y 3 si hay 4 o más) y el tamaño tumoral. El coeficiente del tamaño en los datos es 10 veces menor que el de la fórmula clínica (0,2 × tamaño en cm), una inconsistencia de escala de la fuente.</w:t>
      </w:r>
    </w:p>
    <w:p>
      <w:pPr>
        <w:keepNext/>
        <w:spacing w:before="240" w:line="480"/>
      </w:pPr>
      <w:r>
        <w:rPr>
          <w:b/>
          <w:bCs/>
        </w:rPr>
        <w:t xml:space="preserve">Tabla 4</w:t>
      </w:r>
    </w:p>
    <w:p>
      <w:pPr>
        <w:keepNext/>
        <w:spacing w:line="480"/>
      </w:pPr>
      <w:r>
        <w:rPr>
          <w:i/>
          <w:iCs/>
        </w:rPr>
        <w:t xml:space="preserve">Incoherencias y problemas de consistencia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Hallazgo</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8"/>
                <w:szCs w:val="18"/>
              </w:rPr>
              <w:t xml:space="preserve">Registros</w:t>
            </w:r>
          </w:p>
        </w:tc>
        <w:tc>
          <w:tcPr>
            <w:tcW w:type="dxa" w:w="54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Detalle</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Error tipográfico</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1.445</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Courier New" w:cs="Courier New" w:eastAsia="Courier New" w:hAnsi="Courier New"/>
                <w:b w:val="false"/>
                <w:bCs w:val="false"/>
                <w:sz w:val="14"/>
                <w:szCs w:val="14"/>
              </w:rPr>
              <w:t xml:space="preserve">er_status_measured_by_ihc</w:t>
            </w:r>
            <w:r>
              <w:rPr>
                <w:b w:val="false"/>
                <w:bCs w:val="false"/>
                <w:sz w:val="18"/>
                <w:szCs w:val="18"/>
              </w:rPr>
              <w:t xml:space="preserve"> usa la categoría </w:t>
            </w:r>
            <w:r>
              <w:rPr>
                <w:rFonts w:ascii="Courier New" w:cs="Courier New" w:eastAsia="Courier New" w:hAnsi="Courier New"/>
                <w:b w:val="false"/>
                <w:bCs w:val="false"/>
                <w:sz w:val="14"/>
                <w:szCs w:val="14"/>
              </w:rPr>
              <w:t xml:space="preserve">Positve</w:t>
            </w:r>
            <w:r>
              <w:rPr>
                <w:b w:val="false"/>
                <w:bCs w:val="false"/>
                <w:sz w:val="18"/>
                <w:szCs w:val="18"/>
              </w:rPr>
              <w:t xml:space="preserve">.</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Discrepancia entre medidas</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118</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Courier New" w:cs="Courier New" w:eastAsia="Courier New" w:hAnsi="Courier New"/>
                <w:b w:val="false"/>
                <w:bCs w:val="false"/>
                <w:sz w:val="14"/>
                <w:szCs w:val="14"/>
              </w:rPr>
              <w:t xml:space="preserve">er_status</w:t>
            </w:r>
            <w:r>
              <w:rPr>
                <w:b w:val="false"/>
                <w:bCs w:val="false"/>
                <w:sz w:val="18"/>
                <w:szCs w:val="18"/>
              </w:rPr>
              <w:t xml:space="preserve"> no coincide con el estado ER por inmunohistoquímica.</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Subtipo no clasificado</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6</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PAM50 = </w:t>
            </w:r>
            <w:r>
              <w:rPr>
                <w:rFonts w:ascii="Courier New" w:cs="Courier New" w:eastAsia="Courier New" w:hAnsi="Courier New"/>
                <w:b w:val="false"/>
                <w:bCs w:val="false"/>
                <w:sz w:val="14"/>
                <w:szCs w:val="14"/>
              </w:rPr>
              <w:t xml:space="preserve">NC</w:t>
            </w:r>
            <w:r>
              <w:rPr>
                <w:b w:val="false"/>
                <w:bCs w:val="false"/>
                <w:sz w:val="18"/>
                <w:szCs w:val="18"/>
              </w:rPr>
              <w:t xml:space="preserve">; se excluirán de la clasificación.</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Clase de un solo registro</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1</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Un sarcoma de mama en una cohorte de carcinomas.</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Categoría genérica</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17</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Tipo histológico registrado solo como </w:t>
            </w:r>
            <w:r>
              <w:rPr>
                <w:rFonts w:ascii="Courier New" w:cs="Courier New" w:eastAsia="Courier New" w:hAnsi="Courier New"/>
                <w:b w:val="false"/>
                <w:bCs w:val="false"/>
                <w:sz w:val="14"/>
                <w:szCs w:val="14"/>
              </w:rPr>
              <w:t xml:space="preserve">Breast</w:t>
            </w:r>
            <w:r>
              <w:rPr>
                <w:b w:val="false"/>
                <w:bCs w:val="false"/>
                <w:sz w:val="18"/>
                <w:szCs w:val="18"/>
              </w:rPr>
              <w:t xml:space="preserve">.</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Valor indeterminado</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4</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HER2 por SNP6 = </w:t>
            </w:r>
            <w:r>
              <w:rPr>
                <w:rFonts w:ascii="Courier New" w:cs="Courier New" w:eastAsia="Courier New" w:hAnsi="Courier New"/>
                <w:b w:val="false"/>
                <w:bCs w:val="false"/>
                <w:sz w:val="14"/>
                <w:szCs w:val="14"/>
              </w:rPr>
              <w:t xml:space="preserve">UNDEF</w:t>
            </w:r>
            <w:r>
              <w:rPr>
                <w:b w:val="false"/>
                <w:bCs w:val="false"/>
                <w:sz w:val="18"/>
                <w:szCs w:val="18"/>
              </w:rPr>
              <w:t xml:space="preserve">.</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Valor clínicamente atípico</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5</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Cuatro tumores en estadio 0 y una supervivencia de 0 meses.</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Redundancia</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Courier New" w:cs="Courier New" w:eastAsia="Courier New" w:hAnsi="Courier New"/>
                <w:b w:val="false"/>
                <w:bCs w:val="false"/>
                <w:sz w:val="14"/>
                <w:szCs w:val="14"/>
              </w:rPr>
              <w:t xml:space="preserve">oncotree_code</w:t>
            </w:r>
            <w:r>
              <w:rPr>
                <w:b w:val="false"/>
                <w:bCs w:val="false"/>
                <w:sz w:val="18"/>
                <w:szCs w:val="18"/>
              </w:rPr>
              <w:t xml:space="preserve"> y </w:t>
            </w:r>
            <w:r>
              <w:rPr>
                <w:rFonts w:ascii="Courier New" w:cs="Courier New" w:eastAsia="Courier New" w:hAnsi="Courier New"/>
                <w:b w:val="false"/>
                <w:bCs w:val="false"/>
                <w:sz w:val="14"/>
                <w:szCs w:val="14"/>
              </w:rPr>
              <w:t xml:space="preserve">cancer_type_detailed</w:t>
            </w:r>
            <w:r>
              <w:rPr>
                <w:b w:val="false"/>
                <w:bCs w:val="false"/>
                <w:sz w:val="18"/>
                <w:szCs w:val="18"/>
              </w:rPr>
              <w:t xml:space="preserve"> tienen un mapeo uno a uno.</w:t>
            </w:r>
          </w:p>
        </w:tc>
      </w:tr>
      <w:tr>
        <w:trPr>
          <w:cantSplit/>
        </w:trPr>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NPI determinado por sus componentes</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8"/>
                <w:szCs w:val="18"/>
              </w:rPr>
              <w:t xml:space="preserve">1.812 / 1.815</w:t>
            </w:r>
          </w:p>
        </w:tc>
        <w:tc>
          <w:tcPr>
            <w:tcW w:type="dxa" w:w="54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NPI = grado + estadio ganglionar + 0,002 × tamaño (mm).</w:t>
            </w:r>
          </w:p>
        </w:tc>
      </w:tr>
    </w:tbl>
    <w:p>
      <w:pPr>
        <w:spacing w:after="240" w:line="240"/>
      </w:pPr>
    </w:p>
    <w:p>
      <w:pPr>
        <w:spacing w:after="0" w:before="0" w:line="480"/>
        <w:ind w:firstLine="720"/>
        <w:jc w:val="left"/>
      </w:pPr>
      <w:r>
        <w:rPr>
          <w:b/>
          <w:bCs/>
        </w:rPr>
        <w:t xml:space="preserve">Valores atípicos.</w:t>
      </w:r>
      <w:r>
        <w:t xml:space="preserve"> La Tabla 5 aplica la regla de Tukey (1,5 × IQR) y el criterio |z| &gt; 3. Los atípicos se concentran en las variables de conteo y tamaño, que tienen colas largas a la derecha; corresponden a casos clínicamente plausibles (por ejemplo, tumores de 182 mm o 45 ganglios positivos), por lo que se tratarán con transformación o recorte y no con eliminación. En el bloque génico, el 0,93 % de los valores supera |z| &gt; 3, frente al 0,27 % esperado bajo normalidad.</w:t>
      </w:r>
    </w:p>
    <w:p>
      <w:pPr>
        <w:keepNext/>
        <w:spacing w:before="240" w:line="480"/>
      </w:pPr>
      <w:r>
        <w:rPr>
          <w:b/>
          <w:bCs/>
        </w:rPr>
        <w:t xml:space="preserve">Tabla 5</w:t>
      </w:r>
    </w:p>
    <w:p>
      <w:pPr>
        <w:keepNext/>
        <w:spacing w:line="480"/>
      </w:pPr>
      <w:r>
        <w:rPr>
          <w:i/>
          <w:iCs/>
        </w:rPr>
        <w:t xml:space="preserve">Valores atípicos por IQR y Z-score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600"/>
        <w:gridCol w:w="1600"/>
        <w:gridCol w:w="1800"/>
        <w:gridCol w:w="1800"/>
      </w:tblGrid>
      <w:tr>
        <w:trPr>
          <w:tblHeader/>
        </w:trPr>
        <w:tc>
          <w:tcPr>
            <w:tcW w:type="dxa" w:w="25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Variable</w:t>
            </w:r>
          </w:p>
        </w:tc>
        <w:tc>
          <w:tcPr>
            <w:tcW w:type="dxa" w:w="16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Límite inferior IQR</w:t>
            </w:r>
          </w:p>
        </w:tc>
        <w:tc>
          <w:tcPr>
            <w:tcW w:type="dxa" w:w="16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Límite superior IQR</w:t>
            </w:r>
          </w:p>
        </w:tc>
        <w:tc>
          <w:tcPr>
            <w:tcW w:type="dxa" w:w="18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Atípicos IQR</w:t>
            </w:r>
          </w:p>
        </w:tc>
        <w:tc>
          <w:tcPr>
            <w:tcW w:type="dxa" w:w="18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Atípicos |z| &gt; 3</w:t>
            </w:r>
          </w:p>
        </w:tc>
      </w:tr>
      <w:tr>
        <w:trPr>
          <w:cantSplit/>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Edad al diagnóstico</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22,550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99,420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 (0,050 %)</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 (0,050 %)</w:t>
            </w:r>
          </w:p>
        </w:tc>
      </w:tr>
      <w:tr>
        <w:trPr>
          <w:cantSplit/>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Tamaño tumoral (mm)</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-2,500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49,500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142 (7,540 %)</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28 (1,490 %)</w:t>
            </w:r>
          </w:p>
        </w:tc>
      </w:tr>
      <w:tr>
        <w:trPr>
          <w:cantSplit/>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Ganglios positivos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-3,000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5,000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210 (11,030 %)</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50 (2,630 %)</w:t>
            </w:r>
          </w:p>
        </w:tc>
      </w:tr>
      <w:tr>
        <w:trPr>
          <w:cantSplit/>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Número de mutaciones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-3,000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13,000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62 (3,340 %)</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22 (1,180 %)</w:t>
            </w:r>
          </w:p>
        </w:tc>
      </w:tr>
      <w:tr>
        <w:trPr>
          <w:cantSplit/>
        </w:trPr>
        <w:tc>
          <w:tcPr>
            <w:tcW w:type="dxa" w:w="25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Supervivencia (meses)</w:t>
            </w:r>
          </w:p>
        </w:tc>
        <w:tc>
          <w:tcPr>
            <w:tcW w:type="dxa" w:w="16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-125,010</w:t>
            </w:r>
          </w:p>
        </w:tc>
        <w:tc>
          <w:tcPr>
            <w:tcW w:type="dxa" w:w="16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370,550</w:t>
            </w:r>
          </w:p>
        </w:tc>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0 (0,000 %)</w:t>
            </w:r>
          </w:p>
        </w:tc>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1 (0,050 %)</w:t>
            </w:r>
          </w:p>
        </w:tc>
      </w:tr>
    </w:tbl>
    <w:p>
      <w:pPr>
        <w:spacing w:after="240" w:line="240"/>
      </w:pPr>
    </w:p>
    <w:p>
      <w:pPr>
        <w:pStyle w:val="Heading2"/>
        <w:spacing w:after="0" w:before="0" w:line="480"/>
      </w:pPr>
      <w:r>
        <w:rPr>
          <w:b/>
          <w:bCs/>
        </w:rPr>
        <w:t xml:space="preserve">Análisis univariado</w:t>
      </w:r>
    </w:p>
    <w:p>
      <w:pPr>
        <w:spacing w:after="0" w:before="0" w:line="480"/>
        <w:ind w:firstLine="720"/>
        <w:jc w:val="left"/>
      </w:pPr>
      <w:r>
        <w:t xml:space="preserve">La Tabla 6 resume las variables cuantitativas. Ninguna sigue una distribución normal (prueba de D'Agostino-Pearson, p &lt; 0,05). La edad es aproximadamente simétrica; el tamaño tumoral, los ganglios positivos y el número de mutaciones tienen asimetría positiva fuerte y curtosis muy alta, lo que sugiere una transformación logarítmica. El NPI es casi simétrico y sin atípicos, pero, como se ve en la Figura 2, se concentra cerca de valores enteros (el 34,8 % de los casos está alrededor de 4), consecuencia directa de su fórmula.</w:t>
      </w:r>
    </w:p>
    <w:p>
      <w:pPr>
        <w:keepNext/>
        <w:spacing w:before="240" w:line="480"/>
      </w:pPr>
      <w:r>
        <w:rPr>
          <w:b/>
          <w:bCs/>
        </w:rPr>
        <w:t xml:space="preserve">Tabla 6</w:t>
      </w:r>
    </w:p>
    <w:p>
      <w:pPr>
        <w:keepNext/>
        <w:spacing w:line="480"/>
      </w:pPr>
      <w:r>
        <w:rPr>
          <w:i/>
          <w:iCs/>
        </w:rPr>
        <w:t xml:space="preserve">Medidas de tendencia central, dispersión y 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00"/>
        <w:gridCol w:w="1000"/>
        <w:gridCol w:w="1000"/>
        <w:gridCol w:w="900"/>
        <w:gridCol w:w="1000"/>
        <w:gridCol w:w="1150"/>
        <w:gridCol w:w="1150"/>
      </w:tblGrid>
      <w:tr>
        <w:trPr>
          <w:tblHeader/>
        </w:trPr>
        <w:tc>
          <w:tcPr>
            <w:tcW w:type="dxa" w:w="21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Variable</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Media</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Mediana</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Desv. est.</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Mín.</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Máx.</w:t>
            </w:r>
          </w:p>
        </w:tc>
        <w:tc>
          <w:tcPr>
            <w:tcW w:type="dxa" w:w="11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Asimetría</w:t>
            </w:r>
          </w:p>
        </w:tc>
        <w:tc>
          <w:tcPr>
            <w:tcW w:type="dxa" w:w="11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Curtosis</w:t>
            </w:r>
          </w:p>
        </w:tc>
      </w:tr>
      <w:tr>
        <w:trPr>
          <w:cantSplit/>
        </w:trPr>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Edad al diagnóstico</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61,087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61,770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12,979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21,930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96,290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-0,192</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-0,546</w:t>
            </w:r>
          </w:p>
        </w:tc>
      </w:tr>
      <w:tr>
        <w:trPr>
          <w:cantSplit/>
        </w:trPr>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Tamaño tumoral (mm)</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26,239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23,000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15,161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182,000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3,275</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20,916</w:t>
            </w:r>
          </w:p>
        </w:tc>
      </w:tr>
      <w:tr>
        <w:trPr>
          <w:cantSplit/>
        </w:trPr>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Ganglios positivos</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2,002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0,000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4,080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0,000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45,000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3,839</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20,730</w:t>
            </w:r>
          </w:p>
        </w:tc>
      </w:tr>
      <w:tr>
        <w:trPr>
          <w:cantSplit/>
        </w:trPr>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Número de mutaciones</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5,698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5,000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4,059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80,000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5,183</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70,132</w:t>
            </w:r>
          </w:p>
        </w:tc>
      </w:tr>
      <w:tr>
        <w:trPr>
          <w:cantSplit/>
        </w:trPr>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NPI</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4,033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4,042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1,144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6,360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-0,071</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-0,335</w:t>
            </w:r>
          </w:p>
        </w:tc>
      </w:tr>
      <w:tr>
        <w:trPr>
          <w:cantSplit/>
        </w:trPr>
        <w:tc>
          <w:tcPr>
            <w:tcW w:type="dxa" w:w="21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Supervivencia (meses)</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125,121</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115,617</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76,334</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0,000</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355,200</w:t>
            </w:r>
          </w:p>
        </w:tc>
        <w:tc>
          <w:tcPr>
            <w:tcW w:type="dxa" w:w="11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0,384</w:t>
            </w:r>
          </w:p>
        </w:tc>
        <w:tc>
          <w:tcPr>
            <w:tcW w:type="dxa" w:w="11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-0,782</w:t>
            </w:r>
          </w:p>
        </w:tc>
      </w:tr>
    </w:tbl>
    <w:p>
      <w:pPr>
        <w:spacing w:after="240" w:line="240"/>
      </w:pPr>
    </w:p>
    <w:p>
      <w:pPr>
        <w:keepNext/>
        <w:spacing w:before="240" w:line="480"/>
      </w:pPr>
      <w:r>
        <w:rPr>
          <w:b/>
          <w:bCs/>
        </w:rPr>
        <w:t xml:space="preserve">Figura 2</w:t>
      </w:r>
    </w:p>
    <w:p>
      <w:pPr>
        <w:keepNext/>
        <w:spacing w:line="480"/>
      </w:pPr>
      <w:r>
        <w:rPr>
          <w:i/>
          <w:iCs/>
        </w:rPr>
        <w:t xml:space="preserve">Histogramas y diagramas de caja de las variables cuantitativas</w:t>
      </w:r>
    </w:p>
    <w:p>
      <w:pPr>
        <w:keepNext w:val="false"/>
        <w:jc w:val="center"/>
      </w:pPr>
      <w:r>
        <w:drawing>
          <wp:inline distT="0" distB="0" distL="0" distR="0">
            <wp:extent cx="5943600" cy="1990725"/>
            <wp:effectExtent t="0" r="0" b="0" l="0"/>
            <wp:docPr id="2" name="02_univariado_cuantitativas.png" descr="Histogramas y diagramas de caja de las variables cuantitativas" title="Histogramas y diagramas de caja de las variables cuantit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90725"/>
                    </a:xfrm>
                    <a:prstGeom prst="rect">
                      <a:avLst/>
                    </a:prstGeom>
                  </pic:spPr>
                </pic:pic>
              </a:graphicData>
            </a:graphic>
          </wp:inline>
        </w:drawing>
      </w:r>
    </w:p>
    <w:p>
      <w:pPr>
        <w:spacing w:after="0" w:before="0" w:line="480"/>
        <w:ind w:firstLine="720"/>
        <w:jc w:val="left"/>
      </w:pPr>
      <w:r>
        <w:t xml:space="preserve">En las variables cualitativas (Figura 3 y Tabla 7), el subtipo PAM50 está </w:t>
      </w:r>
      <w:r>
        <w:rPr>
          <w:b/>
          <w:bCs/>
        </w:rPr>
        <w:t xml:space="preserve">desbalanceado</w:t>
      </w:r>
      <w:r>
        <w:t xml:space="preserve">: Luminal A reúne el 35,7 % de las pacientes y Normal-like el 7,4 %. El 76,6 % de los tumores es ER positivo, el 12,4 % es HER2 positivo, el 48,7 % es de grado 3 y el 42,1 % de las pacientes seguía viva al cierre del seguimiento. En las mutaciones, los genes más alterados son PIK3CA (41,8 % de las pacientes) y TP53 (34,6 %).</w:t>
      </w:r>
    </w:p>
    <w:p>
      <w:pPr>
        <w:keepNext/>
        <w:spacing w:before="240" w:line="480"/>
      </w:pPr>
      <w:r>
        <w:rPr>
          <w:b/>
          <w:bCs/>
        </w:rPr>
        <w:t xml:space="preserve">Tabla 7</w:t>
      </w:r>
    </w:p>
    <w:p>
      <w:pPr>
        <w:keepNext/>
        <w:spacing w:line="480"/>
      </w:pPr>
      <w:r>
        <w:rPr>
          <w:i/>
          <w:iCs/>
        </w:rPr>
        <w:t xml:space="preserve">Frecuencias del subtipo PAM50 + Claudin-low (variable objetivo de clasificación)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rPr>
          <w:tblHeader/>
        </w:trPr>
        <w:tc>
          <w:tcPr>
            <w:tcW w:type="dxa" w:w="4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Subtipo</w:t>
            </w:r>
          </w:p>
        </w:tc>
        <w:tc>
          <w:tcPr>
            <w:tcW w:type="dxa" w:w="24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Frecuencia</w:t>
            </w:r>
          </w:p>
        </w:tc>
        <w:tc>
          <w:tcPr>
            <w:tcW w:type="dxa" w:w="29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Porcentaje</w:t>
            </w:r>
          </w:p>
        </w:tc>
      </w:tr>
      <w:tr>
        <w:trPr>
          <w:cantSplit/>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LumA</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679</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35,660 %</w:t>
            </w:r>
          </w:p>
        </w:tc>
      </w:tr>
      <w:tr>
        <w:trPr>
          <w:cantSplit/>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LumB</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461</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24,210 %</w:t>
            </w:r>
          </w:p>
        </w:tc>
      </w:tr>
      <w:tr>
        <w:trPr>
          <w:cantSplit/>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Her2</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220</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11,550 %</w:t>
            </w:r>
          </w:p>
        </w:tc>
      </w:tr>
      <w:tr>
        <w:trPr>
          <w:cantSplit/>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claudin-low</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199</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10,450 %</w:t>
            </w:r>
          </w:p>
        </w:tc>
      </w:tr>
      <w:tr>
        <w:trPr>
          <w:cantSplit/>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Basal</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199</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10,450 %</w:t>
            </w:r>
          </w:p>
        </w:tc>
      </w:tr>
      <w:tr>
        <w:trPr>
          <w:cantSplit/>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Normal</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140</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7,350 %</w:t>
            </w:r>
          </w:p>
        </w:tc>
      </w:tr>
      <w:tr>
        <w:trPr>
          <w:cantSplit/>
        </w:trPr>
        <w:tc>
          <w:tcPr>
            <w:tcW w:type="dxa" w:w="4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NC</w:t>
            </w:r>
          </w:p>
        </w:tc>
        <w:tc>
          <w:tcPr>
            <w:tcW w:type="dxa" w:w="24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6</w:t>
            </w:r>
          </w:p>
        </w:tc>
        <w:tc>
          <w:tcPr>
            <w:tcW w:type="dxa" w:w="29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0,320 %</w:t>
            </w:r>
          </w:p>
        </w:tc>
      </w:tr>
    </w:tbl>
    <w:p>
      <w:pPr>
        <w:spacing w:after="240" w:line="240"/>
      </w:pPr>
    </w:p>
    <w:p>
      <w:pPr>
        <w:keepNext/>
        <w:spacing w:before="240" w:line="480"/>
      </w:pPr>
      <w:r>
        <w:rPr>
          <w:b/>
          <w:bCs/>
        </w:rPr>
        <w:t xml:space="preserve">Figura 3</w:t>
      </w:r>
    </w:p>
    <w:p>
      <w:pPr>
        <w:keepNext/>
        <w:spacing w:line="480"/>
      </w:pPr>
      <w:r>
        <w:rPr>
          <w:i/>
          <w:iCs/>
        </w:rPr>
        <w:t xml:space="preserve">Distribución de las principales variables cualitativas</w:t>
      </w:r>
    </w:p>
    <w:p>
      <w:pPr>
        <w:keepNext w:val="false"/>
        <w:jc w:val="center"/>
      </w:pPr>
      <w:r>
        <w:drawing>
          <wp:inline distT="0" distB="0" distL="0" distR="0">
            <wp:extent cx="5467350" cy="2867025"/>
            <wp:effectExtent t="0" r="0" b="0" l="0"/>
            <wp:docPr id="3" name="03_univariado_cualitativas.png" descr="Distribución de las principales variables cualitativas" title="Distribución de las principales variables cualit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67350" cy="2867025"/>
                    </a:xfrm>
                    <a:prstGeom prst="rect">
                      <a:avLst/>
                    </a:prstGeom>
                  </pic:spPr>
                </pic:pic>
              </a:graphicData>
            </a:graphic>
          </wp:inline>
        </w:drawing>
      </w:r>
    </w:p>
    <w:p>
      <w:pPr>
        <w:pStyle w:val="Heading2"/>
        <w:spacing w:after="0" w:before="0" w:line="480"/>
      </w:pPr>
      <w:r>
        <w:rPr>
          <w:b/>
          <w:bCs/>
        </w:rPr>
        <w:t xml:space="preserve">Análisis bivariado y multivariado</w:t>
      </w:r>
    </w:p>
    <w:p>
      <w:pPr>
        <w:spacing w:after="0" w:before="0" w:line="480"/>
        <w:ind w:firstLine="720"/>
        <w:jc w:val="left"/>
      </w:pPr>
      <w:r>
        <w:rPr>
          <w:b/>
          <w:bCs/>
        </w:rPr>
        <w:t xml:space="preserve">Correlaciones.</w:t>
      </w:r>
      <w:r>
        <w:t xml:space="preserve"> La Figura 4 muestra las matrices de Pearson y Spearman. Se toma Spearman como medida principal por la asimetría de las variables. El NPI se correlaciona fuertemente con sus componentes: ganglios positivos (ρ = 0,73), grado (ρ = 0,68) y tamaño (ρ = 0,52), y también con el estadio (ρ = 0,65), que depende del tamaño y de los ganglios. La supervivencia en meses tiene una correlación negativa moderada (ρ = −0,29), mientras que la edad y el número de mutaciones no se relacionan con el NPI (p &gt; 0,1).</w:t>
      </w:r>
    </w:p>
    <w:p>
      <w:pPr>
        <w:keepNext/>
        <w:spacing w:before="240" w:line="480"/>
      </w:pPr>
      <w:r>
        <w:rPr>
          <w:b/>
          <w:bCs/>
        </w:rPr>
        <w:t xml:space="preserve">Figura 4</w:t>
      </w:r>
    </w:p>
    <w:p>
      <w:pPr>
        <w:keepNext/>
        <w:spacing w:line="480"/>
      </w:pPr>
      <w:r>
        <w:rPr>
          <w:i/>
          <w:iCs/>
        </w:rPr>
        <w:t xml:space="preserve">Matrices de correlación de Pearson (izquierda) y Spearman (derecha)</w:t>
      </w:r>
    </w:p>
    <w:p>
      <w:pPr>
        <w:keepNext w:val="false"/>
        <w:jc w:val="center"/>
      </w:pPr>
      <w:r>
        <w:drawing>
          <wp:inline distT="0" distB="0" distL="0" distR="0">
            <wp:extent cx="5943600" cy="2266950"/>
            <wp:effectExtent t="0" r="0" b="0" l="0"/>
            <wp:docPr id="4" name="05_correlaciones.png" descr="Matrices de correlación de Pearson (izquierda) y Spearman (derecha)" title="Matrices de correlación de Pearson (izquierda) y Spearman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266950"/>
                    </a:xfrm>
                    <a:prstGeom prst="rect">
                      <a:avLst/>
                    </a:prstGeom>
                  </pic:spPr>
                </pic:pic>
              </a:graphicData>
            </a:graphic>
          </wp:inline>
        </w:drawing>
      </w:r>
    </w:p>
    <w:p>
      <w:pPr>
        <w:spacing w:after="0" w:before="0" w:line="480"/>
        <w:ind w:firstLine="720"/>
        <w:jc w:val="left"/>
      </w:pPr>
      <w:r>
        <w:rPr>
          <w:b/>
          <w:bCs/>
        </w:rPr>
        <w:t xml:space="preserve">NPI por grupos.</w:t>
      </w:r>
      <w:r>
        <w:t xml:space="preserve"> El NPI difiere entre subtipos PAM50 (Kruskal-Wallis, H = 222,5; p &lt; 0,001): los tumores Basal y HER2-enriquecidos tienen los valores más altos y los Luminal A los más bajos (Figura 5). También es mayor en las pacientes fallecidas por la enfermedad (H = 150,7; p &lt; 0,001), lo que confirma su valor pronóstico.</w:t>
      </w:r>
    </w:p>
    <w:p>
      <w:pPr>
        <w:keepNext/>
        <w:spacing w:before="240" w:line="480"/>
      </w:pPr>
      <w:r>
        <w:rPr>
          <w:b/>
          <w:bCs/>
        </w:rPr>
        <w:t xml:space="preserve">Figura 5</w:t>
      </w:r>
    </w:p>
    <w:p>
      <w:pPr>
        <w:keepNext/>
        <w:spacing w:line="480"/>
      </w:pPr>
      <w:r>
        <w:rPr>
          <w:i/>
          <w:iCs/>
        </w:rPr>
        <w:t xml:space="preserve">Distribución del NPI por subtipo PAM50 y por causa de muerte</w:t>
      </w:r>
    </w:p>
    <w:p>
      <w:pPr>
        <w:keepNext w:val="false"/>
        <w:jc w:val="center"/>
      </w:pPr>
      <w:r>
        <w:drawing>
          <wp:inline distT="0" distB="0" distL="0" distR="0">
            <wp:extent cx="5943600" cy="1809750"/>
            <wp:effectExtent t="0" r="0" b="0" l="0"/>
            <wp:docPr id="5" name="07_npi_por_grupo.png" descr="Distribución del NPI por subtipo PAM50 y por causa de muerte" title="Distribución del NPI por subtipo PAM50 y por causa de mu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09750"/>
                    </a:xfrm>
                    <a:prstGeom prst="rect">
                      <a:avLst/>
                    </a:prstGeom>
                  </pic:spPr>
                </pic:pic>
              </a:graphicData>
            </a:graphic>
          </wp:inline>
        </w:drawing>
      </w:r>
    </w:p>
    <w:p>
      <w:pPr>
        <w:spacing w:after="0" w:before="0" w:line="480"/>
        <w:ind w:firstLine="720"/>
        <w:jc w:val="left"/>
      </w:pPr>
      <w:r>
        <w:rPr>
          <w:b/>
          <w:bCs/>
        </w:rPr>
        <w:t xml:space="preserve">Pruebas de independencia χ².</w:t>
      </w:r>
      <w:r>
        <w:t xml:space="preserve"> La Tabla 8 contrasta el subtipo PAM50 con otras variables cualitativas. Las asociaciones más fuertes son con el estado ER (V de Cramér = 0,76), el estado PR (0,51), el estado HER2 (0,49) y el clúster integrativo (0,46), coherentes con la biología de los subtipos. La lateralidad del tumor es independiente del subtipo (p = 0,35), como se esperaba. El resultado con el estadio tumoral no es confiable, porque el 40 % de las celdas tiene una frecuencia esperada menor que 5.</w:t>
      </w:r>
    </w:p>
    <w:p>
      <w:pPr>
        <w:keepNext/>
        <w:spacing w:before="240" w:line="480"/>
      </w:pPr>
      <w:r>
        <w:rPr>
          <w:b/>
          <w:bCs/>
        </w:rPr>
        <w:t xml:space="preserve">Tabla 8</w:t>
      </w:r>
    </w:p>
    <w:p>
      <w:pPr>
        <w:keepNext/>
        <w:spacing w:line="480"/>
      </w:pPr>
      <w:r>
        <w:rPr>
          <w:i/>
          <w:iCs/>
        </w:rPr>
        <w:t xml:space="preserve">Pruebas χ² entre el subtipo PAM50 y otras variables cualitativas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500"/>
        <w:gridCol w:w="900"/>
        <w:gridCol w:w="1600"/>
        <w:gridCol w:w="1800"/>
      </w:tblGrid>
      <w:tr>
        <w:trPr>
          <w:tblHeader/>
        </w:trPr>
        <w:tc>
          <w:tcPr>
            <w:tcW w:type="dxa" w:w="35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Variable contrastada con PAM50</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χ²</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gl</w:t>
            </w:r>
          </w:p>
        </w:tc>
        <w:tc>
          <w:tcPr>
            <w:tcW w:type="dxa" w:w="16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p-valor</w:t>
            </w:r>
          </w:p>
        </w:tc>
        <w:tc>
          <w:tcPr>
            <w:tcW w:type="dxa" w:w="18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V de Cramér</w:t>
            </w:r>
          </w:p>
        </w:tc>
      </w:tr>
      <w:tr>
        <w:trPr>
          <w:cantSplit/>
        </w:trPr>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er_status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1.095,0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&lt; 0,001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0,758</w:t>
            </w:r>
          </w:p>
        </w:tc>
      </w:tr>
      <w:tr>
        <w:trPr>
          <w:cantSplit/>
        </w:trPr>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pr_status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506,3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&lt; 0,001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0,514</w:t>
            </w:r>
          </w:p>
        </w:tc>
      </w:tr>
      <w:tr>
        <w:trPr>
          <w:cantSplit/>
        </w:trPr>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her2_status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463,8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&lt; 0,001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0,492</w:t>
            </w:r>
          </w:p>
        </w:tc>
      </w:tr>
      <w:tr>
        <w:trPr>
          <w:cantSplit/>
        </w:trPr>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integrative_cluster</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2.089,0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&lt; 0,001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0,464</w:t>
            </w:r>
          </w:p>
        </w:tc>
      </w:tr>
      <w:tr>
        <w:trPr>
          <w:cantSplit/>
        </w:trPr>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neoplasm_histologic_grade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403,8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&lt; 0,001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0,329</w:t>
            </w:r>
          </w:p>
        </w:tc>
      </w:tr>
      <w:tr>
        <w:trPr>
          <w:cantSplit/>
        </w:trPr>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cellularity</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196,3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&lt; 0,001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0,225</w:t>
            </w:r>
          </w:p>
        </w:tc>
      </w:tr>
      <w:tr>
        <w:trPr>
          <w:cantSplit/>
        </w:trPr>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inferred_menopausal_state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91,7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&lt; 0,001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0,214</w:t>
            </w:r>
          </w:p>
        </w:tc>
      </w:tr>
      <w:tr>
        <w:trPr>
          <w:cantSplit/>
        </w:trPr>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death_from_cancer</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110,4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&lt; 0,001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0,163</w:t>
            </w:r>
          </w:p>
        </w:tc>
      </w:tr>
      <w:tr>
        <w:trPr>
          <w:cantSplit/>
        </w:trPr>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tumor_stage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61,0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&lt; 0,001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0,086</w:t>
            </w:r>
          </w:p>
        </w:tc>
      </w:tr>
      <w:tr>
        <w:trPr>
          <w:cantSplit/>
        </w:trPr>
        <w:tc>
          <w:tcPr>
            <w:tcW w:type="dxa" w:w="35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primary_tumor_laterality</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5,5</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5</w:t>
            </w:r>
          </w:p>
        </w:tc>
        <w:tc>
          <w:tcPr>
            <w:tcW w:type="dxa" w:w="16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0,353</w:t>
            </w:r>
          </w:p>
        </w:tc>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0,017</w:t>
            </w:r>
          </w:p>
        </w:tc>
      </w:tr>
    </w:tbl>
    <w:p>
      <w:pPr>
        <w:spacing w:after="240" w:line="240"/>
      </w:pPr>
    </w:p>
    <w:p>
      <w:pPr>
        <w:spacing w:after="0" w:before="0" w:line="480"/>
        <w:ind w:firstLine="720"/>
        <w:jc w:val="left"/>
      </w:pPr>
      <w:r>
        <w:rPr>
          <w:b/>
          <w:bCs/>
        </w:rPr>
        <w:t xml:space="preserve">Expresión génica.</w:t>
      </w:r>
      <w:r>
        <w:t xml:space="preserve"> Sin sus componentes, la relación del NPI con los genes es moderada: el coeficiente más alto es ρ = 0,40 (AURKA) y solo 9 genes superan |ρ| = 0,3 (Figura 6). Los genes con correlación positiva son de proliferación y ciclo celular (AURKA, CHEK1, CDK1, CCNE1, CDC25A, E2F2) y forman un bloque muy colineal; los negativos se asocian a tumores luminales (BCL2, GATA3, IGF1R). En cambio, 406 de los 489 genes muestran diferencias significativas entre subtipos PAM50 (Kruskal-Wallis con Bonferroni), lo que anticipa un buen poder discriminante para la clasificación.</w:t>
      </w:r>
    </w:p>
    <w:p>
      <w:pPr>
        <w:keepNext/>
        <w:spacing w:before="240" w:line="480"/>
      </w:pPr>
      <w:r>
        <w:rPr>
          <w:b/>
          <w:bCs/>
        </w:rPr>
        <w:t xml:space="preserve">Figura 6</w:t>
      </w:r>
    </w:p>
    <w:p>
      <w:pPr>
        <w:keepNext/>
        <w:spacing w:line="480"/>
      </w:pPr>
      <w:r>
        <w:rPr>
          <w:i/>
          <w:iCs/>
        </w:rPr>
        <w:t xml:space="preserve">Genes más correlacionados con el NPI y colinealidad entre ellos</w:t>
      </w:r>
    </w:p>
    <w:p>
      <w:pPr>
        <w:keepNext w:val="false"/>
        <w:jc w:val="center"/>
      </w:pPr>
      <w:r>
        <w:drawing>
          <wp:inline distT="0" distB="0" distL="0" distR="0">
            <wp:extent cx="5943600" cy="2095500"/>
            <wp:effectExtent t="0" r="0" b="0" l="0"/>
            <wp:docPr id="6" name="09_genes_npi.png" descr="Genes más correlacionados con el NPI y colinealidad entre ellos" title="Genes más correlacionados con el NPI y colinealidad entre el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095500"/>
                    </a:xfrm>
                    <a:prstGeom prst="rect">
                      <a:avLst/>
                    </a:prstGeom>
                  </pic:spPr>
                </pic:pic>
              </a:graphicData>
            </a:graphic>
          </wp:inline>
        </w:drawing>
      </w:r>
    </w:p>
    <w:p>
      <w:pPr>
        <w:spacing w:after="0" w:before="0" w:line="480"/>
        <w:ind w:firstLine="720"/>
        <w:jc w:val="left"/>
      </w:pPr>
      <w:r>
        <w:rPr>
          <w:b/>
          <w:bCs/>
        </w:rPr>
        <w:t xml:space="preserve">Estructura multivariada.</w:t>
      </w:r>
      <w:r>
        <w:t xml:space="preserve"> El PCA de la expresión génica (Figura 7) muestra una varianza muy repartida: la primera componente explica el 8,0 %, la segunda el 6,7 % y se necesitan 161 componentes para alcanzar el 80 %. Aun así, el plano PC1-PC2 ya separa los tumores Basal (PC2 alto) de los Luminal A (PC2 bajo), lo que respalda aplicar PCA antes del clustering y comparar los clústeres con los subtipos PAM50.</w:t>
      </w:r>
    </w:p>
    <w:p>
      <w:pPr>
        <w:keepNext/>
        <w:spacing w:before="240" w:line="480"/>
      </w:pPr>
      <w:r>
        <w:rPr>
          <w:b/>
          <w:bCs/>
        </w:rPr>
        <w:t xml:space="preserve">Figura 7</w:t>
      </w:r>
    </w:p>
    <w:p>
      <w:pPr>
        <w:keepNext/>
        <w:spacing w:line="480"/>
      </w:pPr>
      <w:r>
        <w:rPr>
          <w:i/>
          <w:iCs/>
        </w:rPr>
        <w:t xml:space="preserve">Varianza explicada y proyección de las pacientes en las dos primeras componentes</w:t>
      </w:r>
    </w:p>
    <w:p>
      <w:pPr>
        <w:keepNext w:val="false"/>
        <w:jc w:val="center"/>
      </w:pPr>
      <w:r>
        <w:drawing>
          <wp:inline distT="0" distB="0" distL="0" distR="0">
            <wp:extent cx="5943600" cy="1600200"/>
            <wp:effectExtent t="0" r="0" b="0" l="0"/>
            <wp:docPr id="7" name="11_pca_genes.png" descr="Varianza explicada y proyección de las pacientes en las dos primeras componentes" title="Varianza explicada y proyección de las pacientes en las dos primera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600200"/>
                    </a:xfrm>
                    <a:prstGeom prst="rect">
                      <a:avLst/>
                    </a:prstGeom>
                  </pic:spPr>
                </pic:pic>
              </a:graphicData>
            </a:graphic>
          </wp:inline>
        </w:drawing>
      </w:r>
    </w:p>
    <w:p>
      <w:pPr>
        <w:pStyle w:val="Heading1"/>
        <w:spacing w:after="0" w:before="0" w:line="480"/>
        <w:jc w:val="center"/>
      </w:pPr>
      <w:r>
        <w:rPr>
          <w:b/>
          <w:bCs/>
        </w:rPr>
        <w:t xml:space="preserve">Discusión e implicaciones para la Fase 2</w:t>
      </w:r>
    </w:p>
    <w:p>
      <w:pPr>
        <w:pStyle w:val="ListParagraph"/>
        <w:numPr>
          <w:ilvl w:val="0"/>
          <w:numId w:val="4"/>
        </w:numPr>
        <w:spacing w:line="480"/>
      </w:pPr>
      <w:r>
        <w:rPr>
          <w:b/>
          <w:bCs/>
        </w:rPr>
        <w:t xml:space="preserve">Fuga de información.</w:t>
      </w:r>
      <w:r>
        <w:t xml:space="preserve"> El tamaño tumoral, los ganglios positivos, el grado y el estadio se excluirán de los predictores del NPI. En la clasificación se evaluará excluir </w:t>
      </w:r>
      <w:r>
        <w:rPr>
          <w:rFonts w:ascii="Courier New" w:cs="Courier New" w:eastAsia="Courier New" w:hAnsi="Courier New"/>
          <w:sz w:val="20"/>
          <w:szCs w:val="20"/>
        </w:rPr>
        <w:t xml:space="preserve">integrative_cluster</w:t>
      </w:r>
      <w:r>
        <w:t xml:space="preserve"> y </w:t>
      </w:r>
      <w:r>
        <w:rPr>
          <w:rFonts w:ascii="Courier New" w:cs="Courier New" w:eastAsia="Courier New" w:hAnsi="Courier New"/>
          <w:sz w:val="20"/>
          <w:szCs w:val="20"/>
        </w:rPr>
        <w:t xml:space="preserve">3-gene_classifier_subtype</w:t>
      </w:r>
      <w:r>
        <w:t xml:space="preserve">, que se derivan de la misma expresión génica.</w:t>
      </w:r>
    </w:p>
    <w:p>
      <w:pPr>
        <w:pStyle w:val="ListParagraph"/>
        <w:numPr>
          <w:ilvl w:val="0"/>
          <w:numId w:val="4"/>
        </w:numPr>
        <w:spacing w:line="480"/>
      </w:pPr>
      <w:r>
        <w:rPr>
          <w:b/>
          <w:bCs/>
        </w:rPr>
        <w:t xml:space="preserve">Faltantes.</w:t>
      </w:r>
      <w:r>
        <w:t xml:space="preserve"> Se analizará el mecanismo por variable antes de imputar. Para </w:t>
      </w:r>
      <w:r>
        <w:rPr>
          <w:rFonts w:ascii="Courier New" w:cs="Courier New" w:eastAsia="Courier New" w:hAnsi="Courier New"/>
          <w:sz w:val="20"/>
          <w:szCs w:val="20"/>
        </w:rPr>
        <w:t xml:space="preserve">tumor_stage</w:t>
      </w:r>
      <w:r>
        <w:t xml:space="preserve"> (MAR respecto a la cohorte) se compararán KNNImputer e IterativeImputer frente a descartar la variable; las variables con menos del 6 % de faltantes se imputarán con la mediana o la moda dentro del pipeline.</w:t>
      </w:r>
    </w:p>
    <w:p>
      <w:pPr>
        <w:pStyle w:val="ListParagraph"/>
        <w:numPr>
          <w:ilvl w:val="0"/>
          <w:numId w:val="4"/>
        </w:numPr>
        <w:spacing w:line="480"/>
      </w:pPr>
      <w:r>
        <w:rPr>
          <w:b/>
          <w:bCs/>
        </w:rPr>
        <w:t xml:space="preserve">Atípicos y transformaciones.</w:t>
      </w:r>
      <w:r>
        <w:t xml:space="preserve"> Se aplicará </w:t>
      </w:r>
      <w:r>
        <w:rPr>
          <w:rFonts w:ascii="Courier New" w:cs="Courier New" w:eastAsia="Courier New" w:hAnsi="Courier New"/>
          <w:sz w:val="20"/>
          <w:szCs w:val="20"/>
        </w:rPr>
        <w:t xml:space="preserve">log1p</w:t>
      </w:r>
      <w:r>
        <w:t xml:space="preserve"> o winsorización en los percentiles 1 y 99 a las variables de conteo y tamaño.</w:t>
      </w:r>
    </w:p>
    <w:p>
      <w:pPr>
        <w:pStyle w:val="ListParagraph"/>
        <w:numPr>
          <w:ilvl w:val="0"/>
          <w:numId w:val="4"/>
        </w:numPr>
        <w:spacing w:line="480"/>
      </w:pPr>
      <w:r>
        <w:rPr>
          <w:b/>
          <w:bCs/>
        </w:rPr>
        <w:t xml:space="preserve">Variables derivadas.</w:t>
      </w:r>
      <w:r>
        <w:t xml:space="preserve"> Un puntaje de proliferación (promedio de AURKA, CHEK1, CDK1, CCNE1, CDC25A y E2F2), la carga de mutaciones en genes conductores y un indicador de tumor triple negativo.</w:t>
      </w:r>
    </w:p>
    <w:p>
      <w:pPr>
        <w:pStyle w:val="ListParagraph"/>
        <w:numPr>
          <w:ilvl w:val="0"/>
          <w:numId w:val="4"/>
        </w:numPr>
        <w:spacing w:line="480"/>
      </w:pPr>
      <w:r>
        <w:rPr>
          <w:b/>
          <w:bCs/>
        </w:rPr>
        <w:t xml:space="preserve">Partición y desbalance.</w:t>
      </w:r>
      <w:r>
        <w:t xml:space="preserve"> División 70/15/15 estratificada por PAM50, con semilla fija; ajuste de </w:t>
      </w:r>
      <w:r>
        <w:rPr>
          <w:rFonts w:ascii="Courier New" w:cs="Courier New" w:eastAsia="Courier New" w:hAnsi="Courier New"/>
          <w:sz w:val="20"/>
          <w:szCs w:val="20"/>
        </w:rPr>
        <w:t xml:space="preserve">class_weight</w:t>
      </w:r>
      <w:r>
        <w:t xml:space="preserve"> y F1 macro como métrica principal. Escaladores e imputadores se ajustarán solo con el conjunto de entrenamiento.</w:t>
      </w:r>
    </w:p>
    <w:p>
      <w:pPr>
        <w:pStyle w:val="Heading1"/>
        <w:spacing w:after="0" w:before="0" w:line="480"/>
        <w:jc w:val="center"/>
      </w:pPr>
      <w:r>
        <w:rPr>
          <w:b/>
          <w:bCs/>
        </w:rPr>
        <w:t xml:space="preserve">Conclusiones</w:t>
      </w:r>
    </w:p>
    <w:p>
      <w:pPr>
        <w:pStyle w:val="ListParagraph"/>
        <w:numPr>
          <w:ilvl w:val="0"/>
          <w:numId w:val="5"/>
        </w:numPr>
        <w:spacing w:line="480"/>
      </w:pPr>
      <w:r>
        <w:t xml:space="preserve">METABRIC cumple todos los requisitos de la guía y permite plantear de forma natural los problemas de regresión, clasificación y clustering en un dominio de alto impacto.</w:t>
      </w:r>
    </w:p>
    <w:p>
      <w:pPr>
        <w:pStyle w:val="ListParagraph"/>
        <w:numPr>
          <w:ilvl w:val="0"/>
          <w:numId w:val="5"/>
        </w:numPr>
        <w:spacing w:line="480"/>
      </w:pPr>
      <w:r>
        <w:t xml:space="preserve">La calidad de los datos es alta, pero los faltantes de </w:t>
      </w:r>
      <w:r>
        <w:rPr>
          <w:rFonts w:ascii="Courier New" w:cs="Courier New" w:eastAsia="Courier New" w:hAnsi="Courier New"/>
          <w:sz w:val="20"/>
          <w:szCs w:val="20"/>
        </w:rPr>
        <w:t xml:space="preserve">tumor_stage</w:t>
      </w:r>
      <w:r>
        <w:t xml:space="preserve"> dependen de la cohorte y hay incoherencias de codificación que deben corregirse antes de modelar.</w:t>
      </w:r>
    </w:p>
    <w:p>
      <w:pPr>
        <w:pStyle w:val="ListParagraph"/>
        <w:numPr>
          <w:ilvl w:val="0"/>
          <w:numId w:val="5"/>
        </w:numPr>
        <w:spacing w:line="480"/>
      </w:pPr>
      <w:r>
        <w:t xml:space="preserve">El NPI está determinado casi por completo por tres variables clínicas; estimarlo a partir del perfil molecular es un problema legítimo pero de dificultad moderada, como indican las correlaciones génicas (máximo ρ = 0,40).</w:t>
      </w:r>
    </w:p>
    <w:p>
      <w:pPr>
        <w:pStyle w:val="ListParagraph"/>
        <w:numPr>
          <w:ilvl w:val="0"/>
          <w:numId w:val="5"/>
        </w:numPr>
        <w:spacing w:line="480"/>
      </w:pPr>
      <w:r>
        <w:t xml:space="preserve">La expresión génica discrimina con fuerza los subtipos PAM50 y ya muestra estructura en el plano principal del PCA, lo que es prometedor para la clasificación y el clustering.</w:t>
      </w:r>
    </w:p>
    <w:p>
      <w:r>
        <w:br w:type="page"/>
      </w:r>
    </w:p>
    <w:p>
      <w:pPr>
        <w:pStyle w:val="Heading1"/>
        <w:spacing w:after="0" w:before="0" w:line="480"/>
        <w:jc w:val="center"/>
      </w:pPr>
      <w:r>
        <w:rPr>
          <w:b/>
          <w:bCs/>
        </w:rPr>
        <w:t xml:space="preserve">Referencias</w:t>
      </w:r>
    </w:p>
    <w:p>
      <w:pPr>
        <w:spacing w:line="480"/>
        <w:ind w:left="720" w:hanging="720"/>
      </w:pPr>
      <w:r>
        <w:t xml:space="preserve">Alharbi, R. (2020). </w:t>
      </w:r>
      <w:r>
        <w:rPr>
          <w:i/>
          <w:iCs/>
        </w:rPr>
        <w:t xml:space="preserve">Breast cancer gene expression profiles (METABRIC)</w:t>
      </w:r>
      <w:r>
        <w:t xml:space="preserve"> [Conjunto de datos]. Kaggle. </w:t>
      </w:r>
      <w:hyperlink w:history="1" r:id="rIdcp3aa8nyckfyernt-qkmd">
        <w:r>
          <w:rPr>
            <w:rStyle w:val="Hyperlink"/>
          </w:rPr>
          <w:t xml:space="preserve">https://www.kaggle.com/datasets/raghadalharbi/breast-cancer-gene-expression-profiles-metabric</w:t>
        </w:r>
      </w:hyperlink>
    </w:p>
    <w:p>
      <w:pPr>
        <w:spacing w:line="480"/>
        <w:ind w:left="720" w:hanging="720"/>
      </w:pPr>
      <w:r>
        <w:t xml:space="preserve">Bergsma, W. (2013). A bias-correction for Cramér's V and Tschuprow's T. </w:t>
      </w:r>
      <w:r>
        <w:rPr>
          <w:i/>
          <w:iCs/>
        </w:rPr>
        <w:t xml:space="preserve">Journal of the Korean Statistical Society, 42</w:t>
      </w:r>
      <w:r>
        <w:t xml:space="preserve">(3), 323–328. </w:t>
      </w:r>
      <w:hyperlink w:history="1" r:id="rIda7wxkr9_ld11ntagalekv">
        <w:r>
          <w:rPr>
            <w:rStyle w:val="Hyperlink"/>
          </w:rPr>
          <w:t xml:space="preserve">https://doi.org/10.1016/j.jkss.2012.10.002</w:t>
        </w:r>
      </w:hyperlink>
    </w:p>
    <w:p>
      <w:pPr>
        <w:spacing w:line="480"/>
        <w:ind w:left="720" w:hanging="720"/>
      </w:pPr>
      <w:r>
        <w:t xml:space="preserve">Cerami, E., Gao, J., Dogrusoz, U., Gross, B. E., Sumer, S. O., Aksoy, B. A., Jacobsen, A., Byrne, C. J., Heuer, M. L., Larsson, E., Antipin, Y., Reva, B., Goldberg, A. P., Sander, C. y Schultz, N. (2012). The cBio cancer genomics portal: An open platform for exploring multidimensional cancer genomics data. </w:t>
      </w:r>
      <w:r>
        <w:rPr>
          <w:i/>
          <w:iCs/>
        </w:rPr>
        <w:t xml:space="preserve">Cancer Discovery, 2</w:t>
      </w:r>
      <w:r>
        <w:t xml:space="preserve">(5), 401–404. </w:t>
      </w:r>
      <w:hyperlink w:history="1" r:id="rIdi8xgtl6t_xxlknjrjgipu">
        <w:r>
          <w:rPr>
            <w:rStyle w:val="Hyperlink"/>
          </w:rPr>
          <w:t xml:space="preserve">https://doi.org/10.1158/2159-8290.CD-12-0095</w:t>
        </w:r>
      </w:hyperlink>
    </w:p>
    <w:p>
      <w:pPr>
        <w:spacing w:line="480"/>
        <w:ind w:left="720" w:hanging="720"/>
      </w:pPr>
      <w:r>
        <w:t xml:space="preserve">Curtis, C., Shah, S. P., Chin, S.-F., Turashvili, G., Rueda, O. M., Dunning, M. J., Speed, D., Lynch, A. G., Samarajiwa, S., Yuan, Y., Gräf, S., Ha, G., Haffari, G., Bashashati, A., Russell, R., McKinney, S., METABRIC Group, Langerød, A., Green, A., … Aparicio, S. (2012). The genomic and transcriptomic architecture of 2,000 breast tumours reveals novel subgroups. </w:t>
      </w:r>
      <w:r>
        <w:rPr>
          <w:i/>
          <w:iCs/>
        </w:rPr>
        <w:t xml:space="preserve">Nature, 486</w:t>
      </w:r>
      <w:r>
        <w:t xml:space="preserve">(7403), 346–352. </w:t>
      </w:r>
      <w:hyperlink w:history="1" r:id="rIdxuxj8loyuzzi0xb1lml39">
        <w:r>
          <w:rPr>
            <w:rStyle w:val="Hyperlink"/>
          </w:rPr>
          <w:t xml:space="preserve">https://doi.org/10.1038/nature10983</w:t>
        </w:r>
      </w:hyperlink>
    </w:p>
    <w:p>
      <w:pPr>
        <w:spacing w:line="480"/>
        <w:ind w:left="720" w:hanging="720"/>
      </w:pPr>
      <w: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i/>
          <w:iCs/>
        </w:rPr>
        <w:t xml:space="preserve">Nature, 585</w:t>
      </w:r>
      <w:r>
        <w:t xml:space="preserve">(7825), 357–362. </w:t>
      </w:r>
      <w:hyperlink w:history="1" r:id="rIdlitxqwwszcfnu_p33rws2">
        <w:r>
          <w:rPr>
            <w:rStyle w:val="Hyperlink"/>
          </w:rPr>
          <w:t xml:space="preserve">https://doi.org/10.1038/s41586-020-2649-2</w:t>
        </w:r>
      </w:hyperlink>
    </w:p>
    <w:p>
      <w:pPr>
        <w:spacing w:line="480"/>
        <w:ind w:left="720" w:hanging="720"/>
      </w:pPr>
      <w:r>
        <w:t xml:space="preserve">Haybittle, J. L., Blamey, R. W., Elston, C. W., Johnson, J., Doyle, P. J., Campbell, F. C., Nicholson, R. I. y Griffiths, K. (1982). A prognostic index in primary breast cancer. </w:t>
      </w:r>
      <w:r>
        <w:rPr>
          <w:i/>
          <w:iCs/>
        </w:rPr>
        <w:t xml:space="preserve">British Journal of Cancer, 45</w:t>
      </w:r>
      <w:r>
        <w:t xml:space="preserve">(3), 361–366. </w:t>
      </w:r>
      <w:hyperlink w:history="1" r:id="rId_bnx2frw5bnhxgelkcmxj">
        <w:r>
          <w:rPr>
            <w:rStyle w:val="Hyperlink"/>
          </w:rPr>
          <w:t xml:space="preserve">https://doi.org/10.1038/bjc.1982.62</w:t>
        </w:r>
      </w:hyperlink>
    </w:p>
    <w:p>
      <w:pPr>
        <w:spacing w:line="480"/>
        <w:ind w:left="720" w:hanging="720"/>
      </w:pPr>
      <w:r>
        <w:t xml:space="preserve">Hunter, J. D. (2007). Matplotlib: A 2D graphics environment. </w:t>
      </w:r>
      <w:r>
        <w:rPr>
          <w:i/>
          <w:iCs/>
        </w:rPr>
        <w:t xml:space="preserve">Computing in Science &amp; Engineering, 9</w:t>
      </w:r>
      <w:r>
        <w:t xml:space="preserve">(3), 90–95. </w:t>
      </w:r>
      <w:hyperlink w:history="1" r:id="rId6mprfu-nyv0wrfmr8n2-8">
        <w:r>
          <w:rPr>
            <w:rStyle w:val="Hyperlink"/>
          </w:rPr>
          <w:t xml:space="preserve">https://doi.org/10.1109/MCSE.2007.55</w:t>
        </w:r>
      </w:hyperlink>
    </w:p>
    <w:p>
      <w:pPr>
        <w:spacing w:line="480"/>
        <w:ind w:left="720" w:hanging="720"/>
      </w:pPr>
      <w:r>
        <w:t xml:space="preserve">McKinney, W. (2010). Data structures for statistical computing in Python. En S. van der Walt y J. Millman (Eds.), </w:t>
      </w:r>
      <w:r>
        <w:rPr>
          <w:i/>
          <w:iCs/>
        </w:rPr>
        <w:t xml:space="preserve">Proceedings of the 9th Python in Science Conference</w:t>
      </w:r>
      <w:r>
        <w:t xml:space="preserve"> (pp. 56–61). </w:t>
      </w:r>
      <w:hyperlink w:history="1" r:id="rIdahgxaz61m2td03de_k5l-">
        <w:r>
          <w:rPr>
            <w:rStyle w:val="Hyperlink"/>
          </w:rPr>
          <w:t xml:space="preserve">https://doi.org/10.25080/Majora-92bf1922-00a</w:t>
        </w:r>
      </w:hyperlink>
    </w:p>
    <w:p>
      <w:pPr>
        <w:spacing w:line="480"/>
        <w:ind w:left="720" w:hanging="720"/>
      </w:pPr>
      <w:r>
        <w:t xml:space="preserve">Parker, J. S., Mullins, M., Cheang, M. C. U., Leung, S., Voduc, D., Vickery, T., Davies, S., Fauron, C., He, X., Hu, Z., Quackenbush, J. F., Stijleman, I. J., Palazzo, J., Marron, J. S., Nobel, A. B., Mardis, E., Nielsen, T. O., Ellis, M. J., Perou, C. M. y Bernard, P. S. (2009). Supervised risk predictor of breast cancer based on intrinsic subtypes. </w:t>
      </w:r>
      <w:r>
        <w:rPr>
          <w:i/>
          <w:iCs/>
        </w:rPr>
        <w:t xml:space="preserve">Journal of Clinical Oncology, 27</w:t>
      </w:r>
      <w:r>
        <w:t xml:space="preserve">(8), 1160–1167. </w:t>
      </w:r>
      <w:hyperlink w:history="1" r:id="rIdgqtcsw3_k-mm1yl8w1jll">
        <w:r>
          <w:rPr>
            <w:rStyle w:val="Hyperlink"/>
          </w:rPr>
          <w:t xml:space="preserve">https://doi.org/10.1200/JCO.2008.18.8370</w:t>
        </w:r>
      </w:hyperlink>
    </w:p>
    <w:p>
      <w:pPr>
        <w:spacing w:line="480"/>
        <w:ind w:left="720" w:hanging="720"/>
      </w:pPr>
      <w:r>
        <w:t xml:space="preserve">Pedregosa, F., Varoquaux, G., Gramfort, A., Michel, V., Thirion, B., Grisel, O., Blondel, M., Prettenhofer, P., Weiss, R., Dubourg, V., Vanderplas, J., Passos, A., Cournapeau, D., Brucher, M., Perrot, M. y Duchesnay, É. (2011). Scikit-learn: Machine learning in Python. </w:t>
      </w:r>
      <w:r>
        <w:rPr>
          <w:i/>
          <w:iCs/>
        </w:rPr>
        <w:t xml:space="preserve">Journal of Machine Learning Research, 12</w:t>
      </w:r>
      <w:r>
        <w:t xml:space="preserve">, 2825–2830. </w:t>
      </w:r>
      <w:hyperlink w:history="1" r:id="rIdoicnr6xi9fftg9jtjr__g">
        <w:r>
          <w:rPr>
            <w:rStyle w:val="Hyperlink"/>
          </w:rPr>
          <w:t xml:space="preserve">https://jmlr.org/papers/v12/pedregosa11a.html</w:t>
        </w:r>
      </w:hyperlink>
    </w:p>
    <w:p>
      <w:pPr>
        <w:spacing w:line="480"/>
        <w:ind w:left="720" w:hanging="720"/>
      </w:pPr>
      <w:r>
        <w:t xml:space="preserve">Pereira, B., Chin, S.-F., Rueda, O. M., Vollan, H.-K. M., Provenzano, E., Bardwell, H. A., Pugh, M., Jones, L., Russell, R., Sammut, S.-J., Tsui, D. W. Y., Liu, B., Dawson, S.-J., Abraham, J., Northen, H., Peden, J. F., Mukherjee, A., Turashvili, G., Green, A. R., … Caldas, C. (2016). The somatic mutation profiles of 2,433 breast cancers refine their genomic and transcriptomic landscapes. </w:t>
      </w:r>
      <w:r>
        <w:rPr>
          <w:i/>
          <w:iCs/>
        </w:rPr>
        <w:t xml:space="preserve">Nature Communications, 7</w:t>
      </w:r>
      <w:r>
        <w:t xml:space="preserve">, Artículo 11479. </w:t>
      </w:r>
      <w:hyperlink w:history="1" r:id="rIdtshwfwaqmaopugbvyn0c6">
        <w:r>
          <w:rPr>
            <w:rStyle w:val="Hyperlink"/>
          </w:rPr>
          <w:t xml:space="preserve">https://doi.org/10.1038/ncomms11479</w:t>
        </w:r>
      </w:hyperlink>
    </w:p>
    <w:p>
      <w:pPr>
        <w:spacing w:line="480"/>
        <w:ind w:left="720" w:hanging="720"/>
      </w:pPr>
      <w: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Pr>
          <w:i/>
          <w:iCs/>
        </w:rPr>
        <w:t xml:space="preserve">Nature Methods, 17</w:t>
      </w:r>
      <w:r>
        <w:t xml:space="preserve">(3), 261–272. </w:t>
      </w:r>
      <w:hyperlink w:history="1" r:id="rId9bhjt2gjvo3c3sf4xbwhe">
        <w:r>
          <w:rPr>
            <w:rStyle w:val="Hyperlink"/>
          </w:rPr>
          <w:t xml:space="preserve">https://doi.org/10.1038/s41592-019-0686-2</w:t>
        </w:r>
      </w:hyperlink>
    </w:p>
    <w:p>
      <w:pPr>
        <w:spacing w:line="480"/>
        <w:ind w:left="720" w:hanging="720"/>
      </w:pPr>
      <w:r>
        <w:t xml:space="preserve">Waskom, M. L. (2021). seaborn: Statistical data visualization. </w:t>
      </w:r>
      <w:r>
        <w:rPr>
          <w:i/>
          <w:iCs/>
        </w:rPr>
        <w:t xml:space="preserve">Journal of Open Source Software, 6</w:t>
      </w:r>
      <w:r>
        <w:t xml:space="preserve">(60), Artículo 3021. </w:t>
      </w:r>
      <w:hyperlink w:history="1" r:id="rIdo7vxacy0t_nqmnje8ca2e">
        <w:r>
          <w:rPr>
            <w:rStyle w:val="Hyperlink"/>
          </w:rPr>
          <w:t xml:space="preserve">https://doi.org/10.21105/joss.03021</w:t>
        </w:r>
      </w:hyperlink>
    </w:p>
    <w:p>
      <w:r>
        <w:br w:type="page"/>
      </w:r>
    </w:p>
    <w:p>
      <w:pPr>
        <w:pStyle w:val="Heading1"/>
        <w:spacing w:after="0" w:before="0" w:line="480"/>
        <w:jc w:val="center"/>
      </w:pPr>
      <w:r>
        <w:rPr>
          <w:b/>
          <w:bCs/>
        </w:rPr>
        <w:t xml:space="preserve">Apéndice</w:t>
      </w:r>
    </w:p>
    <w:p>
      <w:pPr>
        <w:pStyle w:val="Heading2"/>
        <w:spacing w:after="0" w:before="0" w:line="480"/>
      </w:pPr>
      <w:r>
        <w:rPr>
          <w:b/>
          <w:bCs/>
        </w:rPr>
        <w:t xml:space="preserve">Código y Reproducibilidad</w:t>
      </w:r>
    </w:p>
    <w:p>
      <w:pPr>
        <w:spacing w:after="0" w:before="0" w:line="480"/>
        <w:ind w:firstLine="720"/>
        <w:jc w:val="left"/>
      </w:pPr>
      <w:r>
        <w:t xml:space="preserve">El análisis completo está en el cuaderno </w:t>
      </w:r>
      <w:r>
        <w:rPr>
          <w:rFonts w:ascii="Courier New" w:cs="Courier New" w:eastAsia="Courier New" w:hAnsi="Courier New"/>
          <w:sz w:val="20"/>
          <w:szCs w:val="20"/>
        </w:rPr>
        <w:t xml:space="preserve">notebooks/01_EDA_Fase1.ipynb</w:t>
      </w:r>
      <w:r>
        <w:t xml:space="preserve">, que se ejecuta de principio a fin con las versiones fijadas en </w:t>
      </w:r>
      <w:r>
        <w:rPr>
          <w:rFonts w:ascii="Courier New" w:cs="Courier New" w:eastAsia="Courier New" w:hAnsi="Courier New"/>
          <w:sz w:val="20"/>
          <w:szCs w:val="20"/>
        </w:rPr>
        <w:t xml:space="preserve">requirements.txt</w:t>
      </w:r>
      <w:r>
        <w:t xml:space="preserve">. El repositorio sigue la estructura exigida por la guía: </w:t>
      </w:r>
      <w:r>
        <w:rPr>
          <w:rFonts w:ascii="Courier New" w:cs="Courier New" w:eastAsia="Courier New" w:hAnsi="Courier New"/>
          <w:sz w:val="20"/>
          <w:szCs w:val="20"/>
        </w:rPr>
        <w:t xml:space="preserve">data/</w:t>
      </w:r>
      <w:r>
        <w:t xml:space="preserve"> (datos originales y procesados), </w:t>
      </w:r>
      <w:r>
        <w:rPr>
          <w:rFonts w:ascii="Courier New" w:cs="Courier New" w:eastAsia="Courier New" w:hAnsi="Courier New"/>
          <w:sz w:val="20"/>
          <w:szCs w:val="20"/>
        </w:rPr>
        <w:t xml:space="preserve">notebooks/</w:t>
      </w:r>
      <w:r>
        <w:t xml:space="preserve">, </w:t>
      </w:r>
      <w:r>
        <w:rPr>
          <w:rFonts w:ascii="Courier New" w:cs="Courier New" w:eastAsia="Courier New" w:hAnsi="Courier New"/>
          <w:sz w:val="20"/>
          <w:szCs w:val="20"/>
        </w:rPr>
        <w:t xml:space="preserve">src/</w:t>
      </w:r>
      <w:r>
        <w:t xml:space="preserve"> (configuración y funciones del EDA), </w:t>
      </w:r>
      <w:r>
        <w:rPr>
          <w:rFonts w:ascii="Courier New" w:cs="Courier New" w:eastAsia="Courier New" w:hAnsi="Courier New"/>
          <w:sz w:val="20"/>
          <w:szCs w:val="20"/>
        </w:rPr>
        <w:t xml:space="preserve">dashboard/</w:t>
      </w:r>
      <w:r>
        <w:t xml:space="preserve">, </w:t>
      </w:r>
      <w:r>
        <w:rPr>
          <w:rFonts w:ascii="Courier New" w:cs="Courier New" w:eastAsia="Courier New" w:hAnsi="Courier New"/>
          <w:sz w:val="20"/>
          <w:szCs w:val="20"/>
        </w:rPr>
        <w:t xml:space="preserve">reports/figures/</w:t>
      </w:r>
      <w:r>
        <w:t xml:space="preserve"> (figuras de este informe) y </w:t>
      </w:r>
      <w:r>
        <w:rPr>
          <w:rFonts w:ascii="Courier New" w:cs="Courier New" w:eastAsia="Courier New" w:hAnsi="Courier New"/>
          <w:sz w:val="20"/>
          <w:szCs w:val="20"/>
        </w:rPr>
        <w:t xml:space="preserve">docs/</w:t>
      </w:r>
      <w:r>
        <w:t xml:space="preserve"> (diccionario de datos y evidencia de la licencia).</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line="4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hpnisfuf5mt3coe4nyxog" Type="http://schemas.openxmlformats.org/officeDocument/2006/relationships/hyperlink" Target="https://github.com/MartinGia/metabric-proyecto-integrador" TargetMode="External"/><Relationship Id="rIdscbyniplwdeijletb8yea" Type="http://schemas.openxmlformats.org/officeDocument/2006/relationships/hyperlink" Target="https://github.com/MartinGia/metabric-proyecto-integrador/blob/main/notebooks/01_EDA_Fase1.ipynb" TargetMode="External"/><Relationship Id="rIdftrzejezhem3oaz7-14j-" Type="http://schemas.openxmlformats.org/officeDocument/2006/relationships/hyperlink" Target="https://colab.research.google.com/github/MartinGia/metabric-proyecto-integrador/blob/main/notebooks/01_EDA_Fase1.ipynb" TargetMode="External"/><Relationship Id="rIdbmahrqbyecnk2saomryzq" Type="http://schemas.openxmlformats.org/officeDocument/2006/relationships/hyperlink" Target="https://github.com/MartinGia/metabric-proyecto-integrador/blob/main/docs/diccionario_datos.csv" TargetMode="External"/><Relationship Id="rIdwzu8nqjxdzwghgco9f2bk" Type="http://schemas.openxmlformats.org/officeDocument/2006/relationships/hyperlink" Target="https://github.com/MartinGia/metabric-proyecto-integrador/tree/main/data/raw" TargetMode="External"/><Relationship Id="rIdcp3aa8nyckfyernt-qkmd" Type="http://schemas.openxmlformats.org/officeDocument/2006/relationships/hyperlink" Target="https://www.kaggle.com/datasets/raghadalharbi/breast-cancer-gene-expression-profiles-metabric" TargetMode="External"/><Relationship Id="rIda7wxkr9_ld11ntagalekv" Type="http://schemas.openxmlformats.org/officeDocument/2006/relationships/hyperlink" Target="https://doi.org/10.1016/j.jkss.2012.10.002" TargetMode="External"/><Relationship Id="rIdi8xgtl6t_xxlknjrjgipu" Type="http://schemas.openxmlformats.org/officeDocument/2006/relationships/hyperlink" Target="https://doi.org/10.1158/2159-8290.CD-12-0095" TargetMode="External"/><Relationship Id="rIdxuxj8loyuzzi0xb1lml39" Type="http://schemas.openxmlformats.org/officeDocument/2006/relationships/hyperlink" Target="https://doi.org/10.1038/nature10983" TargetMode="External"/><Relationship Id="rIdlitxqwwszcfnu_p33rws2" Type="http://schemas.openxmlformats.org/officeDocument/2006/relationships/hyperlink" Target="https://doi.org/10.1038/s41586-020-2649-2" TargetMode="External"/><Relationship Id="rId_bnx2frw5bnhxgelkcmxj" Type="http://schemas.openxmlformats.org/officeDocument/2006/relationships/hyperlink" Target="https://doi.org/10.1038/bjc.1982.62" TargetMode="External"/><Relationship Id="rId6mprfu-nyv0wrfmr8n2-8" Type="http://schemas.openxmlformats.org/officeDocument/2006/relationships/hyperlink" Target="https://doi.org/10.1109/MCSE.2007.55" TargetMode="External"/><Relationship Id="rIdahgxaz61m2td03de_k5l-" Type="http://schemas.openxmlformats.org/officeDocument/2006/relationships/hyperlink" Target="https://doi.org/10.25080/Majora-92bf1922-00a" TargetMode="External"/><Relationship Id="rIdgqtcsw3_k-mm1yl8w1jll" Type="http://schemas.openxmlformats.org/officeDocument/2006/relationships/hyperlink" Target="https://doi.org/10.1200/JCO.2008.18.8370" TargetMode="External"/><Relationship Id="rIdoicnr6xi9fftg9jtjr__g" Type="http://schemas.openxmlformats.org/officeDocument/2006/relationships/hyperlink" Target="https://jmlr.org/papers/v12/pedregosa11a.html" TargetMode="External"/><Relationship Id="rIdtshwfwaqmaopugbvyn0c6" Type="http://schemas.openxmlformats.org/officeDocument/2006/relationships/hyperlink" Target="https://doi.org/10.1038/ncomms11479" TargetMode="External"/><Relationship Id="rId9bhjt2gjvo3c3sf4xbwhe" Type="http://schemas.openxmlformats.org/officeDocument/2006/relationships/hyperlink" Target="https://doi.org/10.1038/s41592-019-0686-2" TargetMode="External"/><Relationship Id="rIdo7vxacy0t_nqmnje8ca2e" Type="http://schemas.openxmlformats.org/officeDocument/2006/relationships/hyperlink" Target="https://doi.org/10.21105/joss.03021" TargetMode="External"/><Relationship Id="rId8" Type="http://schemas.openxmlformats.org/officeDocument/2006/relationships/image" Target="media/68fbeaa31825350c45b87d60d5fdea1103b85b9c.png"/><Relationship Id="rId9" Type="http://schemas.openxmlformats.org/officeDocument/2006/relationships/image" Target="media/fd055d5d45b7807a980150f7206574abd2ceeb0a.png"/><Relationship Id="rId10" Type="http://schemas.openxmlformats.org/officeDocument/2006/relationships/image" Target="media/1ae3e2e2f9249b6c4b693acc3d2e0bfb1f99ec6a.png"/><Relationship Id="rId11" Type="http://schemas.openxmlformats.org/officeDocument/2006/relationships/image" Target="media/b0c92d1951c5c28c874933e09f5397c30d8c8d60.png"/><Relationship Id="rId12" Type="http://schemas.openxmlformats.org/officeDocument/2006/relationships/image" Target="media/fc517474e69ddce6a353066afe04dda28f349f10.png"/><Relationship Id="rId13" Type="http://schemas.openxmlformats.org/officeDocument/2006/relationships/image" Target="media/0e243ebe1b265db924901516d125420029957109.png"/><Relationship Id="rId14" Type="http://schemas.openxmlformats.org/officeDocument/2006/relationships/image" Target="media/75b117c48b6d93deec4f35fbc51db4b771f3baf5.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Martín Gracia Socha</dc:creator>
  <cp:lastModifiedBy>Un-named</cp:lastModifiedBy>
  <cp:revision>1</cp:revision>
  <dcterms:created xsi:type="dcterms:W3CDTF">2026-10-25T17:22:34.589Z</dcterms:created>
  <dcterms:modified xsi:type="dcterms:W3CDTF">2026-10-25T17:22:34.589Z</dcterms:modified>
</cp:coreProperties>
</file>

<file path=docProps/custom.xml><?xml version="1.0" encoding="utf-8"?>
<Properties xmlns="http://schemas.openxmlformats.org/officeDocument/2006/custom-properties" xmlns:vt="http://schemas.openxmlformats.org/officeDocument/2006/docPropsVTypes"/>
</file>