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0"/>
          <w:bCs w:val="0"/>
          <w:i w:val="0"/>
          <w:iCs w:val="0"/>
          <w:smallCaps w:val="0"/>
          <w:strike w:val="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 w:line="240" w:lineRule="auto"/>
        <w:ind w:right="0"/>
        <w:jc w:val="both"/>
        <w:rPr>
          <w:rFonts w:ascii="Times New Roman" w:cs="Times New Roman" w:eastAsia="Times New Roman" w:hAnsi="Times New Roman"/>
          <w:b w:val="0"/>
          <w:bCs w:val="0"/>
          <w:i w:val="0"/>
          <w:iCs w:val="0"/>
          <w:smallCaps w:val="0"/>
          <w:strike w:val="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line="266" w:lineRule="auto"/>
        <w:ind w:firstLine="820"/>
        <w:jc w:val="both"/>
        <w:rPr/>
      </w:pPr>
      <w:r w:rsidDel="00000000" w:rsidR="00000000" w:rsidRPr="00000000">
        <w:rPr>
          <w:rtl w:val="0"/>
        </w:rPr>
        <w:t xml:space="preserve">Optimización de Stock y Rentabilidad en Concesionario Premium</w:t>
      </w:r>
    </w:p>
    <w:p w:rsidR="00000000" w:rsidDel="00000000" w:rsidP="00000000" w:rsidRDefault="00000000" w:rsidRPr="00000000" w14:paraId="00000005">
      <w:pPr>
        <w:spacing w:before="0" w:line="503" w:lineRule="auto"/>
        <w:ind w:left="1562" w:right="1563" w:firstLine="0"/>
        <w:jc w:val="both"/>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mediante Modelos Predictivos</w:t>
      </w:r>
    </w:p>
    <w:p w:rsidR="00000000" w:rsidDel="00000000" w:rsidP="00000000" w:rsidRDefault="00000000" w:rsidRPr="00000000" w14:paraId="00000006">
      <w:pPr>
        <w:spacing w:before="497" w:line="288" w:lineRule="auto"/>
        <w:ind w:left="1562" w:right="1559" w:firstLine="0"/>
        <w:jc w:val="both"/>
        <w:rPr>
          <w:sz w:val="26"/>
          <w:szCs w:val="26"/>
        </w:rPr>
      </w:pPr>
      <w:r w:rsidDel="00000000" w:rsidR="00000000" w:rsidRPr="00000000">
        <w:rPr>
          <w:sz w:val="26"/>
          <w:szCs w:val="26"/>
          <w:rtl w:val="0"/>
        </w:rPr>
        <w:t xml:space="preserve">Diplomado en Ciencia de Datos y Análisis Avanzado Unidad N°9 · Proyecto Final Integrador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right="0"/>
        <w:jc w:val="both"/>
        <w:rPr>
          <w:rFonts w:ascii="Arial" w:cs="Arial" w:eastAsia="Arial" w:hAnsi="Arial"/>
          <w:b w:val="0"/>
          <w:bCs w:val="0"/>
          <w:i w:val="0"/>
          <w:iCs w:val="0"/>
          <w:smallCaps w:val="0"/>
          <w:strike w:val="0"/>
          <w:color w:val="000000"/>
          <w:sz w:val="20"/>
          <w:szCs w:val="20"/>
          <w:u w:val="none"/>
          <w:shd w:fill="auto" w:val="clear"/>
          <w:vertAlign w:val="baseline"/>
        </w:rPr>
        <w:sectPr>
          <w:pgSz w:h="16840" w:w="11910" w:orient="portrait"/>
          <w:pgMar w:bottom="280" w:top="0" w:left="992" w:right="992" w:header="360" w:footer="360"/>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right="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tabs>
          <w:tab w:val="left" w:leader="none" w:pos="474"/>
        </w:tabs>
        <w:spacing w:after="0" w:before="1" w:line="240" w:lineRule="auto"/>
        <w:ind w:left="47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color w:val="bf382a"/>
          <w:rtl w:val="0"/>
        </w:rPr>
        <w:t xml:space="preserve">Resumen Ejecutivo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4">
      <w:pPr>
        <w:spacing w:line="20" w:lineRule="auto"/>
        <w:ind w:left="140.99999999999994" w:right="0" w:firstLine="0"/>
        <w:jc w:val="both"/>
        <w:rPr>
          <w:rFonts w:ascii="Arial" w:cs="Arial" w:eastAsia="Arial" w:hAnsi="Arial"/>
          <w:sz w:val="2"/>
          <w:szCs w:val="2"/>
        </w:rPr>
      </w:pPr>
      <w:r w:rsidDel="00000000" w:rsidR="00000000" w:rsidRPr="00000000">
        <w:rPr>
          <w:rFonts w:ascii="Arial" w:cs="Arial" w:eastAsia="Arial" w:hAnsi="Arial"/>
          <w:sz w:val="2"/>
          <w:szCs w:val="2"/>
        </w:rPr>
        <mc:AlternateContent>
          <mc:Choice Requires="wpg">
            <w:drawing>
              <wp:inline distB="0" distT="0" distL="0" distR="0">
                <wp:extent cx="6120130" cy="25400"/>
                <wp:effectExtent b="0" l="0" r="0" t="0"/>
                <wp:docPr id="20" name=""/>
                <a:graphic>
                  <a:graphicData uri="http://schemas.microsoft.com/office/word/2010/wordprocessingGroup">
                    <wpg:wgp>
                      <wpg:cNvGrpSpPr/>
                      <wpg:grpSpPr>
                        <a:xfrm>
                          <a:off x="2285925" y="3767275"/>
                          <a:ext cx="6120130" cy="25400"/>
                          <a:chOff x="2285925" y="3767275"/>
                          <a:chExt cx="6120150" cy="25450"/>
                        </a:xfrm>
                      </wpg:grpSpPr>
                      <wpg:grpSp>
                        <wpg:cNvGrpSpPr/>
                        <wpg:grpSpPr>
                          <a:xfrm>
                            <a:off x="2285935" y="3767300"/>
                            <a:ext cx="6120130" cy="25400"/>
                            <a:chOff x="0" y="0"/>
                            <a:chExt cx="6120130" cy="25400"/>
                          </a:xfrm>
                        </wpg:grpSpPr>
                        <wps:wsp>
                          <wps:cNvSpPr/>
                          <wps:cNvPr id="5" name="Shape 5"/>
                          <wps:spPr>
                            <a:xfrm>
                              <a:off x="0" y="0"/>
                              <a:ext cx="6120125"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2700"/>
                              <a:ext cx="6120130" cy="1270"/>
                            </a:xfrm>
                            <a:custGeom>
                              <a:rect b="b" l="l" r="r" t="t"/>
                              <a:pathLst>
                                <a:path extrusionOk="0" h="120000" w="6120130">
                                  <a:moveTo>
                                    <a:pt x="0" y="0"/>
                                  </a:moveTo>
                                  <a:lnTo>
                                    <a:pt x="6120000" y="0"/>
                                  </a:lnTo>
                                </a:path>
                              </a:pathLst>
                            </a:custGeom>
                            <a:noFill/>
                            <a:ln cap="flat" cmpd="sng" w="25400">
                              <a:solidFill>
                                <a:srgbClr val="BF382A"/>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20130" cy="25400"/>
                <wp:effectExtent b="0" l="0" r="0" t="0"/>
                <wp:docPr id="2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2013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pStyle w:val="Heading2"/>
        <w:tabs>
          <w:tab w:val="left" w:leader="none" w:pos="594"/>
        </w:tabs>
        <w:spacing w:after="0" w:before="289" w:line="240" w:lineRule="auto"/>
        <w:ind w:left="475" w:right="0" w:firstLine="0"/>
        <w:jc w:val="both"/>
        <w:rPr/>
      </w:pPr>
      <w:r w:rsidDel="00000000" w:rsidR="00000000" w:rsidRPr="00000000">
        <w:rPr>
          <w:color w:val="bf382a"/>
          <w:rtl w:val="0"/>
        </w:rPr>
        <w:t xml:space="preserve">Definición del Problema y Relevancia Estratégica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109279</wp:posOffset>
                </wp:positionV>
                <wp:extent cx="1270" cy="19050"/>
                <wp:effectExtent b="0" l="0" r="0" t="0"/>
                <wp:wrapTopAndBottom distB="0" distT="0"/>
                <wp:docPr id="22" name=""/>
                <a:graphic>
                  <a:graphicData uri="http://schemas.microsoft.com/office/word/2010/wordprocessingShape">
                    <wps:wsp>
                      <wps:cNvSpPr/>
                      <wps:cNvPr id="8" name="Shape 8"/>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109279</wp:posOffset>
                </wp:positionV>
                <wp:extent cx="1270" cy="19050"/>
                <wp:effectExtent b="0" l="0" r="0" t="0"/>
                <wp:wrapTopAndBottom distB="0" distT="0"/>
                <wp:docPr id="2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21" w:lineRule="auto"/>
        <w:ind w:left="260.99999999999994" w:right="2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Un concesionario automotor premium enfrenta un dilema estructural en la gestión de inventario: la compra excesiva de unidades inmoviliza capital de trabajo, mientras que la compra insuficiente genera quiebre de stock y pérdida de clientes de alto valor. Sin un modelo cuantitativo, las decisiones dependen de la experiencia del gerente comercial y de datos históricos agregados, sin considerar la variación estacional ni las preferencias por segmento de ingreso.</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ind w:left="260.99999999999994"/>
        <w:jc w:val="both"/>
        <w:rPr/>
      </w:pPr>
      <w:r w:rsidDel="00000000" w:rsidR="00000000" w:rsidRPr="00000000">
        <w:rPr>
          <w:color w:val="2b3d4f"/>
          <w:rtl w:val="0"/>
        </w:rPr>
        <w:t xml:space="preserve">Objetivos medibles del proyecto:</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08" w:line="297" w:lineRule="auto"/>
        <w:ind w:left="541" w:right="503"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Modelo de Rentabilidad: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estimar el precio de venta por modelo/marca con R² </w:t>
      </w:r>
      <w:r w:rsidDel="00000000" w:rsidR="00000000" w:rsidRPr="00000000">
        <w:rPr>
          <w:rFonts w:ascii="Noto Sans Symbols" w:cs="Noto Sans Symbols" w:eastAsia="Noto Sans Symbols" w:hAnsi="Noto Sans Symbols"/>
          <w:b w:val="0"/>
          <w:bCs w:val="0"/>
          <w:i w:val="0"/>
          <w:iCs w:val="0"/>
          <w:smallCaps w:val="0"/>
          <w:strike w:val="0"/>
          <w:color w:val="2b3d4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b3d4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0.70</w:t>
      </w:r>
      <w:r w:rsidDel="00000000" w:rsidR="00000000" w:rsidRPr="00000000">
        <w:rPr>
          <w:color w:val="2b3d4f"/>
          <w:rtl w:val="0"/>
        </w:rPr>
        <w:t xml:space="preserv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como objetivo aspiracional (alcanzado R²=0.5</w:t>
      </w:r>
      <w:r w:rsidDel="00000000" w:rsidR="00000000" w:rsidRPr="00000000">
        <w:rPr>
          <w:color w:val="2b3d4f"/>
          <w:rtl w:val="0"/>
        </w:rPr>
        <w:t xml:space="preserve">7</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 con datos sintéticos).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52" w:line="297" w:lineRule="auto"/>
        <w:ind w:left="541" w:right="968"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Forecasting de Demanda: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proyectar ventas mensuales con MAPE </w:t>
      </w:r>
      <w:r w:rsidDel="00000000" w:rsidR="00000000" w:rsidRPr="00000000">
        <w:rPr>
          <w:rFonts w:ascii="Noto Sans Symbols" w:cs="Noto Sans Symbols" w:eastAsia="Noto Sans Symbols" w:hAnsi="Noto Sans Symbols"/>
          <w:b w:val="0"/>
          <w:bCs w:val="0"/>
          <w:i w:val="0"/>
          <w:iCs w:val="0"/>
          <w:smallCaps w:val="0"/>
          <w:strike w:val="0"/>
          <w:color w:val="2b3d4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b3d4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15% — </w:t>
      </w: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objetivo cumplido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(MAPE=10.9% con SARIMA).</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7" w:line="302" w:lineRule="auto"/>
        <w:ind w:left="541" w:right="1075"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Segmentación: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generar perfiles de cliente accionables para estrategias de marketing diferenciadas.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3"/>
        <w:ind w:left="260.99999999999994"/>
        <w:jc w:val="both"/>
        <w:rPr/>
      </w:pPr>
      <w:r w:rsidDel="00000000" w:rsidR="00000000" w:rsidRPr="00000000">
        <w:rPr>
          <w:color w:val="2b3d4f"/>
          <w:rtl w:val="0"/>
        </w:rPr>
        <w:t xml:space="preserve">Hipótesis validadas por el análisis: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right="0"/>
        <w:jc w:val="both"/>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08" w:line="297" w:lineRule="auto"/>
        <w:ind w:left="541" w:right="503" w:hanging="200"/>
        <w:jc w:val="both"/>
        <w:rPr>
          <w:color w:val="000000"/>
        </w:rPr>
      </w:pPr>
      <w:r w:rsidDel="00000000" w:rsidR="00000000" w:rsidRPr="00000000">
        <w:rPr>
          <w:b w:val="1"/>
          <w:bCs w:val="1"/>
          <w:color w:val="2b3d4f"/>
          <w:rtl w:val="0"/>
        </w:rPr>
        <w:t xml:space="preserve">Segmento SUV presenta mayor volumen:</w:t>
      </w:r>
      <w:r w:rsidDel="00000000" w:rsidR="00000000" w:rsidRPr="00000000">
        <w:rPr>
          <w:rtl w:val="0"/>
        </w:rPr>
        <w:t xml:space="preserve"> </w:t>
      </w:r>
      <w:r w:rsidDel="00000000" w:rsidR="00000000" w:rsidRPr="00000000">
        <w:rPr>
          <w:u w:val="single"/>
          <w:rtl w:val="0"/>
        </w:rPr>
        <w:t xml:space="preserve">Confirmada</w:t>
      </w:r>
      <w:r w:rsidDel="00000000" w:rsidR="00000000" w:rsidRPr="00000000">
        <w:rPr>
          <w:rtl w:val="0"/>
        </w:rPr>
        <w:t xml:space="preserve"> - El SUV es el body style mas frecuente</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08" w:line="297" w:lineRule="auto"/>
        <w:ind w:left="541" w:right="503" w:hanging="200"/>
        <w:jc w:val="both"/>
        <w:rPr>
          <w:color w:val="000000"/>
        </w:rPr>
      </w:pPr>
      <w:r w:rsidDel="00000000" w:rsidR="00000000" w:rsidRPr="00000000">
        <w:rPr>
          <w:b w:val="1"/>
          <w:bCs w:val="1"/>
          <w:color w:val="2b3d4f"/>
          <w:rtl w:val="0"/>
        </w:rPr>
        <w:t xml:space="preserve">Existe estacionalidad en la demanda: </w:t>
      </w:r>
      <w:r w:rsidDel="00000000" w:rsidR="00000000" w:rsidRPr="00000000">
        <w:rPr>
          <w:u w:val="single"/>
          <w:rtl w:val="0"/>
        </w:rPr>
        <w:t xml:space="preserve">Confirmada</w:t>
      </w:r>
      <w:r w:rsidDel="00000000" w:rsidR="00000000" w:rsidRPr="00000000">
        <w:rPr>
          <w:rtl w:val="0"/>
        </w:rPr>
        <w:t xml:space="preserve"> - Los meses de Septiembre, Noviembre y Diciembre concentran el 35% de las ventas</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08" w:line="297" w:lineRule="auto"/>
        <w:ind w:left="541" w:right="503" w:hanging="200"/>
        <w:jc w:val="both"/>
        <w:rPr>
          <w:color w:val="000000"/>
        </w:rPr>
      </w:pPr>
      <w:r w:rsidDel="00000000" w:rsidR="00000000" w:rsidRPr="00000000">
        <w:rPr>
          <w:b w:val="1"/>
          <w:bCs w:val="1"/>
          <w:color w:val="2b3d4f"/>
          <w:rtl w:val="0"/>
        </w:rPr>
        <w:t xml:space="preserve">El género del comprador predice el precio:</w:t>
      </w:r>
      <w:r w:rsidDel="00000000" w:rsidR="00000000" w:rsidRPr="00000000">
        <w:rPr>
          <w:rtl w:val="0"/>
        </w:rPr>
        <w:t xml:space="preserve"> </w:t>
      </w:r>
      <w:r w:rsidDel="00000000" w:rsidR="00000000" w:rsidRPr="00000000">
        <w:rPr>
          <w:u w:val="single"/>
          <w:rtl w:val="0"/>
        </w:rPr>
        <w:t xml:space="preserve">Rechazada</w:t>
      </w:r>
      <w:r w:rsidDel="00000000" w:rsidR="00000000" w:rsidRPr="00000000">
        <w:rPr>
          <w:rtl w:val="0"/>
        </w:rPr>
        <w:t xml:space="preserve"> - Distribuciones idénticas entre géneros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20" w:right="0" w:firstLine="0"/>
        <w:jc w:val="both"/>
        <w:rPr/>
      </w:pPr>
      <w:r w:rsidDel="00000000" w:rsidR="00000000" w:rsidRPr="00000000">
        <w:rPr>
          <w:rtl w:val="0"/>
        </w:rPr>
      </w:r>
    </w:p>
    <w:p w:rsidR="00000000" w:rsidDel="00000000" w:rsidP="00000000" w:rsidRDefault="00000000" w:rsidRPr="00000000" w14:paraId="00000025">
      <w:pPr>
        <w:pStyle w:val="Heading2"/>
        <w:tabs>
          <w:tab w:val="left" w:leader="none" w:pos="594"/>
        </w:tabs>
        <w:spacing w:after="0" w:before="0" w:line="240" w:lineRule="auto"/>
        <w:ind w:left="475" w:right="0" w:firstLine="0"/>
        <w:jc w:val="both"/>
        <w:rPr/>
      </w:pPr>
      <w:r w:rsidDel="00000000" w:rsidR="00000000" w:rsidRPr="00000000">
        <w:rPr>
          <w:color w:val="bf382a"/>
          <w:rtl w:val="0"/>
        </w:rPr>
        <w:t xml:space="preserve">Datos y Metodología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108928</wp:posOffset>
                </wp:positionV>
                <wp:extent cx="1270" cy="19050"/>
                <wp:effectExtent b="0" l="0" r="0" t="0"/>
                <wp:wrapTopAndBottom distB="0" distT="0"/>
                <wp:docPr id="23" name=""/>
                <a:graphic>
                  <a:graphicData uri="http://schemas.microsoft.com/office/word/2010/wordprocessingShape">
                    <wps:wsp>
                      <wps:cNvSpPr/>
                      <wps:cNvPr id="9" name="Shape 9"/>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108928</wp:posOffset>
                </wp:positionV>
                <wp:extent cx="1270" cy="19050"/>
                <wp:effectExtent b="0" l="0" r="0" t="0"/>
                <wp:wrapTopAndBottom distB="0" distT="0"/>
                <wp:docPr id="2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027">
      <w:pPr>
        <w:pStyle w:val="Heading3"/>
        <w:tabs>
          <w:tab w:val="left" w:leader="none" w:pos="661"/>
        </w:tabs>
        <w:spacing w:after="0" w:before="200" w:line="240" w:lineRule="auto"/>
        <w:ind w:left="0" w:right="0" w:firstLine="0"/>
        <w:jc w:val="both"/>
        <w:rPr/>
      </w:pPr>
      <w:r w:rsidDel="00000000" w:rsidR="00000000" w:rsidRPr="00000000">
        <w:rPr>
          <w:color w:val="2b3d4f"/>
          <w:rtl w:val="0"/>
        </w:rPr>
        <w:t xml:space="preserve">Fuente y características del dataset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Se utilizó el dataset público </w:t>
      </w: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Car Sales Report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disponible en Kaggle (missionjee/car-sales-report). El dataset comprende </w:t>
      </w: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23.903 registros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de ventas individuales de vehículos entre enero 2022 y diciembre 2023, con cobertura geográfica de múltiples regiones de Estados Unidos.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color w:val="2b3d4f"/>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639.0"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1701"/>
        <w:gridCol w:w="1588"/>
        <w:gridCol w:w="6350"/>
        <w:tblGridChange w:id="0">
          <w:tblGrid>
            <w:gridCol w:w="1701"/>
            <w:gridCol w:w="1588"/>
            <w:gridCol w:w="6350"/>
          </w:tblGrid>
        </w:tblGridChange>
      </w:tblGrid>
      <w:tr>
        <w:trPr>
          <w:cantSplit w:val="0"/>
          <w:trHeight w:val="390" w:hRule="atLeast"/>
          <w:tblHeader w:val="0"/>
        </w:trPr>
        <w:tc>
          <w:tcPr>
            <w:shd w:fill="2b3d4f"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Variable</w:t>
            </w:r>
            <w:r w:rsidDel="00000000" w:rsidR="00000000" w:rsidRPr="00000000">
              <w:rPr>
                <w:rtl w:val="0"/>
              </w:rPr>
            </w:r>
          </w:p>
        </w:tc>
        <w:tc>
          <w:tcPr>
            <w:shd w:fill="2b3d4f"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Tipo</w:t>
            </w:r>
            <w:r w:rsidDel="00000000" w:rsidR="00000000" w:rsidRPr="00000000">
              <w:rPr>
                <w:rtl w:val="0"/>
              </w:rPr>
            </w:r>
          </w:p>
        </w:tc>
        <w:tc>
          <w:tcPr>
            <w:shd w:fill="2b3d4f"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 de venta del vehículo (análisis estacional)</w:t>
            </w:r>
          </w:p>
        </w:tc>
      </w:tr>
      <w:tr>
        <w:trPr>
          <w:cantSplit w:val="0"/>
          <w:trHeight w:val="390" w:hRule="atLeast"/>
          <w:tblHeader w:val="0"/>
        </w:trPr>
        <w:tc>
          <w:tcPr>
            <w:shd w:fill="ebeff0"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company</w:t>
            </w:r>
          </w:p>
        </w:tc>
        <w:tc>
          <w:tcPr>
            <w:shd w:fill="ebeff0"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Categórico</w:t>
            </w:r>
          </w:p>
        </w:tc>
        <w:tc>
          <w:tcPr>
            <w:shd w:fill="ebeff0"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Marca del vehículo (Ford, Toyota, Cadillac, etc.)</w:t>
            </w:r>
          </w:p>
        </w:tc>
      </w:tr>
      <w:tr>
        <w:trPr>
          <w:cantSplit w:val="0"/>
          <w:trHeight w:val="39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Categórico</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Modelo específico del vehículo</w:t>
            </w:r>
          </w:p>
        </w:tc>
      </w:tr>
      <w:tr>
        <w:trPr>
          <w:cantSplit w:val="0"/>
          <w:trHeight w:val="390" w:hRule="atLeast"/>
          <w:tblHeader w:val="0"/>
        </w:trPr>
        <w:tc>
          <w:tcPr>
            <w:shd w:fill="ebeff0"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price</w:t>
            </w:r>
          </w:p>
        </w:tc>
        <w:tc>
          <w:tcPr>
            <w:shd w:fill="ebeff0"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Numérico</w:t>
            </w:r>
          </w:p>
        </w:tc>
        <w:tc>
          <w:tcPr>
            <w:shd w:fill="ebeff0"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Precio de venta en USD — variable target de regresión</w:t>
            </w:r>
          </w:p>
        </w:tc>
      </w:tr>
      <w:tr>
        <w:trPr>
          <w:cantSplit w:val="0"/>
          <w:trHeight w:val="390"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annual_income</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Numérico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Ingreso anual del cliente en USD</w:t>
            </w:r>
          </w:p>
        </w:tc>
      </w:tr>
      <w:tr>
        <w:trPr>
          <w:cantSplit w:val="0"/>
          <w:trHeight w:val="390" w:hRule="atLeast"/>
          <w:tblHeader w:val="0"/>
        </w:trPr>
        <w:tc>
          <w:tcPr>
            <w:shd w:fill="ebeff0"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body_style</w:t>
            </w:r>
          </w:p>
        </w:tc>
        <w:tc>
          <w:tcPr>
            <w:shd w:fill="ebeff0"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Categórico</w:t>
            </w:r>
          </w:p>
        </w:tc>
        <w:tc>
          <w:tcPr>
            <w:shd w:fill="ebeff0"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Tipo de carrocería (SUV, Sedan, Hatchback, etc.)</w:t>
            </w:r>
          </w:p>
        </w:tc>
      </w:tr>
      <w:tr>
        <w:trPr>
          <w:cantSplit w:val="0"/>
          <w:trHeight w:val="390" w:hRule="atLeast"/>
          <w:tblHeader w:val="0"/>
        </w:trPr>
        <w:tc>
          <w:tcPr/>
          <w:p w:rsidR="00000000" w:rsidDel="00000000" w:rsidP="00000000" w:rsidRDefault="00000000" w:rsidRPr="00000000" w14:paraId="00000046">
            <w:pPr>
              <w:spacing w:before="86" w:lineRule="auto"/>
              <w:ind w:left="100" w:firstLine="0"/>
              <w:jc w:val="center"/>
              <w:rPr>
                <w:sz w:val="18"/>
                <w:szCs w:val="18"/>
              </w:rPr>
            </w:pPr>
            <w:r w:rsidDel="00000000" w:rsidR="00000000" w:rsidRPr="00000000">
              <w:rPr>
                <w:sz w:val="18"/>
                <w:szCs w:val="18"/>
                <w:rtl w:val="0"/>
              </w:rPr>
              <w:t xml:space="preserve">transmission</w:t>
            </w:r>
          </w:p>
        </w:tc>
        <w:tc>
          <w:tcPr/>
          <w:p w:rsidR="00000000" w:rsidDel="00000000" w:rsidP="00000000" w:rsidRDefault="00000000" w:rsidRPr="00000000" w14:paraId="00000047">
            <w:pPr>
              <w:spacing w:before="86" w:lineRule="auto"/>
              <w:ind w:left="99.00000000000006" w:firstLine="0"/>
              <w:jc w:val="center"/>
              <w:rPr>
                <w:sz w:val="18"/>
                <w:szCs w:val="18"/>
              </w:rPr>
            </w:pPr>
            <w:r w:rsidDel="00000000" w:rsidR="00000000" w:rsidRPr="00000000">
              <w:rPr>
                <w:sz w:val="18"/>
                <w:szCs w:val="18"/>
                <w:rtl w:val="0"/>
              </w:rPr>
              <w:t xml:space="preserve">Categórico</w:t>
            </w:r>
          </w:p>
        </w:tc>
        <w:tc>
          <w:tcPr/>
          <w:p w:rsidR="00000000" w:rsidDel="00000000" w:rsidP="00000000" w:rsidRDefault="00000000" w:rsidRPr="00000000" w14:paraId="00000048">
            <w:pPr>
              <w:spacing w:before="86" w:lineRule="auto"/>
              <w:ind w:left="99.00000000000006" w:firstLine="0"/>
              <w:jc w:val="center"/>
              <w:rPr>
                <w:sz w:val="18"/>
                <w:szCs w:val="18"/>
              </w:rPr>
            </w:pPr>
            <w:r w:rsidDel="00000000" w:rsidR="00000000" w:rsidRPr="00000000">
              <w:rPr>
                <w:sz w:val="18"/>
                <w:szCs w:val="18"/>
                <w:rtl w:val="0"/>
              </w:rPr>
              <w:t xml:space="preserve">Tipo de transmisión (Automática/Manual)</w:t>
            </w:r>
          </w:p>
        </w:tc>
      </w:tr>
      <w:tr>
        <w:trPr>
          <w:cantSplit w:val="0"/>
          <w:trHeight w:val="390" w:hRule="atLeast"/>
          <w:tblHeader w:val="0"/>
        </w:trPr>
        <w:tc>
          <w:tcPr>
            <w:shd w:fill="ebeff0" w:val="clear"/>
          </w:tcPr>
          <w:p w:rsidR="00000000" w:rsidDel="00000000" w:rsidP="00000000" w:rsidRDefault="00000000" w:rsidRPr="00000000" w14:paraId="00000049">
            <w:pPr>
              <w:spacing w:before="86" w:lineRule="auto"/>
              <w:ind w:left="100" w:firstLine="0"/>
              <w:jc w:val="center"/>
              <w:rPr>
                <w:sz w:val="18"/>
                <w:szCs w:val="18"/>
              </w:rPr>
            </w:pPr>
            <w:r w:rsidDel="00000000" w:rsidR="00000000" w:rsidRPr="00000000">
              <w:rPr>
                <w:sz w:val="18"/>
                <w:szCs w:val="18"/>
                <w:rtl w:val="0"/>
              </w:rPr>
              <w:t xml:space="preserve">color</w:t>
            </w:r>
          </w:p>
        </w:tc>
        <w:tc>
          <w:tcPr>
            <w:shd w:fill="ebeff0" w:val="clear"/>
          </w:tcPr>
          <w:p w:rsidR="00000000" w:rsidDel="00000000" w:rsidP="00000000" w:rsidRDefault="00000000" w:rsidRPr="00000000" w14:paraId="0000004A">
            <w:pPr>
              <w:spacing w:before="86" w:lineRule="auto"/>
              <w:ind w:left="99.00000000000006" w:firstLine="0"/>
              <w:jc w:val="center"/>
              <w:rPr>
                <w:sz w:val="18"/>
                <w:szCs w:val="18"/>
              </w:rPr>
            </w:pPr>
            <w:r w:rsidDel="00000000" w:rsidR="00000000" w:rsidRPr="00000000">
              <w:rPr>
                <w:sz w:val="18"/>
                <w:szCs w:val="18"/>
                <w:rtl w:val="0"/>
              </w:rPr>
              <w:t xml:space="preserve">Categórico</w:t>
            </w:r>
          </w:p>
        </w:tc>
        <w:tc>
          <w:tcPr>
            <w:shd w:fill="ebeff0" w:val="clear"/>
          </w:tcPr>
          <w:p w:rsidR="00000000" w:rsidDel="00000000" w:rsidP="00000000" w:rsidRDefault="00000000" w:rsidRPr="00000000" w14:paraId="0000004B">
            <w:pPr>
              <w:spacing w:before="86" w:lineRule="auto"/>
              <w:ind w:left="99.00000000000006" w:firstLine="0"/>
              <w:jc w:val="center"/>
              <w:rPr>
                <w:sz w:val="18"/>
                <w:szCs w:val="18"/>
              </w:rPr>
            </w:pPr>
            <w:r w:rsidDel="00000000" w:rsidR="00000000" w:rsidRPr="00000000">
              <w:rPr>
                <w:sz w:val="18"/>
                <w:szCs w:val="18"/>
                <w:rtl w:val="0"/>
              </w:rPr>
              <w:t xml:space="preserve">Color del vehículo vendido</w:t>
            </w:r>
          </w:p>
        </w:tc>
      </w:tr>
      <w:tr>
        <w:trPr>
          <w:cantSplit w:val="0"/>
          <w:trHeight w:val="390" w:hRule="atLeast"/>
          <w:tblHeader w:val="0"/>
        </w:trPr>
        <w:tc>
          <w:tcPr/>
          <w:p w:rsidR="00000000" w:rsidDel="00000000" w:rsidP="00000000" w:rsidRDefault="00000000" w:rsidRPr="00000000" w14:paraId="0000004C">
            <w:pPr>
              <w:spacing w:before="86" w:lineRule="auto"/>
              <w:ind w:left="100" w:firstLine="0"/>
              <w:jc w:val="center"/>
              <w:rPr>
                <w:sz w:val="18"/>
                <w:szCs w:val="18"/>
              </w:rPr>
            </w:pPr>
            <w:r w:rsidDel="00000000" w:rsidR="00000000" w:rsidRPr="00000000">
              <w:rPr>
                <w:sz w:val="18"/>
                <w:szCs w:val="18"/>
                <w:rtl w:val="0"/>
              </w:rPr>
              <w:t xml:space="preserve">dealer_region</w:t>
            </w:r>
          </w:p>
        </w:tc>
        <w:tc>
          <w:tcPr/>
          <w:p w:rsidR="00000000" w:rsidDel="00000000" w:rsidP="00000000" w:rsidRDefault="00000000" w:rsidRPr="00000000" w14:paraId="0000004D">
            <w:pPr>
              <w:spacing w:before="86" w:lineRule="auto"/>
              <w:ind w:left="99.00000000000006" w:firstLine="0"/>
              <w:jc w:val="center"/>
              <w:rPr>
                <w:sz w:val="18"/>
                <w:szCs w:val="18"/>
              </w:rPr>
            </w:pPr>
            <w:r w:rsidDel="00000000" w:rsidR="00000000" w:rsidRPr="00000000">
              <w:rPr>
                <w:sz w:val="18"/>
                <w:szCs w:val="18"/>
                <w:rtl w:val="0"/>
              </w:rPr>
              <w:t xml:space="preserve">Categórico</w:t>
            </w:r>
          </w:p>
        </w:tc>
        <w:tc>
          <w:tcPr/>
          <w:p w:rsidR="00000000" w:rsidDel="00000000" w:rsidP="00000000" w:rsidRDefault="00000000" w:rsidRPr="00000000" w14:paraId="0000004E">
            <w:pPr>
              <w:spacing w:before="86" w:lineRule="auto"/>
              <w:ind w:left="99.00000000000006" w:firstLine="0"/>
              <w:jc w:val="center"/>
              <w:rPr>
                <w:sz w:val="18"/>
                <w:szCs w:val="18"/>
              </w:rPr>
            </w:pPr>
            <w:r w:rsidDel="00000000" w:rsidR="00000000" w:rsidRPr="00000000">
              <w:rPr>
                <w:sz w:val="18"/>
                <w:szCs w:val="18"/>
                <w:rtl w:val="0"/>
              </w:rPr>
              <w:t xml:space="preserve">Región geográfica del concesionario en EE.UU.</w:t>
            </w:r>
          </w:p>
        </w:tc>
      </w:tr>
      <w:tr>
        <w:trPr>
          <w:cantSplit w:val="0"/>
          <w:trHeight w:val="390" w:hRule="atLeast"/>
          <w:tblHeader w:val="0"/>
        </w:trPr>
        <w:tc>
          <w:tcPr>
            <w:shd w:fill="ebeff0" w:val="clear"/>
          </w:tcPr>
          <w:p w:rsidR="00000000" w:rsidDel="00000000" w:rsidP="00000000" w:rsidRDefault="00000000" w:rsidRPr="00000000" w14:paraId="0000004F">
            <w:pPr>
              <w:spacing w:before="86" w:lineRule="auto"/>
              <w:ind w:left="100" w:firstLine="0"/>
              <w:jc w:val="center"/>
              <w:rPr>
                <w:sz w:val="18"/>
                <w:szCs w:val="18"/>
              </w:rPr>
            </w:pPr>
            <w:r w:rsidDel="00000000" w:rsidR="00000000" w:rsidRPr="00000000">
              <w:rPr>
                <w:sz w:val="18"/>
                <w:szCs w:val="18"/>
                <w:rtl w:val="0"/>
              </w:rPr>
              <w:t xml:space="preserve">gender</w:t>
            </w:r>
          </w:p>
        </w:tc>
        <w:tc>
          <w:tcPr>
            <w:shd w:fill="ebeff0" w:val="clear"/>
          </w:tcPr>
          <w:p w:rsidR="00000000" w:rsidDel="00000000" w:rsidP="00000000" w:rsidRDefault="00000000" w:rsidRPr="00000000" w14:paraId="00000050">
            <w:pPr>
              <w:spacing w:before="86" w:lineRule="auto"/>
              <w:ind w:left="99.00000000000006" w:firstLine="0"/>
              <w:jc w:val="center"/>
              <w:rPr>
                <w:sz w:val="18"/>
                <w:szCs w:val="18"/>
              </w:rPr>
            </w:pPr>
            <w:r w:rsidDel="00000000" w:rsidR="00000000" w:rsidRPr="00000000">
              <w:rPr>
                <w:sz w:val="18"/>
                <w:szCs w:val="18"/>
                <w:rtl w:val="0"/>
              </w:rPr>
              <w:t xml:space="preserve">Categórico</w:t>
            </w:r>
          </w:p>
        </w:tc>
        <w:tc>
          <w:tcPr>
            <w:shd w:fill="ebeff0" w:val="clear"/>
          </w:tcPr>
          <w:p w:rsidR="00000000" w:rsidDel="00000000" w:rsidP="00000000" w:rsidRDefault="00000000" w:rsidRPr="00000000" w14:paraId="00000051">
            <w:pPr>
              <w:spacing w:before="86" w:lineRule="auto"/>
              <w:ind w:left="99.00000000000006" w:firstLine="0"/>
              <w:jc w:val="center"/>
              <w:rPr>
                <w:sz w:val="18"/>
                <w:szCs w:val="18"/>
              </w:rPr>
            </w:pPr>
            <w:r w:rsidDel="00000000" w:rsidR="00000000" w:rsidRPr="00000000">
              <w:rPr>
                <w:sz w:val="18"/>
                <w:szCs w:val="18"/>
                <w:rtl w:val="0"/>
              </w:rPr>
              <w:t xml:space="preserve">Género del comprador</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16"/>
          <w:szCs w:val="16"/>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tabs>
          <w:tab w:val="left" w:leader="none" w:pos="661"/>
        </w:tabs>
        <w:spacing w:after="0" w:before="1" w:line="240" w:lineRule="auto"/>
        <w:ind w:left="720" w:right="0" w:firstLine="0"/>
        <w:jc w:val="both"/>
        <w:rPr/>
      </w:pPr>
      <w:r w:rsidDel="00000000" w:rsidR="00000000" w:rsidRPr="00000000">
        <w:rPr>
          <w:color w:val="2b3d4f"/>
          <w:rtl w:val="0"/>
        </w:rPr>
        <w:t xml:space="preserve">Calidad de datos y preprocesamiento</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22" w:line="302" w:lineRule="auto"/>
        <w:ind w:left="541" w:right="1210"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dataset presentó </w:t>
      </w: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0 valores nulos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tras la limpieza inicial (se eliminaron 3 registros duplicados de 23.906 originales).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s>
        <w:spacing w:after="0" w:before="63" w:line="240" w:lineRule="auto"/>
        <w:ind w:left="479.00000000000006" w:right="0" w:hanging="13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Se detectó que las variables </w:t>
      </w: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Engine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Transmission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tienen correlación 1.0 — se eliminó</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41"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Engine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para evitar multicolinealidad.</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27" w:line="302" w:lineRule="auto"/>
        <w:ind w:left="541" w:right="1062"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Se crearon variables de ingeniería: </w:t>
      </w: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Year, Month, Quarter, High_Season, Log_Income, Income_Segment</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2" w:line="302" w:lineRule="auto"/>
        <w:ind w:left="541" w:right="1185"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Las variables categóricas se codificaron con One-Hot Encoding. El campo </w:t>
      </w:r>
      <w:r w:rsidDel="00000000" w:rsidR="00000000" w:rsidRPr="00000000">
        <w:rPr>
          <w:rFonts w:ascii="Arial" w:cs="Arial" w:eastAsia="Arial" w:hAnsi="Arial"/>
          <w:b w:val="0"/>
          <w:bCs w:val="0"/>
          <w:i w:val="1"/>
          <w:iCs w:val="1"/>
          <w:smallCaps w:val="0"/>
          <w:strike w:val="0"/>
          <w:color w:val="2b3d4f"/>
          <w:sz w:val="22"/>
          <w:szCs w:val="2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fue procesado con Target Encoding por su alta cardinalidad.</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3" w:line="302" w:lineRule="auto"/>
        <w:ind w:left="541" w:right="914"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Precio: media $28.094, mediana $23.000, rango $2.200–$85.800. Distribución sesgada positiva.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3" w:line="302" w:lineRule="auto"/>
        <w:ind w:left="541" w:right="914" w:firstLine="0"/>
        <w:jc w:val="both"/>
        <w:rPr>
          <w:color w:val="2b3d4f"/>
        </w:rPr>
      </w:pPr>
      <w:r w:rsidDel="00000000" w:rsidR="00000000" w:rsidRPr="00000000">
        <w:rPr>
          <w:rtl w:val="0"/>
        </w:rPr>
      </w:r>
    </w:p>
    <w:p w:rsidR="00000000" w:rsidDel="00000000" w:rsidP="00000000" w:rsidRDefault="00000000" w:rsidRPr="00000000" w14:paraId="0000005C">
      <w:pPr>
        <w:pStyle w:val="Heading2"/>
        <w:tabs>
          <w:tab w:val="left" w:leader="none" w:pos="594"/>
        </w:tabs>
        <w:spacing w:after="0" w:before="64" w:line="240" w:lineRule="auto"/>
        <w:ind w:left="475" w:right="0" w:firstLine="0"/>
        <w:jc w:val="both"/>
        <w:rPr/>
      </w:pPr>
      <w:r w:rsidDel="00000000" w:rsidR="00000000" w:rsidRPr="00000000">
        <w:rPr>
          <w:color w:val="bf382a"/>
          <w:rtl w:val="0"/>
        </w:rPr>
        <w:t xml:space="preserve">Modelado y Evaluación</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21" name=""/>
                <a:graphic>
                  <a:graphicData uri="http://schemas.microsoft.com/office/word/2010/wordprocessingShape">
                    <wps:wsp>
                      <wps:cNvSpPr/>
                      <wps:cNvPr id="7" name="Shape 7"/>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2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05E">
      <w:pPr>
        <w:pStyle w:val="Heading3"/>
        <w:tabs>
          <w:tab w:val="left" w:leader="none" w:pos="661"/>
        </w:tabs>
        <w:spacing w:after="0" w:before="200" w:line="240" w:lineRule="auto"/>
        <w:ind w:left="720" w:right="0" w:firstLine="0"/>
        <w:jc w:val="both"/>
        <w:rPr/>
      </w:pPr>
      <w:r w:rsidDel="00000000" w:rsidR="00000000" w:rsidRPr="00000000">
        <w:rPr>
          <w:color w:val="2b3d4f"/>
          <w:rtl w:val="0"/>
        </w:rPr>
        <w:t xml:space="preserve">Modelo de Rentabilidad (Regresión sobre Precio)</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60.9999999999999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objetivo fue identificar los factores que explican el precio de venta de un vehículo, utilizando</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21" w:lineRule="auto"/>
        <w:ind w:left="260.9999999999999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19.122 muestras para entrenamiento y 4.781 para test (split 80/20). Se evaluaron </w:t>
      </w:r>
      <w:r w:rsidDel="00000000" w:rsidR="00000000" w:rsidRPr="00000000">
        <w:rPr>
          <w:color w:val="2b3d4f"/>
          <w:rtl w:val="0"/>
        </w:rPr>
        <w:t xml:space="preserve">cuatro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algoritmos bajo las mismas features y preprocesamiento.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637.999999999998"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2835"/>
        <w:gridCol w:w="1304"/>
        <w:gridCol w:w="1417"/>
        <w:gridCol w:w="1304"/>
        <w:gridCol w:w="1304"/>
        <w:gridCol w:w="1474"/>
        <w:tblGridChange w:id="0">
          <w:tblGrid>
            <w:gridCol w:w="2835"/>
            <w:gridCol w:w="1304"/>
            <w:gridCol w:w="1417"/>
            <w:gridCol w:w="1304"/>
            <w:gridCol w:w="1304"/>
            <w:gridCol w:w="1474"/>
          </w:tblGrid>
        </w:tblGridChange>
      </w:tblGrid>
      <w:tr>
        <w:trPr>
          <w:cantSplit w:val="0"/>
          <w:trHeight w:val="430" w:hRule="atLeast"/>
          <w:tblHeader w:val="0"/>
        </w:trPr>
        <w:tc>
          <w:tcPr>
            <w:tcBorders>
              <w:bottom w:color="000000" w:space="0" w:sz="4" w:val="single"/>
            </w:tcBorders>
            <w:shd w:fill="2b3d4f"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Modelo</w:t>
            </w:r>
            <w:r w:rsidDel="00000000" w:rsidR="00000000" w:rsidRPr="00000000">
              <w:rPr>
                <w:rtl w:val="0"/>
              </w:rPr>
            </w:r>
          </w:p>
        </w:tc>
        <w:tc>
          <w:tcPr>
            <w:tcBorders>
              <w:bottom w:color="000000" w:space="0" w:sz="4" w:val="single"/>
            </w:tcBorders>
            <w:shd w:fill="2b3d4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MAE</w:t>
            </w:r>
            <w:r w:rsidDel="00000000" w:rsidR="00000000" w:rsidRPr="00000000">
              <w:rPr>
                <w:rtl w:val="0"/>
              </w:rPr>
            </w:r>
          </w:p>
        </w:tc>
        <w:tc>
          <w:tcPr>
            <w:tcBorders>
              <w:bottom w:color="000000" w:space="0" w:sz="4" w:val="single"/>
            </w:tcBorders>
            <w:shd w:fill="2b3d4f"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RMSE</w:t>
            </w:r>
            <w:r w:rsidDel="00000000" w:rsidR="00000000" w:rsidRPr="00000000">
              <w:rPr>
                <w:rtl w:val="0"/>
              </w:rPr>
            </w:r>
          </w:p>
        </w:tc>
        <w:tc>
          <w:tcPr>
            <w:tcBorders>
              <w:bottom w:color="000000" w:space="0" w:sz="4" w:val="single"/>
            </w:tcBorders>
            <w:shd w:fill="2b3d4f"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R²</w:t>
            </w:r>
            <w:r w:rsidDel="00000000" w:rsidR="00000000" w:rsidRPr="00000000">
              <w:rPr>
                <w:rtl w:val="0"/>
              </w:rPr>
            </w:r>
          </w:p>
        </w:tc>
        <w:tc>
          <w:tcPr>
            <w:tcBorders>
              <w:bottom w:color="000000" w:space="0" w:sz="4" w:val="single"/>
            </w:tcBorders>
            <w:shd w:fill="2b3d4f"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MAPE</w:t>
            </w:r>
            <w:r w:rsidDel="00000000" w:rsidR="00000000" w:rsidRPr="00000000">
              <w:rPr>
                <w:rtl w:val="0"/>
              </w:rPr>
            </w:r>
          </w:p>
        </w:tc>
        <w:tc>
          <w:tcPr>
            <w:tcBorders>
              <w:bottom w:color="000000" w:space="0" w:sz="4" w:val="single"/>
            </w:tcBorders>
            <w:shd w:fill="2b3d4f"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5" w:right="8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Selección</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Regresión Lineal (Ridge)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$9.582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$12.859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0.2224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39.63%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5" w:right="86"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Baseline</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Random Forest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$9.601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$12.996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0.2058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40.62%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5" w:right="0" w:firstLine="0"/>
              <w:jc w:val="center"/>
              <w:rPr>
                <w:rFonts w:ascii="MS Gothic" w:cs="MS Gothic" w:eastAsia="MS Gothic" w:hAnsi="MS Gothic"/>
                <w:b w:val="0"/>
                <w:bCs w:val="0"/>
                <w:i w:val="0"/>
                <w:iCs w:val="0"/>
                <w:smallCaps w:val="0"/>
                <w:strike w:val="0"/>
                <w:color w:val="000000"/>
                <w:sz w:val="20"/>
                <w:szCs w:val="20"/>
                <w:u w:val="none"/>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vertAlign w:val="baseline"/>
                <w:rtl w:val="0"/>
              </w:rPr>
              <w:t xml:space="preserve">✗</w:t>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center"/>
              <w:rPr>
                <w:rFonts w:ascii="MS Gothic" w:cs="MS Gothic" w:eastAsia="MS Gothic" w:hAnsi="MS Gothic"/>
                <w:sz w:val="20"/>
                <w:szCs w:val="20"/>
              </w:rPr>
            </w:pPr>
            <w:r w:rsidDel="00000000" w:rsidR="00000000" w:rsidRPr="00000000">
              <w:rPr>
                <w:i w:val="0"/>
                <w:iCs w:val="0"/>
                <w:smallCaps w:val="0"/>
                <w:strike w:val="0"/>
                <w:color w:val="000000"/>
                <w:sz w:val="20"/>
                <w:szCs w:val="20"/>
                <w:u w:val="none"/>
                <w:vertAlign w:val="baseline"/>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$7.505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$10.304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0.5007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31.45%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before="95" w:lineRule="auto"/>
              <w:ind w:left="95" w:firstLine="0"/>
              <w:jc w:val="center"/>
              <w:rPr>
                <w:i w:val="0"/>
                <w:iCs w:val="0"/>
                <w:smallCaps w:val="0"/>
                <w:strike w:val="0"/>
                <w:color w:val="000000"/>
                <w:sz w:val="20"/>
                <w:szCs w:val="20"/>
                <w:u w:val="none"/>
                <w:vertAlign w:val="baseline"/>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center"/>
              <w:rPr>
                <w:b w:val="1"/>
                <w:bCs w:val="1"/>
                <w:i w:val="0"/>
                <w:iCs w:val="0"/>
                <w:smallCaps w:val="0"/>
                <w:strike w:val="0"/>
                <w:color w:val="000000"/>
                <w:sz w:val="20"/>
                <w:szCs w:val="20"/>
                <w:u w:val="none"/>
                <w:vertAlign w:val="baseline"/>
              </w:rPr>
            </w:pPr>
            <w:r w:rsidDel="00000000" w:rsidR="00000000" w:rsidRPr="00000000">
              <w:rPr>
                <w:b w:val="1"/>
                <w:bCs w:val="1"/>
                <w:sz w:val="20"/>
                <w:szCs w:val="20"/>
                <w:rtl w:val="0"/>
              </w:rPr>
              <w:t xml:space="preserve">Light 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b w:val="1"/>
                <w:bCs w:val="1"/>
                <w:sz w:val="20"/>
                <w:szCs w:val="20"/>
              </w:rPr>
            </w:pPr>
            <w:r w:rsidDel="00000000" w:rsidR="00000000" w:rsidRPr="00000000">
              <w:rPr>
                <w:b w:val="1"/>
                <w:bCs w:val="1"/>
                <w:sz w:val="20"/>
                <w:szCs w:val="20"/>
                <w:rtl w:val="0"/>
              </w:rPr>
              <w:t xml:space="preserve">$6688</w:t>
            </w:r>
          </w:p>
        </w:tc>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b w:val="1"/>
                <w:bCs w:val="1"/>
                <w:i w:val="0"/>
                <w:iCs w:val="0"/>
                <w:smallCaps w:val="0"/>
                <w:strike w:val="0"/>
                <w:color w:val="000000"/>
                <w:sz w:val="20"/>
                <w:szCs w:val="20"/>
                <w:u w:val="none"/>
                <w:vertAlign w:val="baseline"/>
              </w:rPr>
            </w:pPr>
            <w:r w:rsidDel="00000000" w:rsidR="00000000" w:rsidRPr="00000000">
              <w:rPr>
                <w:b w:val="1"/>
                <w:bCs w:val="1"/>
                <w:sz w:val="20"/>
                <w:szCs w:val="20"/>
                <w:rtl w:val="0"/>
              </w:rPr>
              <w:t xml:space="preserve">$9547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b w:val="1"/>
                <w:bCs w:val="1"/>
                <w:i w:val="0"/>
                <w:iCs w:val="0"/>
                <w:smallCaps w:val="0"/>
                <w:strike w:val="0"/>
                <w:color w:val="000000"/>
                <w:sz w:val="20"/>
                <w:szCs w:val="20"/>
                <w:u w:val="none"/>
                <w:vertAlign w:val="baseline"/>
              </w:rPr>
            </w:pPr>
            <w:r w:rsidDel="00000000" w:rsidR="00000000" w:rsidRPr="00000000">
              <w:rPr>
                <w:b w:val="1"/>
                <w:bCs w:val="1"/>
                <w:sz w:val="20"/>
                <w:szCs w:val="20"/>
                <w:rtl w:val="0"/>
              </w:rPr>
              <w:t xml:space="preserve">0.5714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b w:val="1"/>
                <w:bCs w:val="1"/>
                <w:i w:val="0"/>
                <w:iCs w:val="0"/>
                <w:smallCaps w:val="0"/>
                <w:strike w:val="0"/>
                <w:color w:val="000000"/>
                <w:sz w:val="20"/>
                <w:szCs w:val="20"/>
                <w:u w:val="none"/>
                <w:vertAlign w:val="baseline"/>
              </w:rPr>
            </w:pPr>
            <w:r w:rsidDel="00000000" w:rsidR="00000000" w:rsidRPr="00000000">
              <w:rPr>
                <w:b w:val="1"/>
                <w:bCs w:val="1"/>
                <w:sz w:val="20"/>
                <w:szCs w:val="20"/>
                <w:rtl w:val="0"/>
              </w:rPr>
              <w:t xml:space="preserve">28.09%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Pr>
          <w:p w:rsidR="00000000" w:rsidDel="00000000" w:rsidP="00000000" w:rsidRDefault="00000000" w:rsidRPr="00000000" w14:paraId="0000007F">
            <w:pPr>
              <w:spacing w:before="95" w:lineRule="auto"/>
              <w:ind w:left="95" w:right="55" w:firstLine="0"/>
              <w:jc w:val="center"/>
              <w:rPr>
                <w:rFonts w:ascii="MS Gothic" w:cs="MS Gothic" w:eastAsia="MS Gothic" w:hAnsi="MS Gothic"/>
                <w:b w:val="1"/>
                <w:bCs w:val="1"/>
                <w:i w:val="0"/>
                <w:iCs w:val="0"/>
                <w:smallCaps w:val="0"/>
                <w:strike w:val="0"/>
                <w:color w:val="000000"/>
                <w:sz w:val="20"/>
                <w:szCs w:val="20"/>
                <w:u w:val="none"/>
                <w:vertAlign w:val="baseline"/>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b w:val="1"/>
                <w:bCs w:val="1"/>
                <w:sz w:val="20"/>
                <w:szCs w:val="20"/>
                <w:rtl w:val="0"/>
              </w:rPr>
              <w:t xml:space="preserve">Elegido</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center"/>
              <w:rPr>
                <w:sz w:val="20"/>
                <w:szCs w:val="20"/>
              </w:rPr>
            </w:pPr>
            <w:r w:rsidDel="00000000" w:rsidR="00000000" w:rsidRPr="00000000">
              <w:rPr>
                <w:sz w:val="20"/>
                <w:szCs w:val="20"/>
                <w:rtl w:val="0"/>
              </w:rPr>
              <w:t xml:space="preserve">HistGradientBoosting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$6650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$9548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0.5713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00000000000057" w:right="0" w:firstLine="0"/>
              <w:jc w:val="center"/>
              <w:rPr>
                <w:i w:val="0"/>
                <w:iCs w:val="0"/>
                <w:smallCaps w:val="0"/>
                <w:strike w:val="0"/>
                <w:color w:val="000000"/>
                <w:sz w:val="20"/>
                <w:szCs w:val="20"/>
                <w:u w:val="none"/>
                <w:vertAlign w:val="baseline"/>
              </w:rPr>
            </w:pPr>
            <w:r w:rsidDel="00000000" w:rsidR="00000000" w:rsidRPr="00000000">
              <w:rPr>
                <w:sz w:val="20"/>
                <w:szCs w:val="20"/>
                <w:rtl w:val="0"/>
              </w:rPr>
              <w:t xml:space="preserve">27.89%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before="95" w:lineRule="auto"/>
              <w:ind w:left="95" w:firstLine="0"/>
              <w:jc w:val="center"/>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b w:val="1"/>
          <w:b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b w:val="1"/>
          <w:b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b w:val="1"/>
          <w:bCs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Justificación de Light GBM:</w:t>
      </w:r>
      <w:r w:rsidDel="00000000" w:rsidR="00000000" w:rsidRPr="00000000">
        <w:rPr>
          <w:rtl w:val="0"/>
        </w:rPr>
        <w:t xml:space="preserve"> Con cinco algoritmos evaluados, Light GBM obtuvo el mejor desempeño general con un MAE de $6.688, RMSE de $9.547, R²=0.5714 y MAPE=28.09%, superando a XGBoost en todas las métricas. Su elección sobre HistGradientBoosting —que logró resultados prácticamente idénticos (R²=0.5713, MAPE=27.89%)— se fundamenta en su mayor velocidad de entrenamiento, menor consumo de memoria y mejor escalabilidad ante volúmenes de datos crecientes, características relevantes para un entorno de producción que requiere reentrenamiento periódico. Respecto al baseline Ridge, Light GBM reduce el MAE en un </w:t>
      </w:r>
      <w:r w:rsidDel="00000000" w:rsidR="00000000" w:rsidRPr="00000000">
        <w:rPr>
          <w:b w:val="1"/>
          <w:bCs w:val="1"/>
          <w:rtl w:val="0"/>
        </w:rPr>
        <w:t xml:space="preserve">30%</w:t>
      </w:r>
      <w:sdt>
        <w:sdtPr>
          <w:id w:val="-137629027"/>
          <w:tag w:val="goog_rdk_0"/>
        </w:sdtPr>
        <w:sdtContent>
          <w:r w:rsidDel="00000000" w:rsidR="00000000" w:rsidRPr="00000000">
            <w:rPr>
              <w:rFonts w:ascii="Arial Unicode MS" w:cs="Arial Unicode MS" w:eastAsia="Arial Unicode MS" w:hAnsi="Arial Unicode MS"/>
              <w:rtl w:val="0"/>
            </w:rPr>
            <w:t xml:space="preserve"> (de $9.582 a $6.688) y más que duplica el poder explicativo (R²: 0.22 → 0.57). Random Forest, paradójicamente, obtuvo métricas inferiores al baseline lineal, evidenciando sobreajuste con la configuración probada. La brecha entre modelos lineales y los basados en boosting confirma que las relaciones entre las variables (modelo, marca, carrocería) son marcadamente no lineales</w:t>
          </w:r>
        </w:sdtContent>
      </w:sdt>
      <w:r w:rsidDel="00000000" w:rsidR="00000000" w:rsidRPr="00000000">
        <w:rPr>
          <w:rtl w:val="0"/>
        </w:rPr>
      </w:r>
    </w:p>
    <w:p w:rsidR="00000000" w:rsidDel="00000000" w:rsidP="00000000" w:rsidRDefault="00000000" w:rsidRPr="00000000" w14:paraId="0000008C">
      <w:pPr>
        <w:pStyle w:val="Heading3"/>
        <w:ind w:left="260.99999999999994"/>
        <w:jc w:val="both"/>
        <w:rPr>
          <w:color w:val="2b3d4f"/>
        </w:rPr>
      </w:pPr>
      <w:r w:rsidDel="00000000" w:rsidR="00000000" w:rsidRPr="00000000">
        <w:rPr>
          <w:rtl w:val="0"/>
        </w:rPr>
      </w:r>
    </w:p>
    <w:p w:rsidR="00000000" w:rsidDel="00000000" w:rsidP="00000000" w:rsidRDefault="00000000" w:rsidRPr="00000000" w14:paraId="0000008D">
      <w:pPr>
        <w:pStyle w:val="Heading3"/>
        <w:ind w:left="260.99999999999994"/>
        <w:jc w:val="both"/>
        <w:rPr/>
      </w:pPr>
      <w:r w:rsidDel="00000000" w:rsidR="00000000" w:rsidRPr="00000000">
        <w:rPr>
          <w:color w:val="2b3d4f"/>
          <w:rtl w:val="0"/>
        </w:rPr>
        <w:t xml:space="preserve">Feature Importance — LightGBM</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615.0" w:type="dxa"/>
        <w:jc w:val="left"/>
        <w:tblInd w:w="161.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2145"/>
        <w:gridCol w:w="1740"/>
        <w:gridCol w:w="5730"/>
        <w:tblGridChange w:id="0">
          <w:tblGrid>
            <w:gridCol w:w="2145"/>
            <w:gridCol w:w="1740"/>
            <w:gridCol w:w="5730"/>
          </w:tblGrid>
        </w:tblGridChange>
      </w:tblGrid>
      <w:tr>
        <w:trPr>
          <w:cantSplit w:val="0"/>
          <w:trHeight w:val="390" w:hRule="atLeast"/>
          <w:tblHeader w:val="0"/>
        </w:trPr>
        <w:tc>
          <w:tcPr>
            <w:tcBorders>
              <w:bottom w:color="000000" w:space="0" w:sz="4" w:val="single"/>
            </w:tcBorders>
            <w:shd w:fill="bf382a"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Variable</w:t>
            </w:r>
            <w:r w:rsidDel="00000000" w:rsidR="00000000" w:rsidRPr="00000000">
              <w:rPr>
                <w:rtl w:val="0"/>
              </w:rPr>
            </w:r>
          </w:p>
        </w:tc>
        <w:tc>
          <w:tcPr>
            <w:tcBorders>
              <w:bottom w:color="000000" w:space="0" w:sz="4" w:val="single"/>
            </w:tcBorders>
            <w:shd w:fill="bf382a"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Importancia</w:t>
            </w:r>
            <w:r w:rsidDel="00000000" w:rsidR="00000000" w:rsidRPr="00000000">
              <w:rPr>
                <w:rtl w:val="0"/>
              </w:rPr>
            </w:r>
          </w:p>
        </w:tc>
        <w:tc>
          <w:tcPr>
            <w:tcBorders>
              <w:bottom w:color="000000" w:space="0" w:sz="4" w:val="single"/>
            </w:tcBorders>
            <w:shd w:fill="bf382a"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Interpretación de negocio</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32.6%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modelo específico determina casi todo el precio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marca es el segundo driver más relevante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before="86" w:lineRule="auto"/>
              <w:ind w:left="100" w:firstLine="0"/>
              <w:jc w:val="center"/>
              <w:rPr>
                <w:sz w:val="18"/>
                <w:szCs w:val="18"/>
              </w:rPr>
            </w:pPr>
            <w:r w:rsidDel="00000000" w:rsidR="00000000" w:rsidRPr="00000000">
              <w:rPr>
                <w:sz w:val="18"/>
                <w:szCs w:val="18"/>
                <w:rtl w:val="0"/>
              </w:rPr>
              <w:t xml:space="preserve">Color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before="86" w:lineRule="auto"/>
              <w:ind w:left="100" w:firstLine="0"/>
              <w:jc w:val="center"/>
              <w:rPr>
                <w:sz w:val="18"/>
                <w:szCs w:val="18"/>
              </w:rPr>
            </w:pPr>
            <w:r w:rsidDel="00000000" w:rsidR="00000000" w:rsidRPr="00000000">
              <w:rPr>
                <w:sz w:val="18"/>
                <w:szCs w:val="18"/>
                <w:rtl w:val="0"/>
              </w:rPr>
              <w:t xml:space="preserve">14.3%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before="86" w:lineRule="auto"/>
              <w:ind w:left="100" w:firstLine="0"/>
              <w:jc w:val="center"/>
              <w:rPr>
                <w:sz w:val="18"/>
                <w:szCs w:val="18"/>
              </w:rPr>
            </w:pPr>
            <w:r w:rsidDel="00000000" w:rsidR="00000000" w:rsidRPr="00000000">
              <w:rPr>
                <w:sz w:val="18"/>
                <w:szCs w:val="18"/>
                <w:rtl w:val="0"/>
              </w:rPr>
              <w:t xml:space="preserve">Colores específicos tienen diferencial de precio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before="86" w:lineRule="auto"/>
              <w:ind w:left="100" w:firstLine="0"/>
              <w:jc w:val="center"/>
              <w:rPr>
                <w:sz w:val="18"/>
                <w:szCs w:val="18"/>
              </w:rPr>
            </w:pPr>
            <w:r w:rsidDel="00000000" w:rsidR="00000000" w:rsidRPr="00000000">
              <w:rPr>
                <w:sz w:val="18"/>
                <w:szCs w:val="18"/>
                <w:rtl w:val="0"/>
              </w:rPr>
              <w:t xml:space="preserve">Log_Income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before="86" w:lineRule="auto"/>
              <w:ind w:left="100" w:firstLine="0"/>
              <w:jc w:val="center"/>
              <w:rPr>
                <w:sz w:val="18"/>
                <w:szCs w:val="18"/>
              </w:rPr>
            </w:pPr>
            <w:r w:rsidDel="00000000" w:rsidR="00000000" w:rsidRPr="00000000">
              <w:rPr>
                <w:sz w:val="18"/>
                <w:szCs w:val="18"/>
                <w:rtl w:val="0"/>
              </w:rPr>
              <w:t xml:space="preserve">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before="86" w:lineRule="auto"/>
              <w:ind w:left="100" w:firstLine="0"/>
              <w:jc w:val="center"/>
              <w:rPr>
                <w:sz w:val="18"/>
                <w:szCs w:val="18"/>
              </w:rPr>
            </w:pPr>
            <w:r w:rsidDel="00000000" w:rsidR="00000000" w:rsidRPr="00000000">
              <w:rPr>
                <w:sz w:val="18"/>
                <w:szCs w:val="18"/>
                <w:rtl w:val="0"/>
              </w:rPr>
              <w:t xml:space="preserve">El ingreso del cliente influye más de lo esperado en LightGMB</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Body Style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SUVs y Hardtops tienen mayor precio mediano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Automático vs manual con efecto marginal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Estacionalidad de precios: Alta temporada impacta marginalmente</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right="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3"/>
        <w:tabs>
          <w:tab w:val="left" w:leader="none" w:pos="661"/>
        </w:tabs>
        <w:spacing w:after="0" w:before="0" w:line="240" w:lineRule="auto"/>
        <w:ind w:left="0" w:right="0" w:firstLine="0"/>
        <w:jc w:val="both"/>
        <w:rPr/>
      </w:pPr>
      <w:r w:rsidDel="00000000" w:rsidR="00000000" w:rsidRPr="00000000">
        <w:rPr>
          <w:color w:val="2b3d4f"/>
          <w:rtl w:val="0"/>
        </w:rPr>
        <w:t xml:space="preserve">Forecasting de Demanda Mensual</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1" w:lineRule="auto"/>
        <w:ind w:left="260.99999999999994" w:right="2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Se modelaron las ventas totales mensuales del concesionario. Con solo 24 meses de historia disponible (ene 2022 – dic 2023), se entrenó con los primeros 20 meses y se evaluó sobre los últimos 4 (sep–dic 2023). La limitación de datos históricos condicionó la elección del modelo final.</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9641.0"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3402"/>
        <w:gridCol w:w="1985"/>
        <w:gridCol w:w="1418"/>
        <w:gridCol w:w="1418"/>
        <w:gridCol w:w="1418"/>
        <w:tblGridChange w:id="0">
          <w:tblGrid>
            <w:gridCol w:w="3402"/>
            <w:gridCol w:w="1985"/>
            <w:gridCol w:w="1418"/>
            <w:gridCol w:w="1418"/>
            <w:gridCol w:w="1418"/>
          </w:tblGrid>
        </w:tblGridChange>
      </w:tblGrid>
      <w:tr>
        <w:trPr>
          <w:cantSplit w:val="0"/>
          <w:trHeight w:val="430" w:hRule="atLeast"/>
          <w:tblHeader w:val="0"/>
        </w:trPr>
        <w:tc>
          <w:tcPr>
            <w:shd w:fill="2b3d4f"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Modelo</w:t>
            </w:r>
            <w:r w:rsidDel="00000000" w:rsidR="00000000" w:rsidRPr="00000000">
              <w:rPr>
                <w:rtl w:val="0"/>
              </w:rPr>
            </w:r>
          </w:p>
        </w:tc>
        <w:tc>
          <w:tcPr>
            <w:shd w:fill="2b3d4f"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9999999999997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MAE (unidades)</w:t>
            </w:r>
            <w:r w:rsidDel="00000000" w:rsidR="00000000" w:rsidRPr="00000000">
              <w:rPr>
                <w:rtl w:val="0"/>
              </w:rPr>
            </w:r>
          </w:p>
        </w:tc>
        <w:tc>
          <w:tcPr>
            <w:shd w:fill="2b3d4f"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RMSE</w:t>
            </w:r>
            <w:r w:rsidDel="00000000" w:rsidR="00000000" w:rsidRPr="00000000">
              <w:rPr>
                <w:rtl w:val="0"/>
              </w:rPr>
            </w:r>
          </w:p>
        </w:tc>
        <w:tc>
          <w:tcPr>
            <w:shd w:fill="2b3d4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MAPE</w:t>
            </w:r>
            <w:r w:rsidDel="00000000" w:rsidR="00000000" w:rsidRPr="00000000">
              <w:rPr>
                <w:rtl w:val="0"/>
              </w:rPr>
            </w:r>
          </w:p>
        </w:tc>
        <w:tc>
          <w:tcPr>
            <w:shd w:fill="2b3d4f"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Selección</w:t>
            </w:r>
            <w:r w:rsidDel="00000000" w:rsidR="00000000" w:rsidRPr="00000000">
              <w:rPr>
                <w:rtl w:val="0"/>
              </w:rPr>
            </w:r>
          </w:p>
        </w:tc>
      </w:tr>
      <w:tr>
        <w:trPr>
          <w:cantSplit w:val="0"/>
          <w:trHeight w:val="430" w:hRule="atLeast"/>
          <w:tblHeader w:val="0"/>
        </w:trPr>
        <w:tc>
          <w:tcPr>
            <w:shd w:fill="93c47d"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0" w:right="0" w:firstLine="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SARIMA(1,1,1)(1,1,1,12) </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p>
        </w:tc>
        <w:tc>
          <w:tcPr>
            <w:shd w:fill="93c47d"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9999999999997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175.3</w:t>
            </w:r>
          </w:p>
        </w:tc>
        <w:tc>
          <w:tcPr>
            <w:shd w:fill="93c47d"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213.1</w:t>
            </w:r>
          </w:p>
        </w:tc>
        <w:tc>
          <w:tcPr>
            <w:shd w:fill="93c47d"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10.9%</w:t>
            </w:r>
          </w:p>
        </w:tc>
        <w:tc>
          <w:tcPr>
            <w:shd w:fill="93c47d"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0" w:right="5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Elegido</w:t>
            </w:r>
          </w:p>
        </w:tc>
      </w:tr>
      <w:tr>
        <w:trPr>
          <w:cantSplit w:val="0"/>
          <w:trHeight w:val="43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XGBoost-TS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999999999999972"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753.8</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843.7</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 w:right="8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41.5%</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0" w:right="0" w:firstLine="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right="0"/>
        <w:jc w:val="center"/>
        <w:rPr>
          <w:rFonts w:ascii="MS Gothic" w:cs="MS Gothic" w:eastAsia="MS Gothic" w:hAnsi="MS Gothic"/>
          <w:b w:val="0"/>
          <w:bCs w:val="0"/>
          <w:i w:val="0"/>
          <w:iCs w:val="0"/>
          <w:smallCaps w:val="0"/>
          <w:strike w:val="0"/>
          <w:color w:val="000000"/>
          <w:sz w:val="20"/>
          <w:szCs w:val="20"/>
          <w:u w:val="none"/>
          <w:shd w:fill="auto" w:val="clear"/>
          <w:vertAlign w:val="baseline"/>
        </w:rPr>
        <w:sectPr>
          <w:type w:val="nextPage"/>
          <w:pgSz w:h="16840" w:w="11910" w:orient="portrait"/>
          <w:pgMar w:bottom="280" w:top="0" w:left="992" w:right="992" w:header="360" w:footer="360"/>
        </w:sect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637.0"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1984"/>
        <w:gridCol w:w="1984"/>
        <w:gridCol w:w="1984"/>
        <w:gridCol w:w="1701"/>
        <w:gridCol w:w="1984"/>
        <w:tblGridChange w:id="0">
          <w:tblGrid>
            <w:gridCol w:w="1984"/>
            <w:gridCol w:w="1984"/>
            <w:gridCol w:w="1984"/>
            <w:gridCol w:w="1701"/>
            <w:gridCol w:w="1984"/>
          </w:tblGrid>
        </w:tblGridChange>
      </w:tblGrid>
      <w:tr>
        <w:trPr>
          <w:cantSplit w:val="0"/>
          <w:trHeight w:val="430" w:hRule="atLeast"/>
          <w:tblHeader w:val="0"/>
        </w:trPr>
        <w:tc>
          <w:tcPr>
            <w:shd w:fill="bf382a"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Período</w:t>
            </w:r>
            <w:r w:rsidDel="00000000" w:rsidR="00000000" w:rsidRPr="00000000">
              <w:rPr>
                <w:rtl w:val="0"/>
              </w:rPr>
            </w:r>
          </w:p>
        </w:tc>
        <w:tc>
          <w:tcPr>
            <w:shd w:fill="bf382a"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Ventas Reales</w:t>
            </w:r>
            <w:r w:rsidDel="00000000" w:rsidR="00000000" w:rsidRPr="00000000">
              <w:rPr>
                <w:rtl w:val="0"/>
              </w:rPr>
            </w:r>
          </w:p>
        </w:tc>
        <w:tc>
          <w:tcPr>
            <w:shd w:fill="bf382a"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Predicho SARIMA</w:t>
            </w:r>
            <w:r w:rsidDel="00000000" w:rsidR="00000000" w:rsidRPr="00000000">
              <w:rPr>
                <w:rtl w:val="0"/>
              </w:rPr>
            </w:r>
          </w:p>
        </w:tc>
        <w:tc>
          <w:tcPr>
            <w:shd w:fill="bf382a"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9.00000000000006" w:right="2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Error</w:t>
            </w:r>
            <w:r w:rsidDel="00000000" w:rsidR="00000000" w:rsidRPr="00000000">
              <w:rPr>
                <w:rtl w:val="0"/>
              </w:rPr>
            </w:r>
          </w:p>
        </w:tc>
        <w:tc>
          <w:tcPr>
            <w:shd w:fill="bf382a"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Error %</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 2023</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1.830</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1.799</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9.00000000000006" w:right="2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r>
      <w:tr>
        <w:trPr>
          <w:cantSplit w:val="0"/>
          <w:trHeight w:val="430" w:hRule="atLeast"/>
          <w:tblHeader w:val="0"/>
        </w:trPr>
        <w:tc>
          <w:tcPr>
            <w:shd w:fill="ebeff0"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Oct 2023</w:t>
            </w:r>
          </w:p>
        </w:tc>
        <w:tc>
          <w:tcPr>
            <w:shd w:fill="ebeff0"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995</w:t>
            </w:r>
          </w:p>
        </w:tc>
        <w:tc>
          <w:tcPr>
            <w:shd w:fill="ebeff0"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860</w:t>
            </w:r>
          </w:p>
        </w:tc>
        <w:tc>
          <w:tcPr>
            <w:shd w:fill="ebeff0"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9.00000000000006" w:right="2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p>
        </w:tc>
        <w:tc>
          <w:tcPr>
            <w:shd w:fill="ebeff0"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w:t>
            </w:r>
          </w:p>
        </w:tc>
      </w:tr>
      <w:tr>
        <w:trPr>
          <w:cantSplit w:val="0"/>
          <w:trHeight w:val="43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Nov 2023</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1.850</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2.020</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9.00000000000006" w:right="2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w:t>
            </w:r>
          </w:p>
        </w:tc>
      </w:tr>
      <w:tr>
        <w:trPr>
          <w:cantSplit w:val="0"/>
          <w:trHeight w:val="430" w:hRule="atLeast"/>
          <w:tblHeader w:val="0"/>
        </w:trPr>
        <w:tc>
          <w:tcPr>
            <w:shd w:fill="ebeff0"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Dic 2023</w:t>
            </w:r>
          </w:p>
        </w:tc>
        <w:tc>
          <w:tcPr>
            <w:shd w:fill="ebeff0"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w:t>
            </w:r>
          </w:p>
        </w:tc>
        <w:tc>
          <w:tcPr>
            <w:shd w:fill="ebeff0"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1.555</w:t>
            </w:r>
          </w:p>
        </w:tc>
        <w:tc>
          <w:tcPr>
            <w:shd w:fill="ebeff0"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9.00000000000006" w:right="2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366</w:t>
            </w:r>
          </w:p>
        </w:tc>
        <w:tc>
          <w:tcPr>
            <w:shd w:fill="ebeff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9999999999994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19.1%</w:t>
            </w:r>
          </w:p>
        </w:tc>
      </w:tr>
    </w:tbl>
    <w:p w:rsidR="00000000" w:rsidDel="00000000" w:rsidP="00000000" w:rsidRDefault="00000000" w:rsidRPr="00000000" w14:paraId="000000D5">
      <w:pPr>
        <w:spacing w:before="27" w:lineRule="auto"/>
        <w:ind w:left="1562" w:right="1562" w:firstLine="0"/>
        <w:jc w:val="both"/>
        <w:rPr>
          <w:rFonts w:ascii="Arial" w:cs="Arial" w:eastAsia="Arial" w:hAnsi="Arial"/>
          <w:i w:val="1"/>
          <w:iCs w:val="1"/>
          <w:sz w:val="18"/>
          <w:szCs w:val="18"/>
        </w:rPr>
      </w:pPr>
      <w:r w:rsidDel="00000000" w:rsidR="00000000" w:rsidRPr="00000000">
        <w:rPr>
          <w:rFonts w:ascii="Arial" w:cs="Arial" w:eastAsia="Arial" w:hAnsi="Arial"/>
          <w:i w:val="1"/>
          <w:iCs w:val="1"/>
          <w:color w:val="7e8c8c"/>
          <w:sz w:val="18"/>
          <w:szCs w:val="18"/>
          <w:rtl w:val="0"/>
        </w:rPr>
        <w:t xml:space="preserve">Tabla: Predicciones SARIMA vs valores reales en el período de test.</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16" w:lineRule="auto"/>
        <w:ind w:left="260.99999999999994" w:right="258" w:firstLine="0"/>
        <w:jc w:val="both"/>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Justificación de SARIMA: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con solo 24 meses de historia, SARIMA captura mejor la estacionalidad anual (componente S=12) que XGBoost-TS, que requiere al menos 12 meses adicionales para calcular correctamente el lag_12. El MAPE de 10.9% cumple el objetivo de negocio (</w:t>
      </w:r>
      <w:r w:rsidDel="00000000" w:rsidR="00000000" w:rsidRPr="00000000">
        <w:rPr>
          <w:rFonts w:ascii="Noto Sans Symbols" w:cs="Noto Sans Symbols" w:eastAsia="Noto Sans Symbols" w:hAnsi="Noto Sans Symbols"/>
          <w:b w:val="0"/>
          <w:bCs w:val="0"/>
          <w:i w:val="0"/>
          <w:iCs w:val="0"/>
          <w:smallCaps w:val="0"/>
          <w:strike w:val="0"/>
          <w:color w:val="2b3d4f"/>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15%), habilitando una planificación de inventario confiable.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16" w:lineRule="auto"/>
        <w:ind w:left="260.99999999999994" w:right="258" w:firstLine="0"/>
        <w:jc w:val="both"/>
        <w:rPr/>
      </w:pPr>
      <w:r w:rsidDel="00000000" w:rsidR="00000000" w:rsidRPr="00000000">
        <w:rPr>
          <w:b w:val="1"/>
          <w:bCs w:val="1"/>
          <w:color w:val="bf382a"/>
          <w:sz w:val="30"/>
          <w:szCs w:val="30"/>
          <w:rtl w:val="0"/>
        </w:rPr>
        <w:t xml:space="preserve">Impacto en el Negocio</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25" name=""/>
                <a:graphic>
                  <a:graphicData uri="http://schemas.microsoft.com/office/word/2010/wordprocessingShape">
                    <wps:wsp>
                      <wps:cNvSpPr/>
                      <wps:cNvPr id="11" name="Shape 11"/>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2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0D9">
      <w:pPr>
        <w:pStyle w:val="Heading3"/>
        <w:tabs>
          <w:tab w:val="left" w:leader="none" w:pos="661"/>
        </w:tabs>
        <w:spacing w:after="0" w:before="200" w:line="240" w:lineRule="auto"/>
        <w:ind w:left="0" w:right="0" w:firstLine="0"/>
        <w:jc w:val="both"/>
        <w:rPr/>
      </w:pPr>
      <w:r w:rsidDel="00000000" w:rsidR="00000000" w:rsidRPr="00000000">
        <w:rPr>
          <w:color w:val="2b3d4f"/>
          <w:rtl w:val="0"/>
        </w:rPr>
        <w:t xml:space="preserve">Segmentación de clientes y estrategia de marketing</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1" w:lineRule="auto"/>
        <w:ind w:left="260.99999999999994" w:right="2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análisis EDA reveló que el género no discrimina preferencias de vehículo (distribuciones idénticas, F=1.06, p=0.30). En cambio, el ingreso anual permite segmentar cuatro perfiles con comportamientos diferenciados: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6"/>
        <w:tblW w:w="9630.0"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1980"/>
        <w:gridCol w:w="930"/>
        <w:gridCol w:w="1050"/>
        <w:gridCol w:w="1695"/>
        <w:gridCol w:w="1665"/>
        <w:gridCol w:w="2310"/>
        <w:tblGridChange w:id="0">
          <w:tblGrid>
            <w:gridCol w:w="1980"/>
            <w:gridCol w:w="930"/>
            <w:gridCol w:w="1050"/>
            <w:gridCol w:w="1695"/>
            <w:gridCol w:w="1665"/>
            <w:gridCol w:w="2310"/>
          </w:tblGrid>
        </w:tblGridChange>
      </w:tblGrid>
      <w:tr>
        <w:trPr>
          <w:cantSplit w:val="0"/>
          <w:trHeight w:val="430" w:hRule="atLeast"/>
          <w:tblHeader w:val="0"/>
        </w:trPr>
        <w:tc>
          <w:tcPr>
            <w:shd w:fill="2b3d4f"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95"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Segmento</w:t>
            </w:r>
            <w:r w:rsidDel="00000000" w:rsidR="00000000" w:rsidRPr="00000000">
              <w:rPr>
                <w:rtl w:val="0"/>
              </w:rPr>
            </w:r>
          </w:p>
        </w:tc>
        <w:tc>
          <w:tcPr>
            <w:shd w:fill="2b3d4f"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right="28"/>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Clientes</w:t>
            </w:r>
            <w:r w:rsidDel="00000000" w:rsidR="00000000" w:rsidRPr="00000000">
              <w:rPr>
                <w:rtl w:val="0"/>
              </w:rPr>
            </w:r>
          </w:p>
        </w:tc>
        <w:tc>
          <w:tcPr>
            <w:shd w:fill="2b3d4f"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right="3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Precio Medio</w:t>
            </w:r>
            <w:r w:rsidDel="00000000" w:rsidR="00000000" w:rsidRPr="00000000">
              <w:rPr>
                <w:rtl w:val="0"/>
              </w:rPr>
            </w:r>
          </w:p>
        </w:tc>
        <w:tc>
          <w:tcPr>
            <w:shd w:fill="2b3d4f"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right="32"/>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Marca Top</w:t>
            </w:r>
            <w:r w:rsidDel="00000000" w:rsidR="00000000" w:rsidRPr="00000000">
              <w:rPr>
                <w:rtl w:val="0"/>
              </w:rPr>
            </w:r>
          </w:p>
        </w:tc>
        <w:tc>
          <w:tcPr>
            <w:shd w:fill="2b3d4f"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5"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Body Style Top</w:t>
            </w:r>
            <w:r w:rsidDel="00000000" w:rsidR="00000000" w:rsidRPr="00000000">
              <w:rPr>
                <w:rtl w:val="0"/>
              </w:rPr>
            </w:r>
          </w:p>
        </w:tc>
        <w:tc>
          <w:tcPr>
            <w:shd w:fill="2b3d4f"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31"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Estrategia</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999999999999943" w:right="3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999999999999943" w:right="3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(&gt;$1.1M/año)</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28"/>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5.976</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$28.149</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Cadillac / Lexus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216"/>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Hatchback / SUV</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5"/>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 premium, ticket &gt;$35K</w:t>
            </w:r>
          </w:p>
        </w:tc>
      </w:tr>
      <w:tr>
        <w:trPr>
          <w:cantSplit w:val="0"/>
          <w:trHeight w:val="670" w:hRule="atLeast"/>
          <w:tblHeader w:val="0"/>
        </w:trPr>
        <w:tc>
          <w:tcPr>
            <w:shd w:fill="ebeff0"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60" w:right="280" w:firstLine="1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MEDIO-ALTO ($900K–1.1M)</w:t>
            </w:r>
          </w:p>
        </w:tc>
        <w:tc>
          <w:tcPr>
            <w:shd w:fill="ebeff0"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28"/>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5.834</w:t>
            </w:r>
          </w:p>
        </w:tc>
        <w:tc>
          <w:tcPr>
            <w:shd w:fill="ebeff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$28.386</w:t>
            </w:r>
          </w:p>
        </w:tc>
        <w:tc>
          <w:tcPr>
            <w:shd w:fill="ebeff0"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 / Mercedes</w:t>
            </w:r>
          </w:p>
        </w:tc>
        <w:tc>
          <w:tcPr>
            <w:shd w:fill="ebeff0"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Hatchback / Sedan</w:t>
            </w:r>
          </w:p>
        </w:tc>
        <w:tc>
          <w:tcPr>
            <w:shd w:fill="ebeff0"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9"/>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Financiación premium, upsell</w:t>
            </w:r>
          </w:p>
        </w:tc>
      </w:tr>
      <w:tr>
        <w:trPr>
          <w:cantSplit w:val="0"/>
          <w:trHeight w:val="670"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50" w:right="270" w:firstLine="2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MEDIO-BAJO ($700K–900K)</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28"/>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6.081</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$27.788</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Toyota / Ford</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SUV / Hatchback</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Volumen, planes de cuotas</w:t>
            </w:r>
          </w:p>
        </w:tc>
      </w:tr>
      <w:tr>
        <w:trPr>
          <w:cantSplit w:val="0"/>
          <w:trHeight w:val="670" w:hRule="atLeast"/>
          <w:tblHeader w:val="0"/>
        </w:trPr>
        <w:tc>
          <w:tcPr>
            <w:shd w:fill="ebeff0"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999999999999943" w:right="3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999999999999943" w:right="3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(&lt;$700K/año)</w:t>
            </w:r>
          </w:p>
        </w:tc>
        <w:tc>
          <w:tcPr>
            <w:shd w:fill="ebeff0"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28"/>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6.012</w:t>
            </w:r>
          </w:p>
        </w:tc>
        <w:tc>
          <w:tcPr>
            <w:shd w:fill="ebeff0"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$28.063</w:t>
            </w:r>
          </w:p>
        </w:tc>
        <w:tc>
          <w:tcPr>
            <w:shd w:fill="ebeff0"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Chevrolet / Dodge</w:t>
            </w:r>
          </w:p>
        </w:tc>
        <w:tc>
          <w:tcPr>
            <w:shd w:fill="ebeff0"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right="-159"/>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SUV</w:t>
            </w:r>
          </w:p>
        </w:tc>
        <w:tc>
          <w:tcPr>
            <w:shd w:fill="ebeff0"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ecio / financiación accesible</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3"/>
        <w:tabs>
          <w:tab w:val="left" w:leader="none" w:pos="661"/>
        </w:tabs>
        <w:spacing w:after="0" w:before="0" w:line="240" w:lineRule="auto"/>
        <w:ind w:left="720" w:right="0" w:firstLine="0"/>
        <w:jc w:val="both"/>
        <w:rPr/>
      </w:pPr>
      <w:r w:rsidDel="00000000" w:rsidR="00000000" w:rsidRPr="00000000">
        <w:rPr>
          <w:color w:val="2b3d4f"/>
          <w:rtl w:val="0"/>
        </w:rPr>
        <w:t xml:space="preserve">Beneficios cuantificados y plan de acción</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23" w:line="302" w:lineRule="auto"/>
        <w:ind w:left="541" w:right="941"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Optimización de compras: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forecasting con MAPE 10.9% permite reducir el error de planificación de inventario, disminuyendo el stock ocioso estimado en un 15–20%.</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3" w:line="302" w:lineRule="auto"/>
        <w:ind w:left="541" w:right="731"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Incremento de rentabilidad: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la identificación de marcas/modelos de alta rentabilidad (Cadillac, Lexus, Saab) permite reasignar presupuesto de compra hacia los vehículos de mayor margen.</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3" w:line="302" w:lineRule="auto"/>
        <w:ind w:left="541" w:right="427"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Eficiencia en marketing: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las campañas segmentadas por perfil de ingreso reducen el costo de adquisición de clientes al dirigir ofertas relevantes a cada grupo.</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48" w:line="297" w:lineRule="auto"/>
        <w:ind w:left="541" w:right="613"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Tendencia favorable: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crecimiento YoY del 24.6% (2022</w:t>
      </w:r>
      <w:r w:rsidDel="00000000" w:rsidR="00000000" w:rsidRPr="00000000">
        <w:rPr>
          <w:rFonts w:ascii="Noto Sans Symbols" w:cs="Noto Sans Symbols" w:eastAsia="Noto Sans Symbols" w:hAnsi="Noto Sans Symbols"/>
          <w:b w:val="0"/>
          <w:bCs w:val="0"/>
          <w:i w:val="0"/>
          <w:iCs w:val="0"/>
          <w:smallCaps w:val="0"/>
          <w:strike w:val="0"/>
          <w:color w:val="2b3d4f"/>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2023) valida la expansión del negocio y la inversión en modelos predictivos.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tabs>
          <w:tab w:val="left" w:leader="none" w:pos="661"/>
        </w:tabs>
        <w:spacing w:after="0" w:before="0" w:line="240" w:lineRule="auto"/>
        <w:ind w:left="0" w:right="0" w:firstLine="0"/>
        <w:jc w:val="both"/>
        <w:rPr/>
      </w:pPr>
      <w:r w:rsidDel="00000000" w:rsidR="00000000" w:rsidRPr="00000000">
        <w:rPr>
          <w:color w:val="2b3d4f"/>
          <w:rtl w:val="0"/>
        </w:rPr>
        <w:t xml:space="preserve">Riesgos y limitaciones identificados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7"/>
        <w:tblW w:w="9660.0" w:type="dxa"/>
        <w:jc w:val="left"/>
        <w:tblInd w:w="131.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3405"/>
        <w:gridCol w:w="1590"/>
        <w:gridCol w:w="1080"/>
        <w:gridCol w:w="3585"/>
        <w:tblGridChange w:id="0">
          <w:tblGrid>
            <w:gridCol w:w="3405"/>
            <w:gridCol w:w="1590"/>
            <w:gridCol w:w="1080"/>
            <w:gridCol w:w="3585"/>
          </w:tblGrid>
        </w:tblGridChange>
      </w:tblGrid>
      <w:tr>
        <w:trPr>
          <w:cantSplit w:val="0"/>
          <w:trHeight w:val="410" w:hRule="atLeast"/>
          <w:tblHeader w:val="0"/>
        </w:trPr>
        <w:tc>
          <w:tcPr>
            <w:shd w:fill="bf382a"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Riesgo / Limitación</w:t>
            </w:r>
            <w:r w:rsidDel="00000000" w:rsidR="00000000" w:rsidRPr="00000000">
              <w:rPr>
                <w:rtl w:val="0"/>
              </w:rPr>
            </w:r>
          </w:p>
        </w:tc>
        <w:tc>
          <w:tcPr>
            <w:shd w:fill="bf382a"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Probabilidad</w:t>
            </w:r>
            <w:r w:rsidDel="00000000" w:rsidR="00000000" w:rsidRPr="00000000">
              <w:rPr>
                <w:rtl w:val="0"/>
              </w:rPr>
            </w:r>
          </w:p>
        </w:tc>
        <w:tc>
          <w:tcPr>
            <w:shd w:fill="bf382a"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Impacto</w:t>
            </w:r>
            <w:r w:rsidDel="00000000" w:rsidR="00000000" w:rsidRPr="00000000">
              <w:rPr>
                <w:rtl w:val="0"/>
              </w:rPr>
            </w:r>
          </w:p>
        </w:tc>
        <w:tc>
          <w:tcPr>
            <w:shd w:fill="bf382a"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Mitigación</w:t>
            </w:r>
            <w:r w:rsidDel="00000000" w:rsidR="00000000" w:rsidRPr="00000000">
              <w:rPr>
                <w:rtl w:val="0"/>
              </w:rPr>
            </w:r>
          </w:p>
        </w:tc>
      </w:tr>
      <w:tr>
        <w:trPr>
          <w:cantSplit w:val="0"/>
          <w:trHeight w:val="619.96484375" w:hRule="atLeast"/>
          <w:tblHeader w:val="0"/>
        </w:trPr>
        <w:tc>
          <w:tcPr/>
          <w:p w:rsidR="00000000" w:rsidDel="00000000" w:rsidP="00000000" w:rsidRDefault="00000000" w:rsidRPr="00000000" w14:paraId="0000011D">
            <w:pPr>
              <w:spacing w:before="86" w:lineRule="auto"/>
              <w:ind w:left="80" w:right="-116"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Dataset sintético no representa el mercado.</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Alta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real</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Alto</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Reemplazar con datos reales del concesionario</w:t>
            </w:r>
          </w:p>
        </w:tc>
      </w:tr>
      <w:tr>
        <w:trPr>
          <w:cantSplit w:val="0"/>
          <w:trHeight w:val="410" w:hRule="atLeast"/>
          <w:tblHeader w:val="0"/>
        </w:trPr>
        <w:tc>
          <w:tcPr>
            <w:shd w:fill="ebeff0"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Cambios macroeconómicos (tasas, </w:t>
            </w:r>
            <w:r w:rsidDel="00000000" w:rsidR="00000000" w:rsidRPr="00000000">
              <w:rPr>
                <w:sz w:val="18"/>
                <w:szCs w:val="18"/>
                <w:rtl w:val="0"/>
              </w:rPr>
              <w:t xml:space="preserve">inflación).</w:t>
            </w:r>
            <w:r w:rsidDel="00000000" w:rsidR="00000000" w:rsidRPr="00000000">
              <w:rPr>
                <w:rtl w:val="0"/>
              </w:rPr>
            </w:r>
          </w:p>
        </w:tc>
        <w:tc>
          <w:tcPr>
            <w:shd w:fill="ebeff0"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52.9999999999999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Media</w:t>
            </w:r>
            <w:r w:rsidDel="00000000" w:rsidR="00000000" w:rsidRPr="00000000">
              <w:rPr>
                <w:rtl w:val="0"/>
              </w:rPr>
            </w:r>
          </w:p>
        </w:tc>
        <w:tc>
          <w:tcPr>
            <w:shd w:fill="ebeff0"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Alto</w:t>
            </w:r>
          </w:p>
        </w:tc>
        <w:tc>
          <w:tcPr>
            <w:shd w:fill="ebeff0"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Reentrenar el modelo cada trimestre</w:t>
            </w:r>
          </w:p>
        </w:tc>
      </w:tr>
      <w:tr>
        <w:trPr>
          <w:cantSplit w:val="0"/>
          <w:trHeight w:val="410"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58"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SARIMA limitado a 24 meses de his</w:t>
            </w:r>
            <w:r w:rsidDel="00000000" w:rsidR="00000000" w:rsidRPr="00000000">
              <w:rPr>
                <w:sz w:val="18"/>
                <w:szCs w:val="18"/>
                <w:rtl w:val="0"/>
              </w:rPr>
              <w:t xml:space="preserve">toria</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2.9999999999999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Alta</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Medio</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Incorporar Prophet o LightGBM con más datos</w:t>
            </w:r>
          </w:p>
        </w:tc>
      </w:tr>
      <w:tr>
        <w:trPr>
          <w:cantSplit w:val="0"/>
          <w:trHeight w:val="410" w:hRule="atLeast"/>
          <w:tblHeader w:val="0"/>
        </w:trPr>
        <w:tc>
          <w:tcPr>
            <w:shd w:fill="ebeff0"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15" w:firstLine="0"/>
              <w:jc w:val="center"/>
              <w:rPr>
                <w:rFonts w:ascii="Arial" w:cs="Arial" w:eastAsia="Arial" w:hAnsi="Arial"/>
                <w:b w:val="0"/>
                <w:bCs w:val="0"/>
                <w:i w:val="0"/>
                <w:iCs w:val="0"/>
                <w:smallCaps w:val="0"/>
                <w:strike w:val="0"/>
                <w:color w:val="000000"/>
                <w:sz w:val="18"/>
                <w:szCs w:val="18"/>
                <w:u w:val="none"/>
                <w:shd w:fill="auto" w:val="clear"/>
                <w:vertAlign w:val="baseline"/>
              </w:rPr>
            </w:pPr>
            <w:sdt>
              <w:sdtPr>
                <w:id w:val="2924761"/>
                <w:tag w:val="goog_rdk_1"/>
              </w:sdtPr>
              <w:sdtContent>
                <w:r w:rsidDel="00000000" w:rsidR="00000000" w:rsidRPr="00000000">
                  <w:rPr>
                    <w:rFonts w:ascii="Arial Unicode MS" w:cs="Arial Unicode MS" w:eastAsia="Arial Unicode MS" w:hAnsi="Arial Unicode MS"/>
                    <w:sz w:val="18"/>
                    <w:szCs w:val="18"/>
                    <w:rtl w:val="0"/>
                  </w:rPr>
                  <w:t xml:space="preserve">R² del modelo de regresión = 0.57 (objetivo era ≥0.70)</w:t>
                </w:r>
              </w:sdtContent>
            </w:sdt>
            <w:r w:rsidDel="00000000" w:rsidR="00000000" w:rsidRPr="00000000">
              <w:rPr>
                <w:rtl w:val="0"/>
              </w:rPr>
            </w:r>
          </w:p>
        </w:tc>
        <w:tc>
          <w:tcPr>
            <w:shd w:fill="ebeff0"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7.99999999999997"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Alta</w:t>
            </w:r>
            <w:r w:rsidDel="00000000" w:rsidR="00000000" w:rsidRPr="00000000">
              <w:rPr>
                <w:rtl w:val="0"/>
              </w:rPr>
            </w:r>
          </w:p>
        </w:tc>
        <w:tc>
          <w:tcPr>
            <w:shd w:fill="ebeff0"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Medio</w:t>
            </w:r>
          </w:p>
        </w:tc>
        <w:tc>
          <w:tcPr>
            <w:shd w:fill="ebeff0"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Ampliar features con info real del concesionario</w:t>
            </w:r>
          </w:p>
        </w:tc>
      </w:tr>
      <w:tr>
        <w:trPr>
          <w:cantSplit w:val="0"/>
          <w:trHeight w:val="41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 datos individuales de clientes</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Medio</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Integrar CRM para segmentación enriquecida</w:t>
            </w:r>
          </w:p>
        </w:tc>
      </w:tr>
    </w:tbl>
    <w:p w:rsidR="00000000" w:rsidDel="00000000" w:rsidP="00000000" w:rsidRDefault="00000000" w:rsidRPr="00000000" w14:paraId="00000131">
      <w:pPr>
        <w:pStyle w:val="Heading2"/>
        <w:tabs>
          <w:tab w:val="left" w:leader="none" w:pos="594"/>
        </w:tabs>
        <w:spacing w:after="0" w:before="64" w:line="240" w:lineRule="auto"/>
        <w:ind w:left="475" w:right="0" w:firstLine="0"/>
        <w:jc w:val="both"/>
        <w:rPr>
          <w:color w:val="bf382a"/>
        </w:rPr>
      </w:pPr>
      <w:r w:rsidDel="00000000" w:rsidR="00000000" w:rsidRPr="00000000">
        <w:rPr>
          <w:rtl w:val="0"/>
        </w:rPr>
      </w:r>
    </w:p>
    <w:p w:rsidR="00000000" w:rsidDel="00000000" w:rsidP="00000000" w:rsidRDefault="00000000" w:rsidRPr="00000000" w14:paraId="00000132">
      <w:pPr>
        <w:tabs>
          <w:tab w:val="left" w:leader="none" w:pos="594"/>
        </w:tabs>
        <w:rPr/>
      </w:pPr>
      <w:r w:rsidDel="00000000" w:rsidR="00000000" w:rsidRPr="00000000">
        <w:rPr>
          <w:rtl w:val="0"/>
        </w:rPr>
      </w:r>
    </w:p>
    <w:p w:rsidR="00000000" w:rsidDel="00000000" w:rsidP="00000000" w:rsidRDefault="00000000" w:rsidRPr="00000000" w14:paraId="00000133">
      <w:pPr>
        <w:pStyle w:val="Heading2"/>
        <w:tabs>
          <w:tab w:val="left" w:leader="none" w:pos="594"/>
        </w:tabs>
        <w:spacing w:after="0" w:before="64" w:line="240" w:lineRule="auto"/>
        <w:ind w:left="475" w:right="0" w:firstLine="0"/>
        <w:jc w:val="both"/>
        <w:rPr/>
      </w:pPr>
      <w:r w:rsidDel="00000000" w:rsidR="00000000" w:rsidRPr="00000000">
        <w:rPr>
          <w:color w:val="bf382a"/>
          <w:rtl w:val="0"/>
        </w:rPr>
        <w:t xml:space="preserve">Consideraciones Éticas y de Privacidad</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18" name=""/>
                <a:graphic>
                  <a:graphicData uri="http://schemas.microsoft.com/office/word/2010/wordprocessingShape">
                    <wps:wsp>
                      <wps:cNvSpPr/>
                      <wps:cNvPr id="2" name="Shape 2"/>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109327</wp:posOffset>
                </wp:positionV>
                <wp:extent cx="1270" cy="19050"/>
                <wp:effectExtent b="0" l="0" r="0" t="0"/>
                <wp:wrapTopAndBottom distB="0" distT="0"/>
                <wp:docPr id="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8"/>
          <w:tab w:val="left" w:leader="none" w:pos="541"/>
        </w:tabs>
        <w:spacing w:after="0" w:before="118" w:line="302" w:lineRule="auto"/>
        <w:ind w:left="541" w:right="258"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Datos públicos y anonimizados: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dataset es de acceso libre en Kaggle (licencia CC0) y no contiene información personal identificable (PII). No se utilizan nombres, documentos ni datos de contacto.</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302" w:lineRule="auto"/>
        <w:ind w:left="541" w:right="596"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Equidad en la segmentación: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el análisis confirmó que el género no es una variable predictiva del precio ni de las preferencias de compra. Se tomó la decisión explícita de excluirlo de los modelos de segmentación para evitar sesgos de género en las estrategias comerciales.</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5" w:line="302" w:lineRule="auto"/>
        <w:ind w:left="541" w:right="831"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Transparencia del modelo:</w:t>
      </w:r>
      <w:r w:rsidDel="00000000" w:rsidR="00000000" w:rsidRPr="00000000">
        <w:rPr>
          <w:i w:val="0"/>
          <w:iCs w:val="0"/>
          <w:smallCaps w:val="0"/>
          <w:strike w:val="0"/>
          <w:color w:val="2b3d4f"/>
          <w:sz w:val="22"/>
          <w:szCs w:val="22"/>
          <w:u w:val="none"/>
          <w:shd w:fill="auto" w:val="clear"/>
          <w:vertAlign w:val="baseline"/>
          <w:rtl w:val="0"/>
        </w:rPr>
        <w:t xml:space="preserve"> </w:t>
      </w:r>
      <w:r w:rsidDel="00000000" w:rsidR="00000000" w:rsidRPr="00000000">
        <w:rPr>
          <w:color w:val="2b3d4f"/>
          <w:rtl w:val="0"/>
        </w:rPr>
        <w:t xml:space="preserve">se utiliza Feature Importance de LightGBM para explicar las predicciones de precio, garantizando interpretabilidad ante las partes interesadas del negocio. Las variables más influyentes identificadas son Model (32.6%), Company (15.4%) y Color (14.3%), lo que permite a los directivos entender qué factores determinan el precio de cada vehículo.</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302" w:lineRule="auto"/>
        <w:ind w:left="541" w:right="817"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Privacidad en producción: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al implementarse con datos reales, se deberá aplicar anonimización de datos de clientes, cumplimiento de GDPR/CCPA según jurisdicción, y políticas de retención de datos.</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302" w:lineRule="auto"/>
        <w:ind w:left="541" w:right="463"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Sesgo del dataset: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los datos de origen son sintéticos. En producción real, el modelo podría perpetuar sesgos si los datos históricos reflejan discriminación en la atención a clientes por región o perfil demográfico.</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2"/>
        <w:tabs>
          <w:tab w:val="left" w:leader="none" w:pos="594"/>
        </w:tabs>
        <w:spacing w:after="0" w:before="0" w:line="240" w:lineRule="auto"/>
        <w:ind w:left="475" w:right="0" w:firstLine="0"/>
        <w:jc w:val="both"/>
        <w:rPr/>
      </w:pPr>
      <w:r w:rsidDel="00000000" w:rsidR="00000000" w:rsidRPr="00000000">
        <w:rPr>
          <w:color w:val="bf382a"/>
          <w:rtl w:val="0"/>
        </w:rPr>
        <w:t xml:space="preserve">Conclusiones y Recomendaciones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both"/>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166278</wp:posOffset>
                </wp:positionH>
                <wp:positionV relativeFrom="paragraph">
                  <wp:posOffset>108895</wp:posOffset>
                </wp:positionV>
                <wp:extent cx="1270" cy="19050"/>
                <wp:effectExtent b="0" l="0" r="0" t="0"/>
                <wp:wrapTopAndBottom distB="0" distT="0"/>
                <wp:docPr id="24" name=""/>
                <a:graphic>
                  <a:graphicData uri="http://schemas.microsoft.com/office/word/2010/wordprocessingShape">
                    <wps:wsp>
                      <wps:cNvSpPr/>
                      <wps:cNvPr id="10" name="Shape 10"/>
                      <wps:spPr>
                        <a:xfrm>
                          <a:off x="2362135" y="3779365"/>
                          <a:ext cx="5967730" cy="1270"/>
                        </a:xfrm>
                        <a:custGeom>
                          <a:rect b="b" l="l" r="r" t="t"/>
                          <a:pathLst>
                            <a:path extrusionOk="0" h="120000" w="5967730">
                              <a:moveTo>
                                <a:pt x="0" y="0"/>
                              </a:moveTo>
                              <a:lnTo>
                                <a:pt x="5967600" y="0"/>
                              </a:lnTo>
                            </a:path>
                          </a:pathLst>
                        </a:custGeom>
                        <a:noFill/>
                        <a:ln cap="flat" cmpd="sng" w="1905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108895</wp:posOffset>
                </wp:positionV>
                <wp:extent cx="1270" cy="19050"/>
                <wp:effectExtent b="0" l="0" r="0" t="0"/>
                <wp:wrapTopAndBottom distB="0" distT="0"/>
                <wp:docPr id="2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9050"/>
                        </a:xfrm>
                        <a:prstGeom prst="rect"/>
                        <a:ln/>
                      </pic:spPr>
                    </pic:pic>
                  </a:graphicData>
                </a:graphic>
              </wp:anchor>
            </w:drawing>
          </mc:Fallback>
        </mc:AlternateContent>
      </w:r>
    </w:p>
    <w:p w:rsidR="00000000" w:rsidDel="00000000" w:rsidP="00000000" w:rsidRDefault="00000000" w:rsidRPr="00000000" w14:paraId="0000013E">
      <w:pPr>
        <w:pStyle w:val="Heading3"/>
        <w:spacing w:before="200" w:lineRule="auto"/>
        <w:ind w:left="260.99999999999994"/>
        <w:jc w:val="both"/>
        <w:rPr/>
      </w:pPr>
      <w:r w:rsidDel="00000000" w:rsidR="00000000" w:rsidRPr="00000000">
        <w:rPr>
          <w:color w:val="2b3d4f"/>
          <w:rtl w:val="0"/>
        </w:rPr>
        <w:t xml:space="preserve">Hallazgos principales:</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122" w:line="302" w:lineRule="auto"/>
        <w:ind w:left="541" w:right="258"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El precio de venta está determinado principalmente por el modelo y la marca (</w:t>
      </w:r>
      <w:r w:rsidDel="00000000" w:rsidR="00000000" w:rsidRPr="00000000">
        <w:rPr>
          <w:color w:val="2b3d4f"/>
          <w:rtl w:val="0"/>
        </w:rPr>
        <w:t xml:space="preserve">48% de importancia combinada), seguidos por el color (14.3%) y el ingreso del cliente (10.1%).</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297" w:lineRule="auto"/>
        <w:ind w:left="541" w:right="633"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2b3d4f"/>
          <w:rtl w:val="0"/>
        </w:rPr>
        <w:t xml:space="preserve">Light GBM supera a XGBoost, Random Forest y Regresión Lineal </w:t>
      </w:r>
      <w:r w:rsidDel="00000000" w:rsidR="00000000" w:rsidRPr="00000000">
        <w:rPr>
          <w:color w:val="2b3d4f"/>
          <w:rtl w:val="0"/>
        </w:rPr>
        <w:t xml:space="preserve">en la predicción de precios, reduciendo el MAE en un 30% (de $9.582 a $6.688) y mejorando el R² de 0.22 a 0.57 respecto al baseline.</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59" w:line="290" w:lineRule="auto"/>
        <w:ind w:left="541" w:right="390"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SARIMA logra un MAPE de 10.9%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en la proyección de demanda, cumpliendo el objetivo de negocio (</w:t>
      </w:r>
      <w:r w:rsidDel="00000000" w:rsidR="00000000" w:rsidRPr="00000000">
        <w:rPr>
          <w:rFonts w:ascii="Noto Sans Symbols" w:cs="Noto Sans Symbols" w:eastAsia="Noto Sans Symbols" w:hAnsi="Noto Sans Symbols"/>
          <w:b w:val="0"/>
          <w:bCs w:val="0"/>
          <w:i w:val="0"/>
          <w:iCs w:val="0"/>
          <w:smallCaps w:val="0"/>
          <w:strike w:val="0"/>
          <w:color w:val="2b3d4f"/>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15%) y habilitando una planificación de inventario trimestral confiable.</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7" w:line="302" w:lineRule="auto"/>
        <w:ind w:left="541" w:right="315"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La demanda </w:t>
      </w:r>
      <w:r w:rsidDel="00000000" w:rsidR="00000000" w:rsidRPr="00000000">
        <w:rPr>
          <w:b w:val="1"/>
          <w:bCs w:val="1"/>
          <w:color w:val="2b3d4f"/>
          <w:rtl w:val="0"/>
        </w:rPr>
        <w:t xml:space="preserve">presenta una estacionalidad</w:t>
      </w: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 marcada</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 septiembre, noviembre y diciembre concentran el 35% de ventas anuales, lo que implica necesidades de stock diferenciadas por período.</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302" w:lineRule="auto"/>
        <w:ind w:left="541" w:right="750" w:hanging="20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2"/>
          <w:szCs w:val="22"/>
          <w:u w:val="none"/>
          <w:shd w:fill="auto" w:val="clear"/>
          <w:vertAlign w:val="baseline"/>
          <w:rtl w:val="0"/>
        </w:rPr>
        <w:t xml:space="preserve">El crecimiento de +24.6% YoY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valida la expansión del negocio y justifica la inversión</w:t>
      </w:r>
      <w:r w:rsidDel="00000000" w:rsidR="00000000" w:rsidRPr="00000000">
        <w:rPr>
          <w:color w:val="2b3d4f"/>
          <w:rtl w:val="0"/>
        </w:rPr>
        <w:t xml:space="preserve"> </w:t>
      </w:r>
      <w:r w:rsidDel="00000000" w:rsidR="00000000" w:rsidRPr="00000000">
        <w:rPr>
          <w:rFonts w:ascii="Arial" w:cs="Arial" w:eastAsia="Arial" w:hAnsi="Arial"/>
          <w:b w:val="0"/>
          <w:bCs w:val="0"/>
          <w:i w:val="0"/>
          <w:iCs w:val="0"/>
          <w:smallCaps w:val="0"/>
          <w:strike w:val="0"/>
          <w:color w:val="2b3d4f"/>
          <w:sz w:val="22"/>
          <w:szCs w:val="22"/>
          <w:u w:val="none"/>
          <w:shd w:fill="auto" w:val="clear"/>
          <w:vertAlign w:val="baseline"/>
          <w:rtl w:val="0"/>
        </w:rPr>
        <w:t xml:space="preserve">en infraestructura analítica.</w:t>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9"/>
          <w:tab w:val="left" w:leader="none" w:pos="541"/>
        </w:tabs>
        <w:spacing w:after="0" w:before="64" w:line="302" w:lineRule="auto"/>
        <w:ind w:left="541" w:right="750" w:hanging="200"/>
        <w:jc w:val="both"/>
        <w:rPr>
          <w:color w:val="2b3d4f"/>
          <w:u w:val="none"/>
        </w:rPr>
      </w:pPr>
      <w:r w:rsidDel="00000000" w:rsidR="00000000" w:rsidRPr="00000000">
        <w:rPr>
          <w:b w:val="1"/>
          <w:bCs w:val="1"/>
          <w:color w:val="2b3d4f"/>
          <w:rtl w:val="0"/>
        </w:rPr>
        <w:t xml:space="preserve">Log_Income emerge como variable relevante en LightGBM</w:t>
      </w:r>
      <w:r w:rsidDel="00000000" w:rsidR="00000000" w:rsidRPr="00000000">
        <w:rPr>
          <w:color w:val="2b3d4f"/>
          <w:rtl w:val="0"/>
        </w:rPr>
        <w:t xml:space="preserve"> (10.1% de importancia), a diferencia de XGBoost donde era marginal, sugiriendo que el perfil económico del comprador tiene influencia no lineal sobre el precio.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both"/>
        <w:rPr/>
      </w:pPr>
      <w:r w:rsidDel="00000000" w:rsidR="00000000" w:rsidRPr="00000000">
        <w:rPr>
          <w:rtl w:val="0"/>
        </w:rPr>
      </w:r>
    </w:p>
    <w:p w:rsidR="00000000" w:rsidDel="00000000" w:rsidP="00000000" w:rsidRDefault="00000000" w:rsidRPr="00000000" w14:paraId="0000014A">
      <w:pPr>
        <w:pStyle w:val="Heading3"/>
        <w:ind w:left="260.99999999999994"/>
        <w:jc w:val="both"/>
        <w:rPr/>
      </w:pPr>
      <w:r w:rsidDel="00000000" w:rsidR="00000000" w:rsidRPr="00000000">
        <w:rPr>
          <w:color w:val="2b3d4f"/>
          <w:rtl w:val="0"/>
        </w:rPr>
        <w:t xml:space="preserve">Próximos pasos recomendados: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right="0"/>
        <w:jc w:val="both"/>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8"/>
        <w:tblW w:w="9639.0" w:type="dxa"/>
        <w:jc w:val="left"/>
        <w:tblInd w:w="146.0" w:type="dxa"/>
        <w:tblBorders>
          <w:top w:color="7e8c8c" w:space="0" w:sz="4" w:val="single"/>
          <w:left w:color="7e8c8c" w:space="0" w:sz="4" w:val="single"/>
          <w:bottom w:color="7e8c8c" w:space="0" w:sz="4" w:val="single"/>
          <w:right w:color="7e8c8c" w:space="0" w:sz="4" w:val="single"/>
          <w:insideH w:color="7e8c8c" w:space="0" w:sz="4" w:val="single"/>
          <w:insideV w:color="7e8c8c" w:space="0" w:sz="4" w:val="single"/>
        </w:tblBorders>
        <w:tblLayout w:type="fixed"/>
        <w:tblLook w:val="0000"/>
      </w:tblPr>
      <w:tblGrid>
        <w:gridCol w:w="1134"/>
        <w:gridCol w:w="3969"/>
        <w:gridCol w:w="4536"/>
        <w:tblGridChange w:id="0">
          <w:tblGrid>
            <w:gridCol w:w="1134"/>
            <w:gridCol w:w="3969"/>
            <w:gridCol w:w="4536"/>
          </w:tblGrid>
        </w:tblGridChange>
      </w:tblGrid>
      <w:tr>
        <w:trPr>
          <w:cantSplit w:val="0"/>
          <w:trHeight w:val="430" w:hRule="atLeast"/>
          <w:tblHeader w:val="0"/>
        </w:trPr>
        <w:tc>
          <w:tcPr>
            <w:shd w:fill="2b3d4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Prioridad</w:t>
            </w:r>
            <w:r w:rsidDel="00000000" w:rsidR="00000000" w:rsidRPr="00000000">
              <w:rPr>
                <w:rtl w:val="0"/>
              </w:rPr>
            </w:r>
          </w:p>
        </w:tc>
        <w:tc>
          <w:tcPr>
            <w:shd w:fill="2b3d4f"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Acción</w:t>
            </w:r>
            <w:r w:rsidDel="00000000" w:rsidR="00000000" w:rsidRPr="00000000">
              <w:rPr>
                <w:rtl w:val="0"/>
              </w:rPr>
            </w:r>
          </w:p>
        </w:tc>
        <w:tc>
          <w:tcPr>
            <w:shd w:fill="2b3d4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Impacto esperado</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Integrar datos reales del CRM del concesionario</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Mejorar R² del modelo de regresión a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0.70</w:t>
            </w:r>
          </w:p>
        </w:tc>
      </w:tr>
      <w:tr>
        <w:trPr>
          <w:cantSplit w:val="0"/>
          <w:trHeight w:val="430"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Alta</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Ampliar histórico a 36 meses  y probar Prophet</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9.0000000000000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Reducir MAPE de forecasting a &lt;8%</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Media</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center"/>
              <w:rPr>
                <w:sz w:val="18"/>
                <w:szCs w:val="18"/>
              </w:rPr>
            </w:pPr>
            <w:r w:rsidDel="00000000" w:rsidR="00000000" w:rsidRPr="00000000">
              <w:rPr>
                <w:sz w:val="18"/>
                <w:szCs w:val="18"/>
                <w:rtl w:val="0"/>
              </w:rPr>
              <w:t xml:space="preserve">Implementar GridSearchCV/Optuna para hiperparámetros</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9.00000000000006" w:right="0" w:firstLine="0"/>
              <w:jc w:val="center"/>
              <w:rPr>
                <w:sz w:val="18"/>
                <w:szCs w:val="18"/>
              </w:rPr>
            </w:pPr>
            <w:r w:rsidDel="00000000" w:rsidR="00000000" w:rsidRPr="00000000">
              <w:rPr>
                <w:sz w:val="18"/>
                <w:szCs w:val="18"/>
                <w:rtl w:val="0"/>
              </w:rPr>
              <w:t xml:space="preserve">Mejora incremental en todas las métricas</w:t>
            </w:r>
          </w:p>
        </w:tc>
      </w:tr>
      <w:tr>
        <w:trPr>
          <w:cantSplit w:val="0"/>
          <w:trHeight w:val="43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Media</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center"/>
              <w:rPr>
                <w:sz w:val="18"/>
                <w:szCs w:val="18"/>
              </w:rPr>
            </w:pPr>
            <w:r w:rsidDel="00000000" w:rsidR="00000000" w:rsidRPr="00000000">
              <w:rPr>
                <w:sz w:val="18"/>
                <w:szCs w:val="18"/>
                <w:rtl w:val="0"/>
              </w:rPr>
              <w:t xml:space="preserve">Desarrollar dashboard de monitoreo de predicciones</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9.00000000000006" w:right="0" w:firstLine="0"/>
              <w:jc w:val="center"/>
              <w:rPr>
                <w:sz w:val="18"/>
                <w:szCs w:val="18"/>
              </w:rPr>
            </w:pPr>
            <w:r w:rsidDel="00000000" w:rsidR="00000000" w:rsidRPr="00000000">
              <w:rPr>
                <w:sz w:val="18"/>
                <w:szCs w:val="18"/>
                <w:rtl w:val="0"/>
              </w:rPr>
              <w:t xml:space="preserve">Detección temprana de drift del modelo</w:t>
            </w:r>
          </w:p>
        </w:tc>
      </w:tr>
      <w:tr>
        <w:trPr>
          <w:cantSplit w:val="0"/>
          <w:trHeight w:val="430"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Baja</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00000000000006" w:right="0" w:firstLine="0"/>
              <w:jc w:val="center"/>
              <w:rPr>
                <w:sz w:val="18"/>
                <w:szCs w:val="18"/>
              </w:rPr>
            </w:pPr>
            <w:r w:rsidDel="00000000" w:rsidR="00000000" w:rsidRPr="00000000">
              <w:rPr>
                <w:sz w:val="18"/>
                <w:szCs w:val="18"/>
                <w:rtl w:val="0"/>
              </w:rPr>
              <w:t xml:space="preserve">Explorar clustering (k-means) para segmentación profunda</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9.00000000000006" w:right="0" w:firstLine="0"/>
              <w:jc w:val="center"/>
              <w:rPr>
                <w:sz w:val="18"/>
                <w:szCs w:val="18"/>
              </w:rPr>
            </w:pPr>
            <w:r w:rsidDel="00000000" w:rsidR="00000000" w:rsidRPr="00000000">
              <w:rPr>
                <w:sz w:val="18"/>
                <w:szCs w:val="18"/>
                <w:rtl w:val="0"/>
              </w:rPr>
              <w:t xml:space="preserve">Campañas de marketing más precisas</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right="0"/>
        <w:jc w:val="both"/>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10" w:orient="portrait"/>
          <w:pgMar w:bottom="280" w:top="1380" w:left="992" w:right="992" w:header="360" w:footer="360"/>
        </w:sect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80553</wp:posOffset>
                </wp:positionH>
                <wp:positionV relativeFrom="paragraph">
                  <wp:posOffset>180327</wp:posOffset>
                </wp:positionV>
                <wp:extent cx="6139180" cy="1403350"/>
                <wp:effectExtent b="0" l="0" r="0" t="0"/>
                <wp:wrapTopAndBottom distB="0" distT="0"/>
                <wp:docPr id="19" name=""/>
                <a:graphic>
                  <a:graphicData uri="http://schemas.microsoft.com/office/word/2010/wordprocessingShape">
                    <wps:wsp>
                      <wps:cNvSpPr/>
                      <wps:cNvPr id="3" name="Shape 3"/>
                      <wps:spPr>
                        <a:xfrm>
                          <a:off x="2285935" y="3087850"/>
                          <a:ext cx="6120130" cy="1384300"/>
                        </a:xfrm>
                        <a:prstGeom prst="rect">
                          <a:avLst/>
                        </a:prstGeom>
                        <a:noFill/>
                        <a:ln cap="flat" cmpd="sng" w="19050">
                          <a:solidFill>
                            <a:srgbClr val="BF382A"/>
                          </a:solidFill>
                          <a:prstDash val="solid"/>
                          <a:round/>
                          <a:headEnd len="sm" w="sm" type="none"/>
                          <a:tailEnd len="sm" w="sm" type="none"/>
                        </a:ln>
                      </wps:spPr>
                      <wps:txbx>
                        <w:txbxContent>
                          <w:p w:rsidR="00000000" w:rsidDel="00000000" w:rsidP="00000000" w:rsidRDefault="00000000" w:rsidRPr="00000000">
                            <w:pPr>
                              <w:spacing w:after="0" w:before="237.99999237060547" w:line="320.9999942779541"/>
                              <w:ind w:left="265" w:right="261.00000381469727" w:firstLine="265"/>
                              <w:jc w:val="both"/>
                              <w:textDirection w:val="btLr"/>
                            </w:pPr>
                            <w:r w:rsidDel="00000000" w:rsidR="00000000" w:rsidRPr="00000000">
                              <w:rPr>
                                <w:rFonts w:ascii="Arial" w:cs="Arial" w:eastAsia="Arial" w:hAnsi="Arial"/>
                                <w:b w:val="0"/>
                                <w:i w:val="1"/>
                                <w:smallCaps w:val="0"/>
                                <w:strike w:val="0"/>
                                <w:color w:val="2b3d4f"/>
                                <w:sz w:val="22"/>
                                <w:vertAlign w:val="baseline"/>
                              </w:rPr>
                              <w:t xml:space="preserve">Este proyecto demuestra que es posible construir una solución analítica reproducible y accionable con datos públicos, metodología CRISP-DM y las herramientas estándar de la industria. La implementación con datos reales del concesionario permitirá escalar el impacto de forma inmediata, con un retorno estimado de inversión positivo desde el primer trimestre de operación.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80553</wp:posOffset>
                </wp:positionH>
                <wp:positionV relativeFrom="paragraph">
                  <wp:posOffset>180327</wp:posOffset>
                </wp:positionV>
                <wp:extent cx="6139180" cy="1403350"/>
                <wp:effectExtent b="0" l="0" r="0" t="0"/>
                <wp:wrapTopAndBottom distB="0" distT="0"/>
                <wp:docPr id="1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39180" cy="1403350"/>
                        </a:xfrm>
                        <a:prstGeom prst="rect"/>
                        <a:ln/>
                      </pic:spPr>
                    </pic:pic>
                  </a:graphicData>
                </a:graphic>
              </wp:anchor>
            </w:drawing>
          </mc:Fallback>
        </mc:AlternateContent>
      </w:r>
    </w:p>
    <w:sectPr>
      <w:type w:val="continuous"/>
      <w:pgSz w:h="16840" w:w="11910" w:orient="portrait"/>
      <w:pgMar w:bottom="280" w:top="138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Gothic"/>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41" w:hanging="139"/>
      </w:pPr>
      <w:rPr>
        <w:rFonts w:ascii="Arial" w:cs="Arial" w:eastAsia="Arial" w:hAnsi="Arial"/>
        <w:b w:val="0"/>
        <w:bCs w:val="0"/>
        <w:i w:val="0"/>
        <w:iCs w:val="0"/>
        <w:color w:val="2b3d4f"/>
        <w:sz w:val="22"/>
        <w:szCs w:val="22"/>
      </w:rPr>
    </w:lvl>
    <w:lvl w:ilvl="1">
      <w:start w:val="0"/>
      <w:numFmt w:val="bullet"/>
      <w:lvlText w:val="•"/>
      <w:lvlJc w:val="left"/>
      <w:pPr>
        <w:ind w:left="1478" w:hanging="139"/>
      </w:pPr>
      <w:rPr/>
    </w:lvl>
    <w:lvl w:ilvl="2">
      <w:start w:val="0"/>
      <w:numFmt w:val="bullet"/>
      <w:lvlText w:val="•"/>
      <w:lvlJc w:val="left"/>
      <w:pPr>
        <w:ind w:left="2416" w:hanging="139"/>
      </w:pPr>
      <w:rPr/>
    </w:lvl>
    <w:lvl w:ilvl="3">
      <w:start w:val="0"/>
      <w:numFmt w:val="bullet"/>
      <w:lvlText w:val="•"/>
      <w:lvlJc w:val="left"/>
      <w:pPr>
        <w:ind w:left="3354" w:hanging="139"/>
      </w:pPr>
      <w:rPr/>
    </w:lvl>
    <w:lvl w:ilvl="4">
      <w:start w:val="0"/>
      <w:numFmt w:val="bullet"/>
      <w:lvlText w:val="•"/>
      <w:lvlJc w:val="left"/>
      <w:pPr>
        <w:ind w:left="4292" w:hanging="139"/>
      </w:pPr>
      <w:rPr/>
    </w:lvl>
    <w:lvl w:ilvl="5">
      <w:start w:val="0"/>
      <w:numFmt w:val="bullet"/>
      <w:lvlText w:val="•"/>
      <w:lvlJc w:val="left"/>
      <w:pPr>
        <w:ind w:left="5230" w:hanging="139"/>
      </w:pPr>
      <w:rPr/>
    </w:lvl>
    <w:lvl w:ilvl="6">
      <w:start w:val="0"/>
      <w:numFmt w:val="bullet"/>
      <w:lvlText w:val="•"/>
      <w:lvlJc w:val="left"/>
      <w:pPr>
        <w:ind w:left="6168" w:hanging="139"/>
      </w:pPr>
      <w:rPr/>
    </w:lvl>
    <w:lvl w:ilvl="7">
      <w:start w:val="0"/>
      <w:numFmt w:val="bullet"/>
      <w:lvlText w:val="•"/>
      <w:lvlJc w:val="left"/>
      <w:pPr>
        <w:ind w:left="7107" w:hanging="138.9999999999991"/>
      </w:pPr>
      <w:rPr/>
    </w:lvl>
    <w:lvl w:ilvl="8">
      <w:start w:val="0"/>
      <w:numFmt w:val="bullet"/>
      <w:lvlText w:val="•"/>
      <w:lvlJc w:val="left"/>
      <w:pPr>
        <w:ind w:left="8045" w:hanging="139"/>
      </w:pPr>
      <w:rPr/>
    </w:lvl>
  </w:abstractNum>
  <w:abstractNum w:abstractNumId="2">
    <w:lvl w:ilvl="0">
      <w:start w:val="0"/>
      <w:numFmt w:val="bullet"/>
      <w:lvlText w:val="•"/>
      <w:lvlJc w:val="left"/>
      <w:pPr>
        <w:ind w:left="541" w:hanging="138"/>
      </w:pPr>
      <w:rPr>
        <w:rFonts w:ascii="Arial" w:cs="Arial" w:eastAsia="Arial" w:hAnsi="Arial"/>
        <w:b w:val="0"/>
        <w:bCs w:val="0"/>
        <w:i w:val="0"/>
        <w:iCs w:val="0"/>
        <w:color w:val="2b3d4f"/>
        <w:sz w:val="22"/>
        <w:szCs w:val="22"/>
      </w:rPr>
    </w:lvl>
    <w:lvl w:ilvl="1">
      <w:start w:val="0"/>
      <w:numFmt w:val="bullet"/>
      <w:lvlText w:val="•"/>
      <w:lvlJc w:val="left"/>
      <w:pPr>
        <w:ind w:left="1478" w:hanging="138"/>
      </w:pPr>
      <w:rPr/>
    </w:lvl>
    <w:lvl w:ilvl="2">
      <w:start w:val="0"/>
      <w:numFmt w:val="bullet"/>
      <w:lvlText w:val="•"/>
      <w:lvlJc w:val="left"/>
      <w:pPr>
        <w:ind w:left="2416" w:hanging="138"/>
      </w:pPr>
      <w:rPr/>
    </w:lvl>
    <w:lvl w:ilvl="3">
      <w:start w:val="0"/>
      <w:numFmt w:val="bullet"/>
      <w:lvlText w:val="•"/>
      <w:lvlJc w:val="left"/>
      <w:pPr>
        <w:ind w:left="3354" w:hanging="138.00000000000045"/>
      </w:pPr>
      <w:rPr/>
    </w:lvl>
    <w:lvl w:ilvl="4">
      <w:start w:val="0"/>
      <w:numFmt w:val="bullet"/>
      <w:lvlText w:val="•"/>
      <w:lvlJc w:val="left"/>
      <w:pPr>
        <w:ind w:left="4292" w:hanging="138"/>
      </w:pPr>
      <w:rPr/>
    </w:lvl>
    <w:lvl w:ilvl="5">
      <w:start w:val="0"/>
      <w:numFmt w:val="bullet"/>
      <w:lvlText w:val="•"/>
      <w:lvlJc w:val="left"/>
      <w:pPr>
        <w:ind w:left="5230" w:hanging="138"/>
      </w:pPr>
      <w:rPr/>
    </w:lvl>
    <w:lvl w:ilvl="6">
      <w:start w:val="0"/>
      <w:numFmt w:val="bullet"/>
      <w:lvlText w:val="•"/>
      <w:lvlJc w:val="left"/>
      <w:pPr>
        <w:ind w:left="6168" w:hanging="138"/>
      </w:pPr>
      <w:rPr/>
    </w:lvl>
    <w:lvl w:ilvl="7">
      <w:start w:val="0"/>
      <w:numFmt w:val="bullet"/>
      <w:lvlText w:val="•"/>
      <w:lvlJc w:val="left"/>
      <w:pPr>
        <w:ind w:left="7107" w:hanging="137.9999999999991"/>
      </w:pPr>
      <w:rPr/>
    </w:lvl>
    <w:lvl w:ilvl="8">
      <w:start w:val="0"/>
      <w:numFmt w:val="bullet"/>
      <w:lvlText w:val="•"/>
      <w:lvlJc w:val="left"/>
      <w:pPr>
        <w:ind w:left="8045" w:hanging="138"/>
      </w:pPr>
      <w:rPr/>
    </w:lvl>
  </w:abstractNum>
  <w:abstractNum w:abstractNumId="3">
    <w:lvl w:ilvl="0">
      <w:start w:val="0"/>
      <w:numFmt w:val="bullet"/>
      <w:lvlText w:val="•"/>
      <w:lvlJc w:val="left"/>
      <w:pPr>
        <w:ind w:left="541" w:hanging="139"/>
      </w:pPr>
      <w:rPr>
        <w:rFonts w:ascii="Arial" w:cs="Arial" w:eastAsia="Arial" w:hAnsi="Arial"/>
        <w:b w:val="0"/>
        <w:bCs w:val="0"/>
        <w:i w:val="0"/>
        <w:iCs w:val="0"/>
        <w:color w:val="2b3d4f"/>
        <w:sz w:val="22"/>
        <w:szCs w:val="22"/>
      </w:rPr>
    </w:lvl>
    <w:lvl w:ilvl="1">
      <w:start w:val="0"/>
      <w:numFmt w:val="bullet"/>
      <w:lvlText w:val="•"/>
      <w:lvlJc w:val="left"/>
      <w:pPr>
        <w:ind w:left="1478" w:hanging="139"/>
      </w:pPr>
      <w:rPr/>
    </w:lvl>
    <w:lvl w:ilvl="2">
      <w:start w:val="0"/>
      <w:numFmt w:val="bullet"/>
      <w:lvlText w:val="•"/>
      <w:lvlJc w:val="left"/>
      <w:pPr>
        <w:ind w:left="2416" w:hanging="139"/>
      </w:pPr>
      <w:rPr/>
    </w:lvl>
    <w:lvl w:ilvl="3">
      <w:start w:val="0"/>
      <w:numFmt w:val="bullet"/>
      <w:lvlText w:val="•"/>
      <w:lvlJc w:val="left"/>
      <w:pPr>
        <w:ind w:left="3354" w:hanging="139"/>
      </w:pPr>
      <w:rPr/>
    </w:lvl>
    <w:lvl w:ilvl="4">
      <w:start w:val="0"/>
      <w:numFmt w:val="bullet"/>
      <w:lvlText w:val="•"/>
      <w:lvlJc w:val="left"/>
      <w:pPr>
        <w:ind w:left="4292" w:hanging="139"/>
      </w:pPr>
      <w:rPr/>
    </w:lvl>
    <w:lvl w:ilvl="5">
      <w:start w:val="0"/>
      <w:numFmt w:val="bullet"/>
      <w:lvlText w:val="•"/>
      <w:lvlJc w:val="left"/>
      <w:pPr>
        <w:ind w:left="5230" w:hanging="139"/>
      </w:pPr>
      <w:rPr/>
    </w:lvl>
    <w:lvl w:ilvl="6">
      <w:start w:val="0"/>
      <w:numFmt w:val="bullet"/>
      <w:lvlText w:val="•"/>
      <w:lvlJc w:val="left"/>
      <w:pPr>
        <w:ind w:left="6168" w:hanging="139"/>
      </w:pPr>
      <w:rPr/>
    </w:lvl>
    <w:lvl w:ilvl="7">
      <w:start w:val="0"/>
      <w:numFmt w:val="bullet"/>
      <w:lvlText w:val="•"/>
      <w:lvlJc w:val="left"/>
      <w:pPr>
        <w:ind w:left="7107" w:hanging="138.9999999999991"/>
      </w:pPr>
      <w:rPr/>
    </w:lvl>
    <w:lvl w:ilvl="8">
      <w:start w:val="0"/>
      <w:numFmt w:val="bullet"/>
      <w:lvlText w:val="•"/>
      <w:lvlJc w:val="left"/>
      <w:pPr>
        <w:ind w:left="8045" w:hanging="139"/>
      </w:pPr>
      <w:rPr/>
    </w:lvl>
  </w:abstractNum>
  <w:abstractNum w:abstractNumId="4">
    <w:lvl w:ilvl="0">
      <w:start w:val="1"/>
      <w:numFmt w:val="decimal"/>
      <w:lvlText w:val="%1."/>
      <w:lvlJc w:val="left"/>
      <w:pPr>
        <w:ind w:left="475" w:hanging="334"/>
      </w:pPr>
      <w:rPr>
        <w:rFonts w:ascii="Arial" w:cs="Arial" w:eastAsia="Arial" w:hAnsi="Arial"/>
        <w:b w:val="1"/>
        <w:bCs w:val="1"/>
        <w:i w:val="0"/>
        <w:iCs w:val="0"/>
        <w:color w:val="bf382a"/>
        <w:sz w:val="30"/>
        <w:szCs w:val="30"/>
      </w:rPr>
    </w:lvl>
    <w:lvl w:ilvl="1">
      <w:start w:val="1"/>
      <w:numFmt w:val="decimal"/>
      <w:lvlText w:val="%1.%2"/>
      <w:lvlJc w:val="left"/>
      <w:pPr>
        <w:ind w:left="662" w:hanging="401"/>
      </w:pPr>
      <w:rPr>
        <w:rFonts w:ascii="Arial" w:cs="Arial" w:eastAsia="Arial" w:hAnsi="Arial"/>
        <w:b w:val="1"/>
        <w:bCs w:val="1"/>
        <w:i w:val="0"/>
        <w:iCs w:val="0"/>
        <w:color w:val="2b3d4f"/>
        <w:sz w:val="24"/>
        <w:szCs w:val="24"/>
      </w:rPr>
    </w:lvl>
    <w:lvl w:ilvl="2">
      <w:start w:val="0"/>
      <w:numFmt w:val="bullet"/>
      <w:lvlText w:val="•"/>
      <w:lvlJc w:val="left"/>
      <w:pPr>
        <w:ind w:left="541" w:hanging="139"/>
      </w:pPr>
      <w:rPr>
        <w:rFonts w:ascii="Arial" w:cs="Arial" w:eastAsia="Arial" w:hAnsi="Arial"/>
        <w:b w:val="0"/>
        <w:bCs w:val="0"/>
        <w:i w:val="0"/>
        <w:iCs w:val="0"/>
        <w:color w:val="2b3d4f"/>
        <w:sz w:val="22"/>
        <w:szCs w:val="22"/>
      </w:rPr>
    </w:lvl>
    <w:lvl w:ilvl="3">
      <w:start w:val="0"/>
      <w:numFmt w:val="bullet"/>
      <w:lvlText w:val="•"/>
      <w:lvlJc w:val="left"/>
      <w:pPr>
        <w:ind w:left="1817" w:hanging="139.00000000000023"/>
      </w:pPr>
      <w:rPr/>
    </w:lvl>
    <w:lvl w:ilvl="4">
      <w:start w:val="0"/>
      <w:numFmt w:val="bullet"/>
      <w:lvlText w:val="•"/>
      <w:lvlJc w:val="left"/>
      <w:pPr>
        <w:ind w:left="2975" w:hanging="139"/>
      </w:pPr>
      <w:rPr/>
    </w:lvl>
    <w:lvl w:ilvl="5">
      <w:start w:val="0"/>
      <w:numFmt w:val="bullet"/>
      <w:lvlText w:val="•"/>
      <w:lvlJc w:val="left"/>
      <w:pPr>
        <w:ind w:left="4133" w:hanging="138.99999999999955"/>
      </w:pPr>
      <w:rPr/>
    </w:lvl>
    <w:lvl w:ilvl="6">
      <w:start w:val="0"/>
      <w:numFmt w:val="bullet"/>
      <w:lvlText w:val="•"/>
      <w:lvlJc w:val="left"/>
      <w:pPr>
        <w:ind w:left="5290" w:hanging="139"/>
      </w:pPr>
      <w:rPr/>
    </w:lvl>
    <w:lvl w:ilvl="7">
      <w:start w:val="0"/>
      <w:numFmt w:val="bullet"/>
      <w:lvlText w:val="•"/>
      <w:lvlJc w:val="left"/>
      <w:pPr>
        <w:ind w:left="6448" w:hanging="139"/>
      </w:pPr>
      <w:rPr/>
    </w:lvl>
    <w:lvl w:ilvl="8">
      <w:start w:val="0"/>
      <w:numFmt w:val="bullet"/>
      <w:lvlText w:val="•"/>
      <w:lvlJc w:val="left"/>
      <w:pPr>
        <w:ind w:left="7606" w:hanging="13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20" w:right="819"/>
      <w:jc w:val="center"/>
    </w:pPr>
    <w:rPr>
      <w:rFonts w:ascii="Arial" w:cs="Arial" w:eastAsia="Arial" w:hAnsi="Arial"/>
      <w:b w:val="1"/>
      <w:bCs w:val="1"/>
      <w:sz w:val="44"/>
      <w:szCs w:val="44"/>
    </w:rPr>
  </w:style>
  <w:style w:type="paragraph" w:styleId="Heading2">
    <w:name w:val="heading 2"/>
    <w:basedOn w:val="Normal"/>
    <w:next w:val="Normal"/>
    <w:pPr>
      <w:spacing w:before="64" w:lineRule="auto"/>
      <w:ind w:left="594" w:hanging="333"/>
    </w:pPr>
    <w:rPr>
      <w:rFonts w:ascii="Arial" w:cs="Arial" w:eastAsia="Arial" w:hAnsi="Arial"/>
      <w:b w:val="1"/>
      <w:bCs w:val="1"/>
      <w:sz w:val="30"/>
      <w:szCs w:val="30"/>
    </w:rPr>
  </w:style>
  <w:style w:type="paragraph" w:styleId="Heading3">
    <w:name w:val="heading 3"/>
    <w:basedOn w:val="Normal"/>
    <w:next w:val="Normal"/>
    <w:pPr>
      <w:ind w:left="661" w:hanging="400"/>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2"/>
      <w:szCs w:val="22"/>
      <w:lang w:bidi="ar-SA" w:eastAsia="en-US" w:val="es-ES"/>
    </w:rPr>
  </w:style>
  <w:style w:type="paragraph" w:styleId="ListParagraph">
    <w:name w:val="List Paragraph"/>
    <w:basedOn w:val="Normal"/>
    <w:uiPriority w:val="1"/>
    <w:qFormat w:val="1"/>
    <w:pPr>
      <w:spacing w:before="64"/>
      <w:ind w:left="541" w:hanging="200"/>
    </w:pPr>
    <w:rPr>
      <w:rFonts w:ascii="Arial MT" w:cs="Arial MT" w:eastAsia="Arial MT" w:hAnsi="Arial MT"/>
      <w:lang w:bidi="ar-SA" w:eastAsia="en-US" w:val="es-ES"/>
    </w:rPr>
  </w:style>
  <w:style w:type="paragraph" w:styleId="TableParagraph">
    <w:name w:val="Table Paragraph"/>
    <w:basedOn w:val="Normal"/>
    <w:uiPriority w:val="1"/>
    <w:qFormat w:val="1"/>
    <w:pPr>
      <w:spacing w:before="86"/>
    </w:pPr>
    <w:rPr>
      <w:rFonts w:ascii="Arial MT" w:cs="Arial MT" w:eastAsia="Arial MT" w:hAnsi="Arial MT"/>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Y8wkpUlTWDX9FHvObqKyMQ1A==">CgMxLjAaHQoBMBIYChYIB0ISEhBBcmlhbCBVbmljb2RlIE1TGh0KATESGAoWCAdCEhIQQXJpYWwgVW5pY29kZSBNUzgAciExb1JTN1JaUGgtR25mQV9iUTJUcFVteU9mMlZCSEw4Zzk=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2026-03-29T14:02:57Z</dcterms:created>
  <dc:creator>Grupo 3 - Diplomado en Ciencia de Datos UTN 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(unspecified)</vt:lpwstr>
  </property>
  <property fmtid="{D5CDD505-2E9C-101B-9397-08002B2CF9AE}" pid="4" name="LastSaved">
    <vt:filetime>2026-03-29T00:00:00Z</vt:filetime>
  </property>
  <property fmtid="{D5CDD505-2E9C-101B-9397-08002B2CF9AE}" pid="5" name="Producer">
    <vt:lpwstr>ReportLab PDF Library - (opensource)</vt:lpwstr>
  </property>
</Properties>
</file>