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angchain-开发流程"/>
    <w:p>
      <w:pPr>
        <w:pStyle w:val="1"/>
      </w:pPr>
      <w:r>
        <w:t xml:space="preserve">1.4.1 Langchain 开发流程</w:t>
      </w:r>
    </w:p>
    <w:bookmarkEnd w:id="20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2023-07-17T04:43:16Z</dcterms:created>
  <dcterms:modified xsi:type="dcterms:W3CDTF">2023-07-17T04:43:16Z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