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文本嵌入模型概览"/>
    <w:p>
      <w:pPr>
        <w:pStyle w:val="1"/>
      </w:pPr>
      <w:r>
        <w:t xml:space="preserve">文本嵌入模型概览</w:t>
      </w:r>
    </w:p>
    <w:p>
      <w:pPr>
        <w:pStyle w:val="FirstParagraph"/>
      </w:pPr>
      <w:r>
        <w:t xml:space="preserve">文本嵌入模型，如其名称所示，是用于处理文本信息的一种重要工具。具体而言，</w:t>
      </w:r>
      <w:r>
        <w:rPr>
          <w:rStyle w:val="VerbatimChar"/>
        </w:rPr>
        <w:t xml:space="preserve">Embeddings</w:t>
      </w:r>
      <w:r>
        <w:t xml:space="preserve">类是专门设计用来与文本嵌入模型交互的类。目前，有许多嵌入模型提供商（如OpenAI、Cohere、Hugging Face等），而此类旨在为所有这些供应商提供一个标准的接口。</w:t>
      </w:r>
    </w:p>
    <w:p>
      <w:pPr>
        <w:pStyle w:val="affff8"/>
      </w:pPr>
      <w:r>
        <w:t xml:space="preserve">文本嵌入模型的核心工作就是为一段文本创建一个向量表示。这非常有用，因为我们可以在向量空间中思考文本，以及执行如语义搜索这样的操作，即在向量空间中寻找最相似的文本片段。</w:t>
      </w:r>
    </w:p>
    <w:p>
      <w:pPr>
        <w:pStyle w:val="affff8"/>
      </w:pPr>
      <w:r>
        <w:t xml:space="preserve">在LangChain中，基础的</w:t>
      </w:r>
      <w:r>
        <w:rPr>
          <w:rStyle w:val="VerbatimChar"/>
        </w:rPr>
        <w:t xml:space="preserve">Embeddings</w:t>
      </w:r>
      <w:r>
        <w:t xml:space="preserve">类暴露了两种方法：一种用于嵌入文档，另一种用于嵌入查询。前者接收多个文本作为输入，而后者接收单个文本。之所以要将这两种方法区分开来，是因为一些嵌入供应商对于文档（要搜索的对象）与查询（搜索查询本身）有不同的嵌入方法。</w:t>
      </w:r>
    </w:p>
    <w:bookmarkEnd w:id="20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2023-07-17T04:43:42Z</dcterms:created>
  <dcterms:modified xsi:type="dcterms:W3CDTF">2023-07-17T04:43:42Z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