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sz w:val="52"/>
          <w:szCs w:val="52"/>
          <w:rtl w:val="0"/>
        </w:rPr>
        <w:t xml:space="preserve"> ELISA Proposal for Aerospace Working 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02460" cy="749300"/>
            <wp:effectExtent b="0" l="0" r="0" t="0"/>
            <wp:wrapSquare wrapText="bothSides" distB="0" distT="0" distL="114300" distR="114300"/>
            <wp:docPr descr="ELISA" id="1" name="image1.png"/>
            <a:graphic>
              <a:graphicData uri="http://schemas.openxmlformats.org/drawingml/2006/picture">
                <pic:pic>
                  <pic:nvPicPr>
                    <pic:cNvPr descr="ELIS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Proposed Working Group Name: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rtl w:val="0"/>
        </w:rPr>
        <w:t xml:space="preserve">Aerospace Working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Proposed WG Chair: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Steven H. VanderLeest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Proposed Meeting Schedule: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Every two weeks on Wednesday at 16:00 CEST / 14:00 UTC / 10:00 EDT / 7:00 PDT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Proposed mission statement: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Aerospace Working Group shall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use cases to inform and influence Linux architecture and related tools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to derive technical requirements for avionics operating systems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to enhance and expand avionics software lifecycle processes, practices, and tools to enable use of Linux in avionics systems that are certified to high design assurance levels.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Goal 1: Avoid Duplication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an existing WG already addresses a common concept/need, the new WG shall not duplicate effort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Goal 2: Document Use and Cert of Open Source in Aerospace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Aerospace WG shall serve as a clearing house to document open source use in certified aerospace systems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Aerospace WG shall research methods used by known users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Goal 3: Create New Use Cases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Aerospace WG shall work towards one or more use cases that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 the unique needs of the aerospace domain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 proprietary intellectual property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realistic complexity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real-time performance 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Collaboration: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Internal: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Aerospace WG shall coordinate with the other industry-focused WGs (automotive, medical device) to avoid duplication of efforts where needs overlap; coordinate with the technical WGs by providing one or more aerospace use cases that highlight distinct aerospace needs; and work with leadership across ELISA to coordinate strategy and advocate for the legitimacy of Linux in safety-critical applications.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Aerospace WG will interact with stakeholders in the Linux ecosystem (e.g., yocto) to encourage appropriate tools are available to design, build, deliver, and assure safety-critical software. It will interact with the Xen community to evaluate opportunities to implement ARINC 653 partitioning via a hypervisor. It will interact with the aerospace community by presenting ELISA work and activities in the appropriate forums, such as aerospace and avionics conferences.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