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1" w:name="_GoBack"/>
                        <w:bookmarkEnd w:id="1"/>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p>
      <w:pPr>
        <w:spacing w:after="160"/>
      </w:pPr>
      <w:r>
        <w:rPr>
          <w:rFonts w:ascii="Calibri" w:hAnsi="Calibri"/>
          <w:b/>
          <w:sz w:val="20"/>
          <w:highlight w:val="yellow"/>
        </w:rPr>
        <w:t>BORRADOR al 13 de octubre de 2026. Este informe se completa al cierre del sprint 5 (19 de noviembre) para la entrega final de la semana 15. Lo marcado en amarillo depende del desarrollo que todavía no ocurre.</w:t>
      </w: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77777777" w:rsidR="00050706" w:rsidRPr="00B4008E" w:rsidRDefault="00050706" w:rsidP="00E42375">
            <w:pPr>
              <w:spacing w:after="80" w:before="0"/>
              <w:ind w:left="0" w:firstLine="0"/>
              <w:rPr>
                <w:b/>
              </w:rPr>
            </w:pPr>
            <w:r>
              <w:rPr>
                <w:rFonts w:ascii="Calibri" w:hAnsi="Calibri" w:eastAsia="Calibri"/>
                <w:color w:val="1A1A1A"/>
                <w:sz w:val="20"/>
              </w:rPr>
              <w:t>MATU · Sistema de continuidad del cuidado para personas mayores con dependencia</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33BA552F" w:rsidR="00050706" w:rsidRPr="00B4008E" w:rsidRDefault="00050706" w:rsidP="00050706">
            <w:pPr>
              <w:spacing w:after="80" w:before="0"/>
              <w:ind w:left="0" w:firstLine="0"/>
              <w:rPr>
                <w:b/>
              </w:rPr>
            </w:pPr>
            <w:r>
              <w:rPr>
                <w:rFonts w:ascii="Calibri" w:hAnsi="Calibri" w:eastAsia="Calibri"/>
                <w:color w:val="1A1A1A"/>
                <w:sz w:val="20"/>
              </w:rPr>
              <w:t>Desarrollo de software, gestión de proyectos informáticos, modelamiento de datos y aseguramiento de calidad. El proyecto se sitúa en el ámbito de las tecnologías aplicadas a la salud y el cuidado sociosanitario, sin constituir prestación de salud.</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366AA78" w14:textId="433C129D" w:rsidR="00050706" w:rsidRPr="00B4008E" w:rsidRDefault="00050706" w:rsidP="00050706">
            <w:pPr>
              <w:spacing w:after="80" w:before="0"/>
              <w:ind w:left="0" w:firstLine="0"/>
              <w:rPr>
                <w:b/>
              </w:rPr>
            </w:pPr>
            <w:r>
              <w:rPr>
                <w:rFonts w:ascii="Calibri" w:hAnsi="Calibri" w:eastAsia="Calibri"/>
                <w:color w:val="1A1A1A"/>
                <w:sz w:val="20"/>
              </w:rPr>
              <w:t>El proyecto aborda las seis competencias del perfil de egreso de Ingeniería en Informática:</w:t>
            </w:r>
          </w:p>
          <w:p>
            <w:pPr>
              <w:spacing w:after="80" w:before="0"/>
              <w:ind w:left="0" w:firstLine="0"/>
            </w:pPr>
            <w:r>
              <w:rPr>
                <w:rFonts w:ascii="Calibri" w:hAnsi="Calibri" w:eastAsia="Calibri"/>
                <w:color w:val="1A1A1A"/>
                <w:sz w:val="20"/>
              </w:rPr>
              <w:t>1. Diseñar y generar soluciones de software innovadoras y de calidad, aplicando el ciclo de vida de éste, según las características del proyecto, las mejores prácticas de la industria y sus estándares de calidad.</w:t>
            </w:r>
          </w:p>
          <w:p>
            <w:pPr>
              <w:spacing w:after="80" w:before="0"/>
              <w:ind w:left="0" w:firstLine="0"/>
            </w:pPr>
            <w:r>
              <w:rPr>
                <w:rFonts w:ascii="Calibri" w:hAnsi="Calibri" w:eastAsia="Calibri"/>
                <w:color w:val="1A1A1A"/>
                <w:sz w:val="20"/>
              </w:rPr>
              <w:t>2. Diseñar y generar soluciones que permitan resolver los requerimientos de información en el contexto de las organizaciones, considerando bases de datos relacionales y no relacionales.</w:t>
            </w:r>
          </w:p>
          <w:p>
            <w:pPr>
              <w:spacing w:after="80" w:before="0"/>
              <w:ind w:left="0" w:firstLine="0"/>
            </w:pPr>
            <w:r>
              <w:rPr>
                <w:rFonts w:ascii="Calibri" w:hAnsi="Calibri" w:eastAsia="Calibri"/>
                <w:color w:val="1A1A1A"/>
                <w:sz w:val="20"/>
              </w:rPr>
              <w:t>3. Diseñar y adaptar los procesos de ingeniería de requisitos, a través del uso de metodologías de vanguardia y estándares de la industria, para el desarrollo de soluciones TI complejas, innovadoras y de calidad.</w:t>
            </w:r>
          </w:p>
          <w:p>
            <w:pPr>
              <w:spacing w:after="80" w:before="0"/>
              <w:ind w:left="0" w:firstLine="0"/>
            </w:pPr>
            <w:r>
              <w:rPr>
                <w:rFonts w:ascii="Calibri" w:hAnsi="Calibri" w:eastAsia="Calibri"/>
                <w:color w:val="1A1A1A"/>
                <w:sz w:val="20"/>
              </w:rPr>
              <w:t>4. 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pPr>
              <w:spacing w:after="80" w:before="0"/>
              <w:ind w:left="0" w:firstLine="0"/>
            </w:pPr>
            <w:r>
              <w:rPr>
                <w:rFonts w:ascii="Calibri" w:hAnsi="Calibri" w:eastAsia="Calibri"/>
                <w:color w:val="1A1A1A"/>
                <w:sz w:val="20"/>
              </w:rPr>
              <w:t>5. Diseñar soluciones de software, abarcando todo el ciclo de vida de éste, de acuerdo a estándares, marcos de trabajo y regulatorios, tecnologías y metodologías que promueven la innovación, con foco en la calidad, seguridad y sostenibilidad del proyecto.</w:t>
            </w:r>
          </w:p>
          <w:p>
            <w:pPr>
              <w:spacing w:after="80" w:before="0"/>
              <w:ind w:left="0" w:firstLine="0"/>
            </w:pPr>
            <w:r>
              <w:rPr>
                <w:rFonts w:ascii="Calibri" w:hAnsi="Calibri" w:eastAsia="Calibri"/>
                <w:color w:val="1A1A1A"/>
                <w:sz w:val="20"/>
              </w:rPr>
              <w:t>6. Desarrollar proyectos de software innovadores para plataformas y dispositivos móviles, por medio de marcos de trabajo, herramientas de desarrollo, lenguajes de programación y buenas prácticas de la industria del desarrollo de software.</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5FB7F71E" w14:textId="09D9C45D" w:rsidR="00B4008E" w:rsidRPr="00B340E1" w:rsidRDefault="00B4008E" w:rsidP="00B340E1">
            <w:pPr>
              <w:pStyle w:val="paragraph"/>
              <w:spacing w:before="80" w:beforeAutospacing="0" w:after="80" w:afterAutospacing="0"/>
              <w:ind w:left="0" w:firstLine="0"/>
              <w:jc w:val="left"/>
              <w:textAlignment w:val="baseline"/>
              <w:rPr>
                <w:rFonts w:ascii="Segoe UI" w:hAnsi="Segoe UI" w:cs="Segoe UI"/>
                <w:color w:val="0070C0"/>
                <w:sz w:val="18"/>
                <w:szCs w:val="18"/>
              </w:rPr>
            </w:pPr>
            <w:r>
              <w:rPr>
                <w:rFonts w:ascii="Calibri" w:hAnsi="Calibri" w:eastAsia="Calibri"/>
                <w:b/>
                <w:color w:val="1F3864"/>
                <w:sz w:val="18"/>
              </w:rPr>
              <w:t>El problema</w:t>
            </w:r>
          </w:p>
          <w:p>
            <w:pPr>
              <w:pStyle w:val="paragraph"/>
              <w:spacing w:after="80" w:before="0"/>
              <w:ind w:left="0" w:firstLine="0"/>
              <w:jc w:val="left"/>
            </w:pPr>
            <w:r>
              <w:rPr>
                <w:rFonts w:ascii="Calibri" w:hAnsi="Calibri" w:eastAsia="Calibri"/>
                <w:color w:val="1A1A1A"/>
                <w:sz w:val="18"/>
              </w:rPr>
              <w:t>En Chile el cuidado de personas mayores dependientes lo sostienen familias, sin pago y sin herramientas. Según la ENDIDE 2022, 1.498.977 personas adultas viven en situación de dependencia, el 96,4% de los cuidadores del hogar no recibe remuneración, el 69,9% son mujeres y el 37,9% tiene 60 años o más. El cuidado tiene dos problemas que son uno solo: el conocimiento de cómo se cuida a alguien vive en una sola cabeza, y el abastecimiento de insumos se lleva de memoria. Por eso quien cuida no puede ausentarse.</w:t>
            </w:r>
          </w:p>
          <w:p>
            <w:pPr>
              <w:pStyle w:val="paragraph"/>
              <w:spacing w:after="80" w:before="80"/>
              <w:ind w:left="0" w:firstLine="0"/>
              <w:jc w:val="left"/>
            </w:pPr>
            <w:r>
              <w:rPr>
                <w:rFonts w:ascii="Calibri" w:hAnsi="Calibri" w:eastAsia="Calibri"/>
                <w:b/>
                <w:color w:val="1F3864"/>
                <w:sz w:val="18"/>
              </w:rPr>
              <w:t>Relevancia para la informática</w:t>
            </w:r>
          </w:p>
          <w:p>
            <w:pPr>
              <w:pStyle w:val="paragraph"/>
              <w:spacing w:after="80" w:before="0"/>
              <w:ind w:left="0" w:firstLine="0"/>
              <w:jc w:val="left"/>
            </w:pPr>
            <w:r>
              <w:rPr>
                <w:rFonts w:ascii="Calibri" w:hAnsi="Calibri" w:eastAsia="Calibri"/>
                <w:color w:val="1A1A1A"/>
                <w:sz w:val="18"/>
              </w:rPr>
              <w:t>Es un problema de información antes que de salud. Modelar el conocimiento del cuidado, predecir el consumo que se desprende de él y proteger datos sensibles de personas que no siempre pueden consentir por sí mismas son tareas de modelamiento de datos, diseño de software y cumplimiento normativo, en particular de la Ley 21.719, que entra en plena vigencia el 1 de diciembre de 2026.</w:t>
            </w:r>
          </w:p>
          <w:p>
            <w:pPr>
              <w:pStyle w:val="paragraph"/>
              <w:spacing w:after="80" w:before="80"/>
              <w:ind w:left="0" w:firstLine="0"/>
              <w:jc w:val="left"/>
            </w:pPr>
            <w:r>
              <w:rPr>
                <w:rFonts w:ascii="Calibri" w:hAnsi="Calibri" w:eastAsia="Calibri"/>
                <w:b/>
                <w:color w:val="1F3864"/>
                <w:sz w:val="18"/>
              </w:rPr>
              <w:t>Dónde y a quiénes</w:t>
            </w:r>
          </w:p>
          <w:p>
            <w:pPr>
              <w:pStyle w:val="paragraph"/>
              <w:spacing w:after="80" w:before="0"/>
              <w:ind w:left="0" w:firstLine="0"/>
              <w:jc w:val="left"/>
            </w:pPr>
            <w:r>
              <w:rPr>
                <w:rFonts w:ascii="Calibri" w:hAnsi="Calibri" w:eastAsia="Calibri"/>
                <w:color w:val="1A1A1A"/>
                <w:sz w:val="18"/>
              </w:rPr>
              <w:t>Chile, Región Metropolitana. El usuario central es la cuidadora principal familiar, mayoritariamente mujer y con frecuencia mayor de 60 años. Impacta también al círculo familiar, a los cuidadores de relevo y a la persona cuidada, titular de los datos.</w:t>
            </w:r>
          </w:p>
          <w:p>
            <w:pPr>
              <w:pStyle w:val="paragraph"/>
              <w:spacing w:after="80" w:before="80"/>
              <w:ind w:left="0" w:firstLine="0"/>
              <w:jc w:val="left"/>
            </w:pPr>
            <w:r>
              <w:rPr>
                <w:rFonts w:ascii="Calibri" w:hAnsi="Calibri" w:eastAsia="Calibri"/>
                <w:b/>
                <w:color w:val="1F3864"/>
                <w:sz w:val="18"/>
              </w:rPr>
              <w:t>Evidencia primaria</w:t>
            </w:r>
          </w:p>
          <w:p>
            <w:pPr>
              <w:pStyle w:val="paragraph"/>
              <w:spacing w:after="80" w:before="0"/>
              <w:ind w:left="0" w:firstLine="0"/>
              <w:jc w:val="left"/>
            </w:pPr>
            <w:r>
              <w:rPr>
                <w:rFonts w:ascii="Calibri" w:hAnsi="Calibri" w:eastAsia="Calibri"/>
                <w:color w:val="1A1A1A"/>
                <w:sz w:val="18"/>
              </w:rPr>
              <w:t>Diez entrevistas con criterios fijados antes de entrevistar mostraron que siete de diez cuidadoras tuvieron un relevo en tres meses y seis de nueve relevos fallaron por conocimiento que solo tenía la cuidadora, que nueve de diez dejaron de salir, y que seis de diez sufrieron un quiebre de insumos.</w:t>
            </w:r>
          </w:p>
          <w:p>
            <w:pPr>
              <w:pStyle w:val="paragraph"/>
              <w:spacing w:after="80" w:before="80"/>
              <w:ind w:left="0" w:firstLine="0"/>
              <w:jc w:val="left"/>
            </w:pPr>
            <w:r>
              <w:rPr>
                <w:rFonts w:ascii="Calibri" w:hAnsi="Calibri" w:eastAsia="Calibri"/>
                <w:b/>
                <w:color w:val="1F3864"/>
                <w:sz w:val="18"/>
              </w:rPr>
              <w:t>Aporte de valor</w:t>
            </w:r>
          </w:p>
          <w:p>
            <w:pPr>
              <w:pStyle w:val="paragraph"/>
              <w:spacing w:after="80" w:before="0"/>
              <w:ind w:left="0" w:firstLine="0"/>
              <w:jc w:val="left"/>
            </w:pPr>
            <w:r>
              <w:rPr>
                <w:rFonts w:ascii="Calibri" w:hAnsi="Calibri" w:eastAsia="Calibri"/>
                <w:color w:val="1A1A1A"/>
                <w:sz w:val="18"/>
              </w:rPr>
              <w:t xml:space="preserve">Que una cuidadora pueda delegar el cuidado por unas horas con una ficha de relevo de tres campos que comparte por un enlace acotado y revocable, y que el sistema avise antes de que se acabe un insumo. </w:t>
            </w:r>
            <w:r>
              <w:rPr>
                <w:rFonts w:ascii="Calibri" w:hAnsi="Calibri" w:eastAsia="Calibri"/>
                <w:b/>
                <w:color w:val="1A1A1A"/>
                <w:sz w:val="18"/>
                <w:highlight w:val="yellow"/>
              </w:rPr>
              <w:t>[Completar con el aporte demostrado: resultado de las pruebas de usabilidad y de la demostración final]</w:t>
            </w:r>
            <w:r>
              <w:rPr>
                <w:rFonts w:ascii="Calibri" w:hAnsi="Calibri" w:eastAsia="Calibri"/>
                <w:color w:val="1A1A1A"/>
                <w:sz w:val="18"/>
              </w:rPr>
              <w:t>.</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62E9D30F" w14:textId="77777777" w:rsidR="001202BF" w:rsidRPr="00B340E1" w:rsidRDefault="001202BF" w:rsidP="001202BF">
            <w:pPr>
              <w:pStyle w:val="Prrafodelista"/>
              <w:spacing w:after="80" w:line="240" w:lineRule="auto" w:before="80"/>
              <w:ind w:left="0" w:firstLine="0"/>
              <w:jc w:val="left"/>
              <w:rPr>
                <w:rFonts w:ascii="Calibri" w:hAnsi="Calibri" w:cs="Arial"/>
                <w:i/>
                <w:color w:val="0070C0"/>
                <w:sz w:val="18"/>
                <w:szCs w:val="20"/>
                <w:lang w:eastAsia="es-CL"/>
              </w:rPr>
            </w:pPr>
            <w:r>
              <w:rPr>
                <w:rFonts w:ascii="Calibri" w:hAnsi="Calibri" w:eastAsia="Calibri"/>
                <w:b/>
                <w:color w:val="1F3864"/>
                <w:sz w:val="18"/>
              </w:rPr>
              <w:t>Objetivo general</w:t>
            </w:r>
          </w:p>
          <w:p>
            <w:pPr>
              <w:pStyle w:val="Prrafodelista"/>
              <w:spacing w:after="80" w:before="0"/>
              <w:ind w:left="0" w:firstLine="0"/>
              <w:jc w:val="left"/>
            </w:pPr>
            <w:r>
              <w:rPr>
                <w:rFonts w:ascii="Calibri" w:hAnsi="Calibri" w:eastAsia="Calibri"/>
                <w:color w:val="1A1A1A"/>
                <w:sz w:val="18"/>
              </w:rPr>
              <w:t>Desarrollar una plataforma informática que convierta el plan de cuidado de una persona mayor en situación de dependencia en una predicción de quiebre de sus insumos y coordine su reposición y pago, desplegada y operativa en un entorno de demostración al término del semestre 2026-2.</w:t>
            </w:r>
          </w:p>
          <w:p>
            <w:pPr>
              <w:pStyle w:val="Prrafodelista"/>
              <w:spacing w:after="80" w:before="80"/>
              <w:ind w:left="0" w:firstLine="0"/>
              <w:jc w:val="left"/>
            </w:pPr>
            <w:r>
              <w:rPr>
                <w:rFonts w:ascii="Calibri" w:hAnsi="Calibri" w:eastAsia="Calibri"/>
                <w:b/>
                <w:color w:val="1F3864"/>
                <w:sz w:val="18"/>
              </w:rPr>
              <w:t>Objetivos específicos y su estado</w:t>
            </w:r>
          </w:p>
          <w:p>
            <w:pPr>
              <w:pStyle w:val="Prrafodelista"/>
              <w:spacing w:after="80" w:before="0"/>
              <w:ind w:left="0" w:firstLine="0"/>
              <w:jc w:val="left"/>
            </w:pPr>
            <w:r>
              <w:rPr>
                <w:rFonts w:ascii="Calibri" w:hAnsi="Calibri" w:eastAsia="Calibri"/>
                <w:color w:val="1A1A1A"/>
                <w:sz w:val="18"/>
              </w:rPr>
              <w:t xml:space="preserve">1. Validar las siete hipótesis del problema con diez entrevistas y criterios de falsación fijados antes de entrevistar. </w:t>
            </w:r>
            <w:r>
              <w:rPr>
                <w:rFonts w:ascii="Calibri" w:hAnsi="Calibri" w:eastAsia="Calibri"/>
                <w:b/>
                <w:color w:val="1A1A1A"/>
                <w:sz w:val="18"/>
              </w:rPr>
              <w:t>Cumplido en la Fase 1.</w:t>
            </w:r>
          </w:p>
          <w:p>
            <w:pPr>
              <w:pStyle w:val="Prrafodelista"/>
              <w:spacing w:after="80" w:before="0"/>
              <w:ind w:left="0" w:firstLine="0"/>
              <w:jc w:val="left"/>
            </w:pPr>
            <w:r>
              <w:rPr>
                <w:rFonts w:ascii="Calibri" w:hAnsi="Calibri" w:eastAsia="Calibri"/>
                <w:color w:val="1A1A1A"/>
                <w:sz w:val="18"/>
              </w:rPr>
              <w:t xml:space="preserve">2. Implementar un modelo de datos multi-tenant con Row Level Security forzado, verificado por pruebas de aislamiento contra una base de datos real. </w:t>
            </w:r>
            <w:r>
              <w:rPr>
                <w:rFonts w:ascii="Calibri" w:hAnsi="Calibri" w:eastAsia="Calibri"/>
                <w:b/>
                <w:color w:val="1A1A1A"/>
                <w:sz w:val="18"/>
              </w:rPr>
              <w:t>Cumplido en el sprint 0, con 31 pruebas.</w:t>
            </w:r>
          </w:p>
          <w:p>
            <w:pPr>
              <w:pStyle w:val="Prrafodelista"/>
              <w:spacing w:after="80" w:before="0"/>
              <w:ind w:left="0" w:firstLine="0"/>
              <w:jc w:val="left"/>
            </w:pPr>
            <w:r>
              <w:rPr>
                <w:rFonts w:ascii="Calibri" w:hAnsi="Calibri" w:eastAsia="Calibri"/>
                <w:color w:val="1A1A1A"/>
                <w:sz w:val="18"/>
              </w:rPr>
              <w:t xml:space="preserve">3. Construir el plan de cuidado con acceso de relevo temporal y revocable, auditoría de todo acceso y borrado criptográfico conforme a la Ley 21.719, al 29 de octubre. </w:t>
            </w:r>
            <w:r>
              <w:rPr>
                <w:rFonts w:ascii="Calibri" w:hAnsi="Calibri" w:eastAsia="Calibri"/>
                <w:b/>
                <w:color w:val="1A1A1A"/>
                <w:sz w:val="18"/>
                <w:highlight w:val="yellow"/>
              </w:rPr>
              <w:t>[Estado final]</w:t>
            </w:r>
          </w:p>
          <w:p>
            <w:pPr>
              <w:pStyle w:val="Prrafodelista"/>
              <w:spacing w:after="80" w:before="0"/>
              <w:ind w:left="0" w:firstLine="0"/>
              <w:jc w:val="left"/>
            </w:pPr>
            <w:r>
              <w:rPr>
                <w:rFonts w:ascii="Calibri" w:hAnsi="Calibri" w:eastAsia="Calibri"/>
                <w:color w:val="1A1A1A"/>
                <w:sz w:val="18"/>
              </w:rPr>
              <w:t xml:space="preserve">4. Implementar el cálculo de fecha de quiebre y la alerta anticipada por insumo, con ocho pruebas de dominio en verde, al 5 de noviembre. </w:t>
            </w:r>
            <w:r>
              <w:rPr>
                <w:rFonts w:ascii="Calibri" w:hAnsi="Calibri" w:eastAsia="Calibri"/>
                <w:b/>
                <w:color w:val="1A1A1A"/>
                <w:sz w:val="18"/>
                <w:highlight w:val="yellow"/>
              </w:rPr>
              <w:t>[Estado final]</w:t>
            </w:r>
          </w:p>
          <w:p>
            <w:pPr>
              <w:pStyle w:val="Prrafodelista"/>
              <w:spacing w:after="80" w:before="0"/>
              <w:ind w:left="0" w:firstLine="0"/>
              <w:jc w:val="left"/>
            </w:pPr>
            <w:r>
              <w:rPr>
                <w:rFonts w:ascii="Calibri" w:hAnsi="Calibri" w:eastAsia="Calibri"/>
                <w:color w:val="1A1A1A"/>
                <w:sz w:val="18"/>
              </w:rPr>
              <w:t xml:space="preserve">5. Entregar la lista de reposición exportable como documento y como enlace compartible, operativa sin convenio comercial, al 12 de noviembre. </w:t>
            </w:r>
            <w:r>
              <w:rPr>
                <w:rFonts w:ascii="Calibri" w:hAnsi="Calibri" w:eastAsia="Calibri"/>
                <w:b/>
                <w:color w:val="1A1A1A"/>
                <w:sz w:val="18"/>
                <w:highlight w:val="yellow"/>
              </w:rPr>
              <w:t>[Estado final]</w:t>
            </w:r>
          </w:p>
          <w:p>
            <w:pPr>
              <w:pStyle w:val="Prrafodelista"/>
              <w:spacing w:after="80" w:before="0"/>
              <w:ind w:left="0" w:firstLine="0"/>
              <w:jc w:val="left"/>
            </w:pPr>
            <w:r>
              <w:rPr>
                <w:rFonts w:ascii="Calibri" w:hAnsi="Calibri" w:eastAsia="Calibri"/>
                <w:color w:val="1A1A1A"/>
                <w:sz w:val="18"/>
              </w:rPr>
              <w:t xml:space="preserve">6. Construir el flujo de pedido con autorización diferida y captura por el monto real, con los siete casos obligatorios del flujo de pago en verde, al 12 de noviembre. </w:t>
            </w:r>
            <w:r>
              <w:rPr>
                <w:rFonts w:ascii="Calibri" w:hAnsi="Calibri" w:eastAsia="Calibri"/>
                <w:b/>
                <w:color w:val="1A1A1A"/>
                <w:sz w:val="18"/>
                <w:highlight w:val="yellow"/>
              </w:rPr>
              <w:t>[Estado final]</w:t>
            </w:r>
          </w:p>
          <w:p>
            <w:pPr>
              <w:pStyle w:val="Prrafodelista"/>
              <w:spacing w:after="80" w:before="0"/>
              <w:ind w:left="0" w:firstLine="0"/>
              <w:jc w:val="left"/>
            </w:pPr>
            <w:r>
              <w:rPr>
                <w:rFonts w:ascii="Calibri" w:hAnsi="Calibri" w:eastAsia="Calibri"/>
                <w:color w:val="1A1A1A"/>
                <w:sz w:val="18"/>
              </w:rPr>
              <w:t xml:space="preserve">7. Desplegar el sistema en un entorno de demostración con los seis recorridos críticos operativos y el pipeline de integración continua en verde, al 19 de noviembre. </w:t>
            </w:r>
            <w:r>
              <w:rPr>
                <w:rFonts w:ascii="Calibri" w:hAnsi="Calibri" w:eastAsia="Calibri"/>
                <w:b/>
                <w:color w:val="1A1A1A"/>
                <w:sz w:val="18"/>
                <w:highlight w:val="yellow"/>
              </w:rPr>
              <w:t>[Estado final]</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2507DAEE" w14:textId="77777777" w:rsidR="001202BF" w:rsidRPr="00B340E1" w:rsidRDefault="001202BF" w:rsidP="001202BF">
            <w:pPr>
              <w:pStyle w:val="Prrafodelista"/>
              <w:spacing w:after="80" w:line="240" w:lineRule="auto" w:before="80"/>
              <w:ind w:left="0" w:firstLine="0"/>
              <w:jc w:val="left"/>
              <w:rPr>
                <w:rFonts w:ascii="Calibri" w:hAnsi="Calibri" w:cs="Arial"/>
                <w:i/>
                <w:color w:val="0070C0"/>
                <w:sz w:val="18"/>
                <w:szCs w:val="20"/>
                <w:lang w:eastAsia="es-CL"/>
              </w:rPr>
            </w:pPr>
            <w:r>
              <w:rPr>
                <w:rFonts w:ascii="Calibri" w:hAnsi="Calibri" w:eastAsia="Calibri"/>
                <w:b/>
                <w:color w:val="1F3864"/>
                <w:sz w:val="18"/>
              </w:rPr>
              <w:t>Metodología utilizada</w:t>
            </w:r>
          </w:p>
          <w:p>
            <w:pPr>
              <w:pStyle w:val="Prrafodelista"/>
              <w:spacing w:after="80" w:before="0"/>
              <w:ind w:left="0" w:firstLine="0"/>
              <w:jc w:val="left"/>
            </w:pPr>
            <w:r>
              <w:rPr>
                <w:rFonts w:ascii="Calibri" w:hAnsi="Calibri" w:eastAsia="Calibri"/>
                <w:color w:val="1A1A1A"/>
                <w:sz w:val="18"/>
              </w:rPr>
              <w:t>Scrum adaptado a un equipo de dos personas, con sprints de una semana que corren de viernes a jueves. El proyecto tuvo tres fases: definición (semanas 1 a 6), construcción (sprint 0 de preparación entre las semanas 7 y 10, y cinco sprints de desarrollo entre el 16 de octubre y el 19 de noviembre) y presentación (semanas 16 a 18, con dos sprints de reserva).</w:t>
            </w:r>
          </w:p>
          <w:p>
            <w:pPr>
              <w:pStyle w:val="Prrafodelista"/>
              <w:spacing w:after="80" w:before="0"/>
              <w:ind w:left="0" w:firstLine="0"/>
              <w:jc w:val="left"/>
            </w:pPr>
            <w:r>
              <w:rPr>
                <w:rFonts w:ascii="Calibri" w:hAnsi="Calibri" w:eastAsia="Calibri"/>
                <w:color w:val="1A1A1A"/>
                <w:sz w:val="18"/>
              </w:rPr>
              <w:t>Cada sprint parte con la planificación el viernes y cierra el jueves con una revisión que muestra un entregable verificable y una retrospectiva. El trabajo se reparte por ejes verticales: Jorge Espinoza, Product Owner, lleva el eje A (cuidado y consumo), y Martín Henríquez, Scrum Master, el eje B (identidad, dinero y operación). El avance se controla en Trello, y una historia está terminada solo si cumple la definición de terminado y el pipeline de integración continua pasa en verde.</w:t>
            </w:r>
          </w:p>
          <w:p>
            <w:pPr>
              <w:pStyle w:val="Prrafodelista"/>
              <w:spacing w:after="80" w:before="0"/>
              <w:ind w:left="0" w:firstLine="0"/>
              <w:jc w:val="left"/>
            </w:pPr>
            <w:r>
              <w:rPr>
                <w:rFonts w:ascii="Calibri" w:hAnsi="Calibri" w:eastAsia="Calibri"/>
                <w:color w:val="1A1A1A"/>
                <w:sz w:val="18"/>
              </w:rPr>
              <w:t>El desarrollo es asistido por inteligencia artificial (vibecoding), con tres controles: la definición de terminado se aplica igual al código generado, los casos de prueba de las reglas críticas los decide el equipo, y nunca se entregan datos reales ni secretos al asistente.</w:t>
            </w:r>
          </w:p>
          <w:p>
            <w:pPr>
              <w:pStyle w:val="Prrafodelista"/>
              <w:spacing w:after="80" w:before="80"/>
              <w:ind w:left="0" w:firstLine="0"/>
              <w:jc w:val="left"/>
            </w:pPr>
            <w:r>
              <w:rPr>
                <w:rFonts w:ascii="Calibri" w:hAnsi="Calibri" w:eastAsia="Calibri"/>
                <w:b/>
                <w:color w:val="1F3864"/>
                <w:sz w:val="18"/>
              </w:rPr>
              <w:t>Por qué era pertinente</w:t>
            </w:r>
          </w:p>
          <w:p>
            <w:pPr>
              <w:pStyle w:val="Prrafodelista"/>
              <w:spacing w:after="80" w:before="0"/>
              <w:ind w:left="0" w:firstLine="0"/>
              <w:jc w:val="left"/>
            </w:pPr>
            <w:r>
              <w:rPr>
                <w:rFonts w:ascii="Calibri" w:hAnsi="Calibri" w:eastAsia="Calibri"/>
                <w:color w:val="1A1A1A"/>
                <w:sz w:val="18"/>
              </w:rPr>
              <w:t xml:space="preserve">Los sprints de una semana con entregable verificable hacen visible un atraso en días y no en meses, en una ventana corta y con un equipo de dos personas sin dedicación completa. El reparto por ejes evita que una persona espere a la otra. La validación con criterios de falsación fijados de antemano permitió cambiar el producto con evidencia (ADR-023) antes de construirlo. Y el desarrollo asistido por IA, con la definición de terminado como control, permitió recuperar las tres semanas perdidas al inicio sin sacrificar la calidad. </w:t>
            </w:r>
            <w:r>
              <w:rPr>
                <w:rFonts w:ascii="Calibri" w:hAnsi="Calibri" w:eastAsia="Calibri"/>
                <w:b/>
                <w:color w:val="1A1A1A"/>
                <w:sz w:val="18"/>
                <w:highlight w:val="yellow"/>
              </w:rPr>
              <w:t>[Completar con la velocidad real medida en los sprints]</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0A39F3E2" w14:textId="6A2D2466" w:rsidR="001202BF" w:rsidRPr="00B340E1" w:rsidRDefault="001202BF" w:rsidP="001202BF">
            <w:pPr>
              <w:pStyle w:val="Prrafodelista"/>
              <w:spacing w:after="80" w:line="240" w:lineRule="auto" w:before="80"/>
              <w:ind w:left="0" w:firstLine="0"/>
              <w:jc w:val="left"/>
              <w:rPr>
                <w:rFonts w:ascii="Calibri" w:hAnsi="Calibri" w:cs="Arial"/>
                <w:i/>
                <w:color w:val="0070C0"/>
                <w:sz w:val="18"/>
                <w:szCs w:val="20"/>
                <w:lang w:eastAsia="es-CL"/>
              </w:rPr>
            </w:pPr>
            <w:r>
              <w:rPr>
                <w:rFonts w:ascii="Calibri" w:hAnsi="Calibri" w:eastAsia="Calibri"/>
                <w:b/>
                <w:color w:val="1F3864"/>
                <w:sz w:val="18"/>
              </w:rPr>
              <w:t>Etapas y actividades</w:t>
            </w:r>
          </w:p>
          <w:p>
            <w:pPr>
              <w:pStyle w:val="Prrafodelista"/>
              <w:spacing w:after="80" w:before="0"/>
              <w:ind w:left="200" w:hanging="160"/>
              <w:jc w:val="left"/>
            </w:pPr>
            <w:r>
              <w:rPr>
                <w:rFonts w:ascii="Calibri" w:hAnsi="Calibri" w:eastAsia="Calibri"/>
                <w:color w:val="1A1A1A"/>
                <w:sz w:val="18"/>
              </w:rPr>
              <w:t xml:space="preserve">– </w:t>
            </w:r>
            <w:r>
              <w:rPr>
                <w:rFonts w:ascii="Calibri" w:hAnsi="Calibri" w:eastAsia="Calibri"/>
                <w:b/>
                <w:color w:val="1A1A1A"/>
                <w:sz w:val="18"/>
              </w:rPr>
              <w:t>Definición (semanas 1 a 6).</w:t>
            </w:r>
            <w:r>
              <w:rPr>
                <w:rFonts w:ascii="Calibri" w:hAnsi="Calibri" w:eastAsia="Calibri"/>
                <w:color w:val="1A1A1A"/>
                <w:sz w:val="18"/>
              </w:rPr>
              <w:t xml:space="preserve"> Problema, arquitectura de línea base con 42 requisitos y 24 decisiones de arquitectura, prototipo navegable y validación con diez cuidadoras.</w:t>
            </w:r>
          </w:p>
          <w:p>
            <w:pPr>
              <w:pStyle w:val="Prrafodelista"/>
              <w:spacing w:after="80" w:before="0"/>
              <w:ind w:left="200" w:hanging="160"/>
              <w:jc w:val="left"/>
            </w:pPr>
            <w:r>
              <w:rPr>
                <w:rFonts w:ascii="Calibri" w:hAnsi="Calibri" w:eastAsia="Calibri"/>
                <w:color w:val="1A1A1A"/>
                <w:sz w:val="18"/>
              </w:rPr>
              <w:t xml:space="preserve">– </w:t>
            </w:r>
            <w:r>
              <w:rPr>
                <w:rFonts w:ascii="Calibri" w:hAnsi="Calibri" w:eastAsia="Calibri"/>
                <w:b/>
                <w:color w:val="1A1A1A"/>
                <w:sz w:val="18"/>
              </w:rPr>
              <w:t>Sprint 0 (semanas 7 a 10).</w:t>
            </w:r>
            <w:r>
              <w:rPr>
                <w:rFonts w:ascii="Calibri" w:hAnsi="Calibri" w:eastAsia="Calibri"/>
                <w:color w:val="1A1A1A"/>
                <w:sz w:val="18"/>
              </w:rPr>
              <w:t xml:space="preserve"> Cierre del ADR-023, modelo de datos ejecutable con 31 pruebas de aislamiento, estrategia de pruebas, backlog, prototipo v1.1, repositorio con migración reversible y pipeline de integración continua, y prueba de concepto de Transbank parcial.</w:t>
            </w:r>
          </w:p>
          <w:p>
            <w:pPr>
              <w:pStyle w:val="Prrafodelista"/>
              <w:spacing w:after="80" w:before="0"/>
              <w:ind w:left="200" w:hanging="160"/>
              <w:jc w:val="left"/>
            </w:pPr>
            <w:r>
              <w:rPr>
                <w:rFonts w:ascii="Calibri" w:hAnsi="Calibri" w:eastAsia="Calibri"/>
                <w:color w:val="1A1A1A"/>
                <w:sz w:val="18"/>
              </w:rPr>
              <w:t xml:space="preserve">– </w:t>
            </w:r>
            <w:r>
              <w:rPr>
                <w:rFonts w:ascii="Calibri" w:hAnsi="Calibri" w:eastAsia="Calibri"/>
                <w:b/>
                <w:color w:val="1A1A1A"/>
                <w:sz w:val="18"/>
              </w:rPr>
              <w:t>Sprint 1 (16 a 22 de octubre).</w:t>
            </w:r>
            <w:r>
              <w:rPr>
                <w:rFonts w:ascii="Calibri" w:hAnsi="Calibri" w:eastAsia="Calibri"/>
                <w:color w:val="1A1A1A"/>
                <w:sz w:val="18"/>
              </w:rPr>
              <w:t xml:space="preserve"> Identidad, grupo familiar y alta de la persona cuidada con consentimiento. </w:t>
            </w:r>
            <w:r>
              <w:rPr>
                <w:rFonts w:ascii="Calibri" w:hAnsi="Calibri" w:eastAsia="Calibri"/>
                <w:b/>
                <w:color w:val="1A1A1A"/>
                <w:sz w:val="18"/>
                <w:highlight w:val="yellow"/>
              </w:rPr>
              <w:t>[Resultado]</w:t>
            </w:r>
          </w:p>
          <w:p>
            <w:pPr>
              <w:pStyle w:val="Prrafodelista"/>
              <w:spacing w:after="80" w:before="0"/>
              <w:ind w:left="200" w:hanging="160"/>
              <w:jc w:val="left"/>
            </w:pPr>
            <w:r>
              <w:rPr>
                <w:rFonts w:ascii="Calibri" w:hAnsi="Calibri" w:eastAsia="Calibri"/>
                <w:color w:val="1A1A1A"/>
                <w:sz w:val="18"/>
              </w:rPr>
              <w:t xml:space="preserve">– </w:t>
            </w:r>
            <w:r>
              <w:rPr>
                <w:rFonts w:ascii="Calibri" w:hAnsi="Calibri" w:eastAsia="Calibri"/>
                <w:b/>
                <w:color w:val="1A1A1A"/>
                <w:sz w:val="18"/>
              </w:rPr>
              <w:t>Sprint 2 (23 a 29 de octubre).</w:t>
            </w:r>
            <w:r>
              <w:rPr>
                <w:rFonts w:ascii="Calibri" w:hAnsi="Calibri" w:eastAsia="Calibri"/>
                <w:color w:val="1A1A1A"/>
                <w:sz w:val="18"/>
              </w:rPr>
              <w:t xml:space="preserve"> Ficha de relevo y acceso de relevo. </w:t>
            </w:r>
            <w:r>
              <w:rPr>
                <w:rFonts w:ascii="Calibri" w:hAnsi="Calibri" w:eastAsia="Calibri"/>
                <w:b/>
                <w:color w:val="1A1A1A"/>
                <w:sz w:val="18"/>
                <w:highlight w:val="yellow"/>
              </w:rPr>
              <w:t>[Resultado]</w:t>
            </w:r>
          </w:p>
          <w:p>
            <w:pPr>
              <w:pStyle w:val="Prrafodelista"/>
              <w:spacing w:after="80" w:before="0"/>
              <w:ind w:left="200" w:hanging="160"/>
              <w:jc w:val="left"/>
            </w:pPr>
            <w:r>
              <w:rPr>
                <w:rFonts w:ascii="Calibri" w:hAnsi="Calibri" w:eastAsia="Calibri"/>
                <w:color w:val="1A1A1A"/>
                <w:sz w:val="18"/>
              </w:rPr>
              <w:t xml:space="preserve">– </w:t>
            </w:r>
            <w:r>
              <w:rPr>
                <w:rFonts w:ascii="Calibri" w:hAnsi="Calibri" w:eastAsia="Calibri"/>
                <w:b/>
                <w:color w:val="1A1A1A"/>
                <w:sz w:val="18"/>
              </w:rPr>
              <w:t>Sprint 3 (30 de octubre a 5 de noviembre).</w:t>
            </w:r>
            <w:r>
              <w:rPr>
                <w:rFonts w:ascii="Calibri" w:hAnsi="Calibri" w:eastAsia="Calibri"/>
                <w:color w:val="1A1A1A"/>
                <w:sz w:val="18"/>
              </w:rPr>
              <w:t xml:space="preserve"> App de familia y perfil de consumo con predicción. </w:t>
            </w:r>
            <w:r>
              <w:rPr>
                <w:rFonts w:ascii="Calibri" w:hAnsi="Calibri" w:eastAsia="Calibri"/>
                <w:b/>
                <w:color w:val="1A1A1A"/>
                <w:sz w:val="18"/>
                <w:highlight w:val="yellow"/>
              </w:rPr>
              <w:t>[Resultado]</w:t>
            </w:r>
          </w:p>
          <w:p>
            <w:pPr>
              <w:pStyle w:val="Prrafodelista"/>
              <w:spacing w:after="80" w:before="0"/>
              <w:ind w:left="200" w:hanging="160"/>
              <w:jc w:val="left"/>
            </w:pPr>
            <w:r>
              <w:rPr>
                <w:rFonts w:ascii="Calibri" w:hAnsi="Calibri" w:eastAsia="Calibri"/>
                <w:color w:val="1A1A1A"/>
                <w:sz w:val="18"/>
              </w:rPr>
              <w:t xml:space="preserve">– </w:t>
            </w:r>
            <w:r>
              <w:rPr>
                <w:rFonts w:ascii="Calibri" w:hAnsi="Calibri" w:eastAsia="Calibri"/>
                <w:b/>
                <w:color w:val="1A1A1A"/>
                <w:sz w:val="18"/>
              </w:rPr>
              <w:t>Sprint 4 (6 a 12 de noviembre).</w:t>
            </w:r>
            <w:r>
              <w:rPr>
                <w:rFonts w:ascii="Calibri" w:hAnsi="Calibri" w:eastAsia="Calibri"/>
                <w:color w:val="1A1A1A"/>
                <w:sz w:val="18"/>
              </w:rPr>
              <w:t xml:space="preserve"> Catálogo, lista de reposición, pedido y pago. </w:t>
            </w:r>
            <w:r>
              <w:rPr>
                <w:rFonts w:ascii="Calibri" w:hAnsi="Calibri" w:eastAsia="Calibri"/>
                <w:b/>
                <w:color w:val="1A1A1A"/>
                <w:sz w:val="18"/>
                <w:highlight w:val="yellow"/>
              </w:rPr>
              <w:t>[Resultado]</w:t>
            </w:r>
          </w:p>
          <w:p>
            <w:pPr>
              <w:pStyle w:val="Prrafodelista"/>
              <w:spacing w:after="80" w:before="0"/>
              <w:ind w:left="200" w:hanging="160"/>
              <w:jc w:val="left"/>
            </w:pPr>
            <w:r>
              <w:rPr>
                <w:rFonts w:ascii="Calibri" w:hAnsi="Calibri" w:eastAsia="Calibri"/>
                <w:color w:val="1A1A1A"/>
                <w:sz w:val="18"/>
              </w:rPr>
              <w:t xml:space="preserve">– </w:t>
            </w:r>
            <w:r>
              <w:rPr>
                <w:rFonts w:ascii="Calibri" w:hAnsi="Calibri" w:eastAsia="Calibri"/>
                <w:b/>
                <w:color w:val="1A1A1A"/>
                <w:sz w:val="18"/>
              </w:rPr>
              <w:t>Sprint 5 (13 a 19 de noviembre).</w:t>
            </w:r>
            <w:r>
              <w:rPr>
                <w:rFonts w:ascii="Calibri" w:hAnsi="Calibri" w:eastAsia="Calibri"/>
                <w:color w:val="1A1A1A"/>
                <w:sz w:val="18"/>
              </w:rPr>
              <w:t xml:space="preserve"> Endurecimiento, despliegue y guion de demostración. </w:t>
            </w:r>
            <w:r>
              <w:rPr>
                <w:rFonts w:ascii="Calibri" w:hAnsi="Calibri" w:eastAsia="Calibri"/>
                <w:b/>
                <w:color w:val="1A1A1A"/>
                <w:sz w:val="18"/>
                <w:highlight w:val="yellow"/>
              </w:rPr>
              <w:t>[Resultado]</w:t>
            </w:r>
          </w:p>
          <w:p>
            <w:pPr>
              <w:pStyle w:val="Prrafodelista"/>
              <w:spacing w:after="80" w:before="80"/>
              <w:ind w:left="0" w:firstLine="0"/>
              <w:jc w:val="left"/>
            </w:pPr>
            <w:r>
              <w:rPr>
                <w:rFonts w:ascii="Calibri" w:hAnsi="Calibri" w:eastAsia="Calibri"/>
                <w:b/>
                <w:color w:val="1F3864"/>
                <w:sz w:val="18"/>
              </w:rPr>
              <w:t>Facilitadores</w:t>
            </w:r>
          </w:p>
          <w:p>
            <w:pPr>
              <w:pStyle w:val="Prrafodelista"/>
              <w:spacing w:after="80" w:before="0"/>
              <w:ind w:left="0" w:firstLine="0"/>
              <w:jc w:val="left"/>
            </w:pPr>
            <w:r>
              <w:rPr>
                <w:rFonts w:ascii="Calibri" w:hAnsi="Calibri" w:eastAsia="Calibri"/>
                <w:color w:val="1A1A1A"/>
                <w:sz w:val="18"/>
              </w:rPr>
              <w:t xml:space="preserve">El diseño cerrado antes de construir, el modelo de datos probado en SQL antes de tener API, el backlog con criterios de aceptación y el desarrollo asistido por IA. </w:t>
            </w:r>
            <w:r>
              <w:rPr>
                <w:rFonts w:ascii="Calibri" w:hAnsi="Calibri" w:eastAsia="Calibri"/>
                <w:b/>
                <w:color w:val="1A1A1A"/>
                <w:sz w:val="18"/>
                <w:highlight w:val="yellow"/>
              </w:rPr>
              <w:t>[Agregar los que aparezcan en los sprints]</w:t>
            </w:r>
          </w:p>
          <w:p>
            <w:pPr>
              <w:pStyle w:val="Prrafodelista"/>
              <w:spacing w:after="80" w:before="80"/>
              <w:ind w:left="0" w:firstLine="0"/>
              <w:jc w:val="left"/>
            </w:pPr>
            <w:r>
              <w:rPr>
                <w:rFonts w:ascii="Calibri" w:hAnsi="Calibri" w:eastAsia="Calibri"/>
                <w:b/>
                <w:color w:val="1F3864"/>
                <w:sz w:val="18"/>
              </w:rPr>
              <w:t>Dificultades</w:t>
            </w:r>
          </w:p>
          <w:p>
            <w:pPr>
              <w:pStyle w:val="Prrafodelista"/>
              <w:spacing w:after="80" w:before="0"/>
              <w:ind w:left="0" w:firstLine="0"/>
              <w:jc w:val="left"/>
            </w:pPr>
            <w:r>
              <w:rPr>
                <w:rFonts w:ascii="Calibri" w:hAnsi="Calibri" w:eastAsia="Calibri"/>
                <w:color w:val="1A1A1A"/>
                <w:sz w:val="18"/>
              </w:rPr>
              <w:t xml:space="preserve">El desarrollo empezó tres semanas tarde, mientras se acordaba el entorno con el docente. Jorge redujo su disponibilidad por la práctica profesional desde el 1 de octubre. La prueba de concepto de Transbank quedó incompleta en el sprint 0 y mostró que el débito no admite captura diferida. </w:t>
            </w:r>
            <w:r>
              <w:rPr>
                <w:rFonts w:ascii="Calibri" w:hAnsi="Calibri" w:eastAsia="Calibri"/>
                <w:b/>
                <w:color w:val="1A1A1A"/>
                <w:sz w:val="18"/>
                <w:highlight w:val="yellow"/>
              </w:rPr>
              <w:t>[Agregar las de los sprints]</w:t>
            </w:r>
          </w:p>
          <w:p>
            <w:pPr>
              <w:pStyle w:val="Prrafodelista"/>
              <w:spacing w:after="80" w:before="80"/>
              <w:ind w:left="0" w:firstLine="0"/>
              <w:jc w:val="left"/>
            </w:pPr>
            <w:r>
              <w:rPr>
                <w:rFonts w:ascii="Calibri" w:hAnsi="Calibri" w:eastAsia="Calibri"/>
                <w:b/>
                <w:color w:val="1F3864"/>
                <w:sz w:val="18"/>
              </w:rPr>
              <w:t>Ajustes realizados</w:t>
            </w:r>
          </w:p>
          <w:p>
            <w:pPr>
              <w:pStyle w:val="Prrafodelista"/>
              <w:spacing w:after="80" w:before="0"/>
              <w:ind w:left="0" w:firstLine="0"/>
              <w:jc w:val="left"/>
            </w:pPr>
            <w:r>
              <w:rPr>
                <w:rFonts w:ascii="Calibri" w:hAnsi="Calibri" w:eastAsia="Calibri"/>
                <w:color w:val="1A1A1A"/>
                <w:sz w:val="18"/>
              </w:rPr>
              <w:t xml:space="preserve">Calendario reagrupado de ocho a cinco sprints de desarrollo con dos de reserva, modelo de datos adelantado al sprint 0, staging adelantado al sprint 3, usabilidad en dos rondas, plan B del ADR-006 para débito, y dos repositorios separados para evidencias y código. </w:t>
            </w:r>
            <w:r>
              <w:rPr>
                <w:rFonts w:ascii="Calibri" w:hAnsi="Calibri" w:eastAsia="Calibri"/>
                <w:b/>
                <w:color w:val="1A1A1A"/>
                <w:sz w:val="18"/>
                <w:highlight w:val="yellow"/>
              </w:rPr>
              <w:t>[Agregar los ajustes de los sprints]</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56ADDEA9" w14:textId="1FF49590" w:rsidR="001202BF" w:rsidRPr="00B340E1" w:rsidRDefault="00946E78" w:rsidP="001202BF">
            <w:pPr>
              <w:pStyle w:val="Prrafodelista"/>
              <w:spacing w:after="80" w:line="240" w:lineRule="auto" w:before="80"/>
              <w:ind w:left="0" w:firstLine="0"/>
              <w:jc w:val="left"/>
              <w:rPr>
                <w:rFonts w:ascii="Calibri" w:hAnsi="Calibri" w:cs="Arial"/>
                <w:i/>
                <w:iCs/>
                <w:color w:val="0070C0"/>
                <w:sz w:val="18"/>
                <w:szCs w:val="20"/>
                <w:lang w:eastAsia="es-CL"/>
              </w:rPr>
            </w:pPr>
            <w:r>
              <w:rPr>
                <w:rFonts w:ascii="Calibri" w:hAnsi="Calibri" w:eastAsia="Calibri"/>
                <w:b/>
                <w:color w:val="1F3864"/>
                <w:sz w:val="18"/>
              </w:rPr>
              <w:t>Evidencias de avance (entregadas)</w:t>
            </w:r>
          </w:p>
          <w:p>
            <w:pPr>
              <w:pStyle w:val="Prrafodelista"/>
              <w:spacing w:after="80" w:before="0"/>
              <w:ind w:left="200" w:hanging="160"/>
              <w:jc w:val="left"/>
            </w:pPr>
            <w:r>
              <w:rPr>
                <w:rFonts w:ascii="Calibri" w:hAnsi="Calibri" w:eastAsia="Calibri"/>
                <w:color w:val="1A1A1A"/>
                <w:sz w:val="18"/>
              </w:rPr>
              <w:t>– Documento de arquitectura v1.1, prototipo v1.1 e informe de validación con cuidadoras (repositorio MATU, docs/).</w:t>
            </w:r>
          </w:p>
          <w:p>
            <w:pPr>
              <w:pStyle w:val="Prrafodelista"/>
              <w:spacing w:after="80" w:before="0"/>
              <w:ind w:left="200" w:hanging="160"/>
              <w:jc w:val="left"/>
            </w:pPr>
            <w:r>
              <w:rPr>
                <w:rFonts w:ascii="Calibri" w:hAnsi="Calibri" w:eastAsia="Calibri"/>
                <w:color w:val="1A1A1A"/>
                <w:sz w:val="18"/>
              </w:rPr>
              <w:t>– Modelo de datos implementado con 31 pruebas de aislamiento y migración reversible (MATU_PROYECTO, backend/db y backend/alembic).</w:t>
            </w:r>
          </w:p>
          <w:p>
            <w:pPr>
              <w:pStyle w:val="Prrafodelista"/>
              <w:spacing w:after="80" w:before="0"/>
              <w:ind w:left="200" w:hanging="160"/>
              <w:jc w:val="left"/>
            </w:pPr>
            <w:r>
              <w:rPr>
                <w:rFonts w:ascii="Calibri" w:hAnsi="Calibri" w:eastAsia="Calibri"/>
                <w:color w:val="1A1A1A"/>
                <w:sz w:val="18"/>
              </w:rPr>
              <w:t>– Repositorio de desarrollo con integración continua en verde (MATU_PROYECTO, .github/workflows/ci.yml).</w:t>
            </w:r>
          </w:p>
          <w:p>
            <w:pPr>
              <w:pStyle w:val="Prrafodelista"/>
              <w:spacing w:after="80" w:before="0"/>
              <w:ind w:left="200" w:hanging="160"/>
              <w:jc w:val="left"/>
            </w:pPr>
            <w:r>
              <w:rPr>
                <w:rFonts w:ascii="Calibri" w:hAnsi="Calibri" w:eastAsia="Calibri"/>
                <w:color w:val="1A1A1A"/>
                <w:sz w:val="18"/>
              </w:rPr>
              <w:t>– Estrategia de pruebas, backlog, calendario de sprints y tablero de Trello.</w:t>
            </w:r>
          </w:p>
          <w:p>
            <w:pPr>
              <w:pStyle w:val="Prrafodelista"/>
              <w:spacing w:after="80" w:before="0"/>
              <w:ind w:left="200" w:hanging="160"/>
              <w:jc w:val="left"/>
            </w:pPr>
            <w:r>
              <w:rPr>
                <w:rFonts w:ascii="Calibri" w:hAnsi="Calibri" w:eastAsia="Calibri"/>
                <w:color w:val="1A1A1A"/>
                <w:sz w:val="18"/>
              </w:rPr>
              <w:t>– Cierre del ADR-023 y prueba de concepto de Transbank.</w:t>
            </w:r>
          </w:p>
          <w:p>
            <w:pPr>
              <w:pStyle w:val="Prrafodelista"/>
              <w:spacing w:after="80" w:before="80"/>
              <w:ind w:left="0" w:firstLine="0"/>
              <w:jc w:val="left"/>
            </w:pPr>
            <w:r>
              <w:rPr>
                <w:rFonts w:ascii="Calibri" w:hAnsi="Calibri" w:eastAsia="Calibri"/>
                <w:b/>
                <w:color w:val="1F3864"/>
                <w:sz w:val="18"/>
              </w:rPr>
              <w:t>Evidencias finales</w:t>
            </w:r>
          </w:p>
          <w:p>
            <w:pPr>
              <w:pStyle w:val="Prrafodelista"/>
              <w:spacing w:after="80" w:before="0"/>
              <w:ind w:left="200" w:hanging="160"/>
              <w:jc w:val="left"/>
            </w:pPr>
            <w:r>
              <w:rPr>
                <w:rFonts w:ascii="Calibri" w:hAnsi="Calibri" w:eastAsia="Calibri"/>
                <w:color w:val="1A1A1A"/>
                <w:sz w:val="18"/>
              </w:rPr>
              <w:t xml:space="preserve">– Aplicación integrada en operación: app de familia, vista web de comercio y backoffice en el entorno de demostración. </w:t>
            </w:r>
            <w:r>
              <w:rPr>
                <w:rFonts w:ascii="Calibri" w:hAnsi="Calibri" w:eastAsia="Calibri"/>
                <w:b/>
                <w:color w:val="1A1A1A"/>
                <w:sz w:val="18"/>
                <w:highlight w:val="yellow"/>
              </w:rPr>
              <w:t>[Enlace y capturas]</w:t>
            </w:r>
          </w:p>
          <w:p>
            <w:pPr>
              <w:pStyle w:val="Prrafodelista"/>
              <w:spacing w:after="80" w:before="0"/>
              <w:ind w:left="200" w:hanging="160"/>
              <w:jc w:val="left"/>
            </w:pPr>
            <w:r>
              <w:rPr>
                <w:rFonts w:ascii="Calibri" w:hAnsi="Calibri" w:eastAsia="Calibri"/>
                <w:color w:val="1A1A1A"/>
                <w:sz w:val="18"/>
              </w:rPr>
              <w:t xml:space="preserve">– Resultados de las pruebas de usabilidad. </w:t>
            </w:r>
            <w:r>
              <w:rPr>
                <w:rFonts w:ascii="Calibri" w:hAnsi="Calibri" w:eastAsia="Calibri"/>
                <w:b/>
                <w:color w:val="1A1A1A"/>
                <w:sz w:val="18"/>
                <w:highlight w:val="yellow"/>
              </w:rPr>
              <w:t>[Completar]</w:t>
            </w:r>
          </w:p>
          <w:p>
            <w:pPr>
              <w:pStyle w:val="Prrafodelista"/>
              <w:spacing w:after="80" w:before="0"/>
              <w:ind w:left="200" w:hanging="160"/>
              <w:jc w:val="left"/>
            </w:pPr>
            <w:r>
              <w:rPr>
                <w:rFonts w:ascii="Calibri" w:hAnsi="Calibri" w:eastAsia="Calibri"/>
                <w:color w:val="1A1A1A"/>
                <w:sz w:val="18"/>
              </w:rPr>
              <w:t xml:space="preserve">– Guion de demostración y video del recorrido principal. </w:t>
            </w:r>
            <w:r>
              <w:rPr>
                <w:rFonts w:ascii="Calibri" w:hAnsi="Calibri" w:eastAsia="Calibri"/>
                <w:b/>
                <w:color w:val="1A1A1A"/>
                <w:sz w:val="18"/>
                <w:highlight w:val="yellow"/>
              </w:rPr>
              <w:t>[Completar]</w:t>
            </w:r>
          </w:p>
          <w:p>
            <w:pPr>
              <w:pStyle w:val="Prrafodelista"/>
              <w:spacing w:after="80" w:before="0"/>
              <w:ind w:left="200" w:hanging="160"/>
              <w:jc w:val="left"/>
            </w:pPr>
            <w:r>
              <w:rPr>
                <w:rFonts w:ascii="Calibri" w:hAnsi="Calibri" w:eastAsia="Calibri"/>
                <w:color w:val="1A1A1A"/>
                <w:sz w:val="18"/>
              </w:rPr>
              <w:t>– Informe final y presentación de la defensa.</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0E7B9ADE" w14:textId="79AFCCBE" w:rsidR="001202BF" w:rsidRPr="00B340E1" w:rsidRDefault="001202BF" w:rsidP="7EB51544">
            <w:pPr>
              <w:pStyle w:val="Prrafodelista"/>
              <w:spacing w:after="80" w:line="240" w:lineRule="auto" w:before="80"/>
              <w:ind w:left="0" w:firstLine="0"/>
              <w:jc w:val="left"/>
              <w:rPr>
                <w:rFonts w:ascii="Calibri" w:hAnsi="Calibri" w:cs="Arial"/>
                <w:i/>
                <w:iCs/>
                <w:color w:val="0070C0"/>
                <w:sz w:val="18"/>
                <w:szCs w:val="18"/>
                <w:lang w:eastAsia="es-CL"/>
              </w:rPr>
            </w:pPr>
            <w:r>
              <w:rPr>
                <w:rFonts w:ascii="Calibri" w:hAnsi="Calibri" w:eastAsia="Calibri"/>
                <w:b/>
                <w:color w:val="1F3864"/>
                <w:sz w:val="18"/>
              </w:rPr>
              <w:t>Jorge Espinoza</w:t>
            </w:r>
          </w:p>
          <w:p>
            <w:pPr>
              <w:pStyle w:val="Prrafodelista"/>
              <w:spacing w:after="80" w:before="0"/>
              <w:ind w:left="0" w:firstLine="0"/>
              <w:jc w:val="left"/>
            </w:pPr>
            <w:r>
              <w:rPr>
                <w:rFonts w:ascii="Calibri" w:hAnsi="Calibri" w:eastAsia="Calibri"/>
                <w:color w:val="1A1A1A"/>
                <w:sz w:val="18"/>
              </w:rPr>
              <w:t xml:space="preserve">Mi interés está en la salud abordada desde la informática, con foco en la gestión de proyectos y el trabajo con datos. MATU confirmó ese interés y le agregó algo que no esperaba: el cumplimiento normativo y la protección de datos sensibles no son un trámite al final, son decisiones de diseño que condicionan el modelo de datos desde el principio. En el semestre trabajé deliberadamente mi punto más débil, el desarrollo de software de extremo a extremo. </w:t>
            </w:r>
            <w:r>
              <w:rPr>
                <w:rFonts w:ascii="Calibri" w:hAnsi="Calibri" w:eastAsia="Calibri"/>
                <w:b/>
                <w:color w:val="1A1A1A"/>
                <w:sz w:val="18"/>
                <w:highlight w:val="yellow"/>
              </w:rPr>
              <w:t>[Completar al cierre: qué intereses se confirmaron, cuáles cambiaron y cómo me proyecto laboralmente]</w:t>
            </w:r>
          </w:p>
          <w:p>
            <w:pPr>
              <w:pStyle w:val="Prrafodelista"/>
              <w:spacing w:after="80" w:before="80"/>
              <w:ind w:left="0" w:firstLine="0"/>
              <w:jc w:val="left"/>
            </w:pPr>
            <w:r>
              <w:rPr>
                <w:rFonts w:ascii="Calibri" w:hAnsi="Calibri" w:eastAsia="Calibri"/>
                <w:b/>
                <w:color w:val="1F3864"/>
                <w:sz w:val="18"/>
              </w:rPr>
              <w:t>Martín Henríquez</w:t>
            </w:r>
          </w:p>
          <w:p>
            <w:pPr>
              <w:pStyle w:val="Prrafodelista"/>
              <w:spacing w:after="80" w:before="0"/>
              <w:ind w:left="0" w:firstLine="0"/>
              <w:jc w:val="left"/>
            </w:pPr>
            <w:r>
              <w:rPr>
                <w:rFonts w:ascii="Calibri" w:hAnsi="Calibri" w:eastAsia="Calibri"/>
                <w:color w:val="1A1A1A"/>
                <w:sz w:val="18"/>
              </w:rPr>
              <w:t xml:space="preserve">Mi interés se centra en la dirección ágil de proyectos tecnológicos y en emprendimientos de los sectores Healthtech y Fintech. En MATU ejercí el rol de Scrum Master y llevé el eje de identidad, dinero y operación. </w:t>
            </w:r>
            <w:r>
              <w:rPr>
                <w:rFonts w:ascii="Calibri" w:hAnsi="Calibri" w:eastAsia="Calibri"/>
                <w:b/>
                <w:color w:val="1A1A1A"/>
                <w:sz w:val="18"/>
                <w:highlight w:val="yellow"/>
              </w:rPr>
              <w:t>[Martín completa al cierre: qué intereses se confirmaron, cuáles cambiaron y cómo se proyecta laboralmente]</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DD6A90" w14:textId="77777777" w:rsidR="00041809" w:rsidRDefault="00041809" w:rsidP="00EE1135">
      <w:pPr>
        <w:spacing w:after="0" w:line="240" w:lineRule="auto"/>
      </w:pPr>
      <w:r>
        <w:separator/>
      </w:r>
    </w:p>
  </w:endnote>
  <w:endnote w:type="continuationSeparator" w:id="0">
    <w:p w14:paraId="7AC13F57" w14:textId="77777777" w:rsidR="00041809" w:rsidRDefault="00041809"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F11426" w14:textId="77777777" w:rsidR="00041809" w:rsidRDefault="00041809" w:rsidP="00EE1135">
      <w:pPr>
        <w:spacing w:after="0" w:line="240" w:lineRule="auto"/>
      </w:pPr>
      <w:r>
        <w:separator/>
      </w:r>
    </w:p>
  </w:footnote>
  <w:footnote w:type="continuationSeparator" w:id="0">
    <w:p w14:paraId="2AEF6ED6" w14:textId="77777777" w:rsidR="00041809" w:rsidRDefault="00041809"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 w:numId="2">
    <w:abstractNumId w:val="2"/>
  </w:num>
  <w:num w:numId="3">
    <w:abstractNumId w:val="5"/>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2B79FC-6971-4544-98C5-83069028712A}">
  <ds:schemaRefs>
    <ds:schemaRef ds:uri="http://purl.org/dc/dcmitype/"/>
    <ds:schemaRef ds:uri="http://purl.org/dc/elements/1.1/"/>
    <ds:schemaRef ds:uri="http://www.w3.org/XML/1998/namespace"/>
    <ds:schemaRef ds:uri="126e8a1c-9ea9-435a-ac89-d06c80d62e30"/>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487</Words>
  <Characters>2684</Characters>
  <Application>Microsoft Office Word</Application>
  <DocSecurity>0</DocSecurity>
  <Lines>22</Lines>
  <Paragraphs>6</Paragraphs>
  <ScaleCrop>false</ScaleCrop>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9</cp:revision>
  <dcterms:created xsi:type="dcterms:W3CDTF">2022-08-24T18:22:00Z</dcterms:created>
  <dcterms:modified xsi:type="dcterms:W3CDTF">2023-02-06T15:16:00Z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