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Light" w:cs="Calibri Light" w:eastAsia="Calibri Light" w:hAnsi="Calibri Light"/>
          <w:b/>
          <w:bCs/>
          <w:color w:val="1F4E79"/>
          <w:sz w:val="36"/>
          <w:szCs w:val="36"/>
        </w:rPr>
        <w:t xml:space="preserve">MATU</w:t>
      </w:r>
    </w:p>
    <w:p>
      <w:pPr>
        <w:pBdr>
          <w:bottom w:val="single" w:color="808080" w:sz="6" w:space="6"/>
        </w:pBdr>
        <w:spacing w:after="160" w:before="0"/>
      </w:pPr>
      <w:r>
        <w:rPr>
          <w:b/>
          <w:bCs/>
          <w:sz w:val="19"/>
          <w:szCs w:val="19"/>
        </w:rPr>
        <w:t xml:space="preserve">Tipo: </w:t>
      </w:r>
      <w:r>
        <w:rPr>
          <w:sz w:val="19"/>
          <w:szCs w:val="19"/>
        </w:rPr>
        <w:t xml:space="preserve">Desarrollo · </w:t>
      </w:r>
      <w:r>
        <w:rPr>
          <w:b/>
          <w:bCs/>
          <w:sz w:val="19"/>
          <w:szCs w:val="19"/>
        </w:rPr>
        <w:t xml:space="preserve">Modalidad: </w:t>
      </w:r>
      <w:r>
        <w:rPr>
          <w:sz w:val="19"/>
          <w:szCs w:val="19"/>
        </w:rPr>
        <w:t xml:space="preserve">Nuevo · </w:t>
      </w:r>
      <w:r>
        <w:rPr>
          <w:b/>
          <w:bCs/>
          <w:sz w:val="19"/>
          <w:szCs w:val="19"/>
        </w:rPr>
        <w:t xml:space="preserve">Carpeta: </w:t>
      </w:r>
      <w:r>
        <w:rPr>
          <w:sz w:val="19"/>
          <w:szCs w:val="19"/>
        </w:rPr>
        <w:t xml:space="preserve">MATU</w:t>
      </w:r>
    </w:p>
    <w:p>
      <w:pPr>
        <w:spacing w:after="70" w:before="150"/>
      </w:pPr>
      <w:r>
        <w:rPr>
          <w:rFonts w:ascii="Calibri Light" w:cs="Calibri Light" w:eastAsia="Calibri Light" w:hAnsi="Calibri Light"/>
          <w:b/>
          <w:bCs/>
          <w:color w:val="2E74B5"/>
          <w:sz w:val="26"/>
          <w:szCs w:val="26"/>
        </w:rPr>
        <w:t xml:space="preserve">Objetivo de negocio</w:t>
      </w:r>
    </w:p>
    <w:p>
      <w:pPr>
        <w:spacing w:after="100" w:before="0" w:line="240"/>
        <w:jc w:val="both"/>
      </w:pPr>
      <w:r>
        <w:rPr>
          <w:rFonts w:ascii="Calibri" w:cs="Calibri" w:eastAsia="Calibri" w:hAnsi="Calibri"/>
          <w:sz w:val="21"/>
          <w:szCs w:val="21"/>
        </w:rPr>
        <w:t xml:space="preserve">MATU es un sistema de continuidad del cuidado para personas mayores con demencia y, por extensión, con cualquier grado de dependencia. El problema que ataca tiene dos caras. La primera es de abastecimiento: los insumos de cuidado se consumen de forma recurrente e imprevisible, y la persona que cuida es exactamente la que no puede salir a comprar porque no puede dejar sola a la persona cuidada, lo que produce quiebres de stock en artículos que no los admiten. La segunda es de continuidad: el conocimiento de cómo se cuida a alguien vive en la cabeza de una sola persona, y por eso traspasarlo a un relevo cuesta horas que el cuidador no tiene. El resultado es que quien cuida no puede ausentarse.</w:t>
      </w:r>
    </w:p>
    <w:p>
      <w:pPr>
        <w:spacing w:after="100" w:before="0" w:line="240"/>
        <w:jc w:val="both"/>
      </w:pPr>
      <w:r>
        <w:rPr>
          <w:rFonts w:ascii="Calibri" w:cs="Calibri" w:eastAsia="Calibri" w:hAnsi="Calibri"/>
          <w:sz w:val="21"/>
          <w:szCs w:val="21"/>
        </w:rPr>
        <w:t xml:space="preserve">MATU resuelve las dos en un mismo sistema de tres capas. El </w:t>
      </w:r>
      <w:r>
        <w:rPr>
          <w:rFonts w:ascii="Calibri" w:cs="Calibri" w:eastAsia="Calibri" w:hAnsi="Calibri"/>
          <w:b/>
          <w:bCs/>
          <w:sz w:val="21"/>
          <w:szCs w:val="21"/>
        </w:rPr>
        <w:t xml:space="preserve">plan de cuidado</w:t>
      </w:r>
      <w:r>
        <w:rPr>
          <w:rFonts w:ascii="Calibri" w:cs="Calibri" w:eastAsia="Calibri" w:hAnsi="Calibri"/>
          <w:sz w:val="21"/>
          <w:szCs w:val="21"/>
        </w:rPr>
        <w:t xml:space="preserve"> convierte el conocimiento del cuidador en algo transferible: rutina, horarios, estrategias de manejo de situaciones difíciles, preferencias y actividades, compartibles con un relevo mediante un enlace acotado y con vencimiento. Del mismo plan se declara el </w:t>
      </w:r>
      <w:r>
        <w:rPr>
          <w:rFonts w:ascii="Calibri" w:cs="Calibri" w:eastAsia="Calibri" w:hAnsi="Calibri"/>
          <w:b/>
          <w:bCs/>
          <w:sz w:val="21"/>
          <w:szCs w:val="21"/>
        </w:rPr>
        <w:t xml:space="preserve">perfil de consumo</w:t>
      </w:r>
      <w:r>
        <w:rPr>
          <w:rFonts w:ascii="Calibri" w:cs="Calibri" w:eastAsia="Calibri" w:hAnsi="Calibri"/>
          <w:sz w:val="21"/>
          <w:szCs w:val="21"/>
        </w:rPr>
        <w:t xml:space="preserve"> de cada insumo, con lo cual el sistema predice cuándo se agota y avisa antes del quiebre. Y sobre esa predicción opera el </w:t>
      </w:r>
      <w:r>
        <w:rPr>
          <w:rFonts w:ascii="Calibri" w:cs="Calibri" w:eastAsia="Calibri" w:hAnsi="Calibri"/>
          <w:b/>
          <w:bCs/>
          <w:sz w:val="21"/>
          <w:szCs w:val="21"/>
        </w:rPr>
        <w:t xml:space="preserve">despacho</w:t>
      </w:r>
      <w:r>
        <w:rPr>
          <w:rFonts w:ascii="Calibri" w:cs="Calibri" w:eastAsia="Calibri" w:hAnsi="Calibri"/>
          <w:sz w:val="21"/>
          <w:szCs w:val="21"/>
        </w:rPr>
        <w:t xml:space="preserve">, con catálogo curado y compra en comercios en convenio. La tercera capa es desacoplable: sin convenio, la familia exporta su lista de reposición y compra donde quiera, y el sistema sigue entregando su valor central. MATU es soporte logístico y de continuidad del cuidado, no un prestador de salud, y por eso el modelo de datos no almacena diagnósticos.</w:t>
      </w:r>
    </w:p>
    <w:p>
      <w:pPr>
        <w:spacing w:after="70" w:before="150"/>
      </w:pPr>
      <w:r>
        <w:rPr>
          <w:rFonts w:ascii="Calibri Light" w:cs="Calibri Light" w:eastAsia="Calibri Light" w:hAnsi="Calibri Light"/>
          <w:b/>
          <w:bCs/>
          <w:color w:val="2E74B5"/>
          <w:sz w:val="26"/>
          <w:szCs w:val="26"/>
        </w:rPr>
        <w:t xml:space="preserve">Cómo funciona</w:t>
      </w:r>
    </w:p>
    <w:p>
      <w:pPr>
        <w:spacing w:after="100" w:before="0" w:line="240"/>
        <w:jc w:val="both"/>
      </w:pPr>
      <w:r>
        <w:rPr>
          <w:rFonts w:ascii="Calibri" w:cs="Calibri" w:eastAsia="Calibri" w:hAnsi="Calibri"/>
          <w:sz w:val="21"/>
          <w:szCs w:val="21"/>
        </w:rPr>
        <w:t xml:space="preserve">El cuidador registra a la persona cuidada y completa el plan de cuidado de forma incremental, a partir de ocho preguntas concretas que se responden en menos de cinco minutos. Declara además el consumo de cada insumo con dos datos: cuánto se usa al día y cuánto queda. Con eso el sistema calcula la fecha estimada de quiebre, avisa con anticipación configurable y genera una lista de reposición. La familia puede exportar esa lista o convertirla en pedido. Si la convierte, el pago se </w:t>
      </w:r>
      <w:r>
        <w:rPr>
          <w:rFonts w:ascii="Calibri" w:cs="Calibri" w:eastAsia="Calibri" w:hAnsi="Calibri"/>
          <w:b/>
          <w:bCs/>
          <w:sz w:val="21"/>
          <w:szCs w:val="21"/>
        </w:rPr>
        <w:t xml:space="preserve">autoriza</w:t>
      </w:r>
      <w:r>
        <w:rPr>
          <w:rFonts w:ascii="Calibri" w:cs="Calibri" w:eastAsia="Calibri" w:hAnsi="Calibri"/>
          <w:sz w:val="21"/>
          <w:szCs w:val="21"/>
        </w:rPr>
        <w:t xml:space="preserve"> por el monto estimado más un margen de holgura y se </w:t>
      </w:r>
      <w:r>
        <w:rPr>
          <w:rFonts w:ascii="Calibri" w:cs="Calibri" w:eastAsia="Calibri" w:hAnsi="Calibri"/>
          <w:b/>
          <w:bCs/>
          <w:sz w:val="21"/>
          <w:szCs w:val="21"/>
        </w:rPr>
        <w:t xml:space="preserve">captura</w:t>
      </w:r>
      <w:r>
        <w:rPr>
          <w:rFonts w:ascii="Calibri" w:cs="Calibri" w:eastAsia="Calibri" w:hAnsi="Calibri"/>
          <w:sz w:val="21"/>
          <w:szCs w:val="21"/>
        </w:rPr>
        <w:t xml:space="preserve"> por el monto real al entregar, lo que evita reembolsos. El gasto se puede repartir entre varios familiares: cada uno autoriza su parte dentro de un plazo de recaudación y un respaldo cubre el faltante para que el pedido no se congele. El pedido se publica en una vista web del comercio en convenio, que lo prepara, resuelve faltantes según las reglas de la familia, informa el monto real y lo carga a la cuenta corriente de MATU. Un repartidor lo retira exhibiendo un código de un solo uso, sin comprar ni manejar dinero, y lo entrega en el domicilio de la persona cuidada.</w:t>
      </w:r>
    </w:p>
    <w:p>
      <w:pPr>
        <w:spacing w:after="70" w:before="150"/>
      </w:pPr>
      <w:r>
        <w:rPr>
          <w:rFonts w:ascii="Calibri Light" w:cs="Calibri Light" w:eastAsia="Calibri Light" w:hAnsi="Calibri Light"/>
          <w:b/>
          <w:bCs/>
          <w:color w:val="2E74B5"/>
          <w:sz w:val="26"/>
          <w:szCs w:val="26"/>
        </w:rPr>
        <w:t xml:space="preserve">Componentes</w:t>
      </w:r>
    </w:p>
    <w:p>
      <w:pPr>
        <w:spacing w:after="100" w:before="0" w:line="240"/>
        <w:jc w:val="both"/>
      </w:pPr>
      <w:r>
        <w:rPr>
          <w:rFonts w:ascii="Calibri" w:cs="Calibri" w:eastAsia="Calibri" w:hAnsi="Calibri"/>
          <w:sz w:val="21"/>
          <w:szCs w:val="21"/>
        </w:rPr>
        <w:t xml:space="preserve">Aplicación móvil de la familia con plan de cuidado cifrado por sección, perfil de consumo, lista de reposición, catálogo, pedidos, suscripciones y reparto del gasto. Vista web de relevo, sin cuenta y con token expirable de alcance por sección. Módulo de predicción de quiebre con alertas materializadas. Motor de suscripciones alimentado por el perfil de consumo. Módulo de pagos con recaudación multi-pagador, autorización diferida y captura prorrateada por resto mayor. Vista web para el comercio en convenio. Aplicación de repartidor con ofertas en cascada, código de retiro y evidencia geolocalizada. Módulo de liquidación y conciliación con comercios. Backoffice de operación con catálogo, convenios, incidencias e indicadores. Los módulos de medicamentos en farmacia y de retiro en CESFAM quedan diseñados en el modelo de datos y fuera de la primera versión por su riesgo regulatorio.</w:t>
      </w:r>
    </w:p>
    <w:p>
      <w:pPr>
        <w:spacing w:after="70" w:before="150"/>
      </w:pPr>
      <w:r>
        <w:rPr>
          <w:rFonts w:ascii="Calibri Light" w:cs="Calibri Light" w:eastAsia="Calibri Light" w:hAnsi="Calibri Light"/>
          <w:b/>
          <w:bCs/>
          <w:color w:val="2E74B5"/>
          <w:sz w:val="26"/>
          <w:szCs w:val="26"/>
        </w:rPr>
        <w:t xml:space="preserve">Tecnología</w:t>
      </w:r>
    </w:p>
    <w:p>
      <w:pPr>
        <w:spacing w:after="100" w:before="0" w:line="240"/>
        <w:jc w:val="both"/>
      </w:pPr>
      <w:r>
        <w:rPr>
          <w:rFonts w:ascii="Calibri" w:cs="Calibri" w:eastAsia="Calibri" w:hAnsi="Calibri"/>
          <w:sz w:val="21"/>
          <w:szCs w:val="21"/>
        </w:rPr>
        <w:t xml:space="preserve">Backend en Python 3.12 con FastAPI y Pydantic v2 sobre PostgreSQL 16 con SQLAlchemy async y Alembic, como monolito modular con límites verificados por prueba automática y aislamiento por grupo familiar mediante Row Level Security sin excepciones. Sobre-cifrado del plan de cuidado con clave por persona cuidada y clave maestra en custodia externa. Tareas asíncronas con ARQ sobre Redis ejecutadas por tenant, y patrón outbox con consumidor idempotente. Almacenamiento de objetos S3-compatible con URLs firmadas. Autenticación JWT con refresh rotativo y seis roles diferenciados. Aplicación móvil en Flutter con dos targets sobre un núcleo compartido. Pasarela Transbank Webpay Plus en modalidad diferida. Web en React 18 con TypeScript. Docker y CI/CD con GitHub Actions. El diseño cumple la Ley 21.719 de protección de datos personales, vigente desde diciembre de 2026. Equipo de dos alumnos, 12 sprints, 31 requisitos funcionales trazados y arquitectura v1.0 documentada en 24 decisiones fundamentadas (ADR), y el modelo de aislamiento validado contra PostgreSQL antes de comprometerlo.</w:t>
      </w:r>
    </w:p>
    <w:sectPr>
      <w:footerReference w:type="default" r:id="rId7"/>
      <w:pgSz w:w="11906" w:h="16838" w:orient="portrait"/>
      <w:pgMar w:top="1440" w:right="1512" w:bottom="1008" w:left="151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2026-08-18T16:09:52.349Z</dcterms:created>
  <dcterms:modified xsi:type="dcterms:W3CDTF">2026-08-18T16:09:52.362Z</dcterms:modified>
</cp:coreProperties>
</file>

<file path=docProps/custom.xml><?xml version="1.0" encoding="utf-8"?>
<Properties xmlns="http://schemas.openxmlformats.org/officeDocument/2006/custom-properties" xmlns:vt="http://schemas.openxmlformats.org/officeDocument/2006/docPropsVTypes"/>
</file>