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A253E"/>
          <w:sz w:val="40"/>
          <w:szCs w:val="40"/>
        </w:rPr>
        <w:t xml:space="preserve">MATU</w:t>
      </w:r>
    </w:p>
    <w:p>
      <w:pPr>
        <w:spacing w:after="200"/>
      </w:pPr>
      <w:r>
        <w:rPr>
          <w:rFonts w:ascii="Calibri" w:cs="Calibri" w:eastAsia="Calibri" w:hAnsi="Calibri"/>
          <w:color w:val="0A253E"/>
          <w:sz w:val="22"/>
          <w:szCs w:val="22"/>
        </w:rPr>
        <w:t xml:space="preserve">Sistema de continuidad del cuidado para personas mayores con dependencia</w:t>
      </w:r>
    </w:p>
    <w:p>
      <w:pPr>
        <w:pBdr>
          <w:bottom w:val="single" w:color="0A253E" w:sz="12" w:space="6"/>
        </w:pBdr>
        <w:spacing w:after="240"/>
      </w:pPr>
      <w:r>
        <w:rPr>
          <w:rFonts w:ascii="Calibri" w:cs="Calibri" w:eastAsia="Calibri" w:hAnsi="Calibri"/>
          <w:b/>
          <w:bCs/>
          <w:sz w:val="20"/>
          <w:szCs w:val="20"/>
        </w:rPr>
        <w:t xml:space="preserve">Tipo: </w:t>
      </w:r>
      <w:r>
        <w:rPr>
          <w:rFonts w:ascii="Calibri" w:cs="Calibri" w:eastAsia="Calibri" w:hAnsi="Calibri"/>
          <w:sz w:val="20"/>
          <w:szCs w:val="20"/>
        </w:rPr>
        <w:t xml:space="preserve">Desarrollo   ·   </w:t>
      </w:r>
      <w:r>
        <w:rPr>
          <w:rFonts w:ascii="Calibri" w:cs="Calibri" w:eastAsia="Calibri" w:hAnsi="Calibri"/>
          <w:b/>
          <w:bCs/>
          <w:sz w:val="20"/>
          <w:szCs w:val="20"/>
        </w:rPr>
        <w:t xml:space="preserve">Modalidad: </w:t>
      </w:r>
      <w:r>
        <w:rPr>
          <w:rFonts w:ascii="Calibri" w:cs="Calibri" w:eastAsia="Calibri" w:hAnsi="Calibri"/>
          <w:sz w:val="20"/>
          <w:szCs w:val="20"/>
        </w:rPr>
        <w:t xml:space="preserve">Nuevo   ·   </w:t>
      </w:r>
      <w:r>
        <w:rPr>
          <w:rFonts w:ascii="Calibri" w:cs="Calibri" w:eastAsia="Calibri" w:hAnsi="Calibri"/>
          <w:b/>
          <w:bCs/>
          <w:sz w:val="20"/>
          <w:szCs w:val="20"/>
        </w:rPr>
        <w:t xml:space="preserve">Carpeta: </w:t>
      </w:r>
      <w:r>
        <w:rPr>
          <w:rFonts w:ascii="Calibri" w:cs="Calibri" w:eastAsia="Calibri" w:hAnsi="Calibri"/>
          <w:sz w:val="20"/>
          <w:szCs w:val="20"/>
        </w:rPr>
        <w:t xml:space="preserve">MATU   ·   </w:t>
      </w:r>
      <w:r>
        <w:rPr>
          <w:rFonts w:ascii="Calibri" w:cs="Calibri" w:eastAsia="Calibri" w:hAnsi="Calibri"/>
          <w:b/>
          <w:bCs/>
          <w:sz w:val="20"/>
          <w:szCs w:val="20"/>
        </w:rPr>
        <w:t xml:space="preserve">Equipo: </w:t>
      </w:r>
      <w:r>
        <w:rPr>
          <w:rFonts w:ascii="Calibri" w:cs="Calibri" w:eastAsia="Calibri" w:hAnsi="Calibri"/>
          <w:sz w:val="20"/>
          <w:szCs w:val="20"/>
        </w:rPr>
        <w:t xml:space="preserve">Jorge Espinoza · Martín Henríquez</w:t>
      </w:r>
    </w:p>
    <w:p>
      <w:pPr>
        <w:pBdr>
          <w:bottom w:val="single" w:color="FDBA31" w:sz="6" w:space="4"/>
        </w:pBdr>
        <w:spacing w:after="60" w:before="160"/>
      </w:pPr>
      <w:r>
        <w:rPr>
          <w:rFonts w:ascii="Calibri" w:cs="Calibri" w:eastAsia="Calibri" w:hAnsi="Calibri"/>
          <w:b/>
          <w:bCs/>
          <w:color w:val="0A253E"/>
          <w:sz w:val="24"/>
          <w:szCs w:val="24"/>
        </w:rPr>
        <w:t xml:space="preserve">Objetivo de negocio</w:t>
      </w:r>
    </w:p>
    <w:p>
      <w:pPr>
        <w:spacing w:after="100" w:line="238"/>
        <w:jc w:val="both"/>
      </w:pPr>
      <w:r>
        <w:rPr>
          <w:rFonts w:ascii="Calibri" w:cs="Calibri" w:eastAsia="Calibri" w:hAnsi="Calibri"/>
          <w:sz w:val="20"/>
          <w:szCs w:val="20"/>
        </w:rPr>
        <w:t xml:space="preserve">MATU es un sistema de continuidad del cuidado para personas mayores con demencia y, por extensión, con cualquier grado de dependencia. El problema que ataca tiene dos caras. La primera es de continuidad: el conocimiento de cómo se cuida a alguien vive en la cabeza de una sola persona, y traspasarlo a un relevo cuesta horas que el cuidador no tiene. La segunda es de abastecimiento: el cálculo de los insumos se lleva de memoria y el quiebre se resuelve con salidas de urgencia que recaen siempre en el mismo familiar. El resultado es que quien cuida no puede ausentarse.</w:t>
      </w:r>
    </w:p>
    <w:p>
      <w:pPr>
        <w:spacing w:after="100" w:line="238"/>
        <w:jc w:val="both"/>
      </w:pPr>
      <w:r>
        <w:rPr>
          <w:rFonts w:ascii="Calibri" w:cs="Calibri" w:eastAsia="Calibri" w:hAnsi="Calibri"/>
          <w:sz w:val="20"/>
          <w:szCs w:val="20"/>
        </w:rPr>
        <w:t xml:space="preserve">MATU resuelve las dos en un sistema de tres capas. La </w:t>
      </w:r>
      <w:r>
        <w:rPr>
          <w:rFonts w:ascii="Calibri" w:cs="Calibri" w:eastAsia="Calibri" w:hAnsi="Calibri"/>
          <w:b/>
          <w:bCs/>
          <w:sz w:val="20"/>
          <w:szCs w:val="20"/>
        </w:rPr>
        <w:t xml:space="preserve">ficha de relevo</w:t>
      </w:r>
      <w:r>
        <w:rPr>
          <w:rFonts w:ascii="Calibri" w:cs="Calibri" w:eastAsia="Calibri" w:hAnsi="Calibri"/>
          <w:sz w:val="20"/>
          <w:szCs w:val="20"/>
        </w:rPr>
        <w:t xml:space="preserve"> convierte el conocimiento del cuidador en tres campos escritos y compartibles: la rutina en una línea, qué calma a la persona y a quién llamar, ampliables a ocho secciones opcionales. Del mismo plan se declara el </w:t>
      </w:r>
      <w:r>
        <w:rPr>
          <w:rFonts w:ascii="Calibri" w:cs="Calibri" w:eastAsia="Calibri" w:hAnsi="Calibri"/>
          <w:b/>
          <w:bCs/>
          <w:sz w:val="20"/>
          <w:szCs w:val="20"/>
        </w:rPr>
        <w:t xml:space="preserve">perfil de consumo</w:t>
      </w:r>
      <w:r>
        <w:rPr>
          <w:rFonts w:ascii="Calibri" w:cs="Calibri" w:eastAsia="Calibri" w:hAnsi="Calibri"/>
          <w:sz w:val="20"/>
          <w:szCs w:val="20"/>
        </w:rPr>
        <w:t xml:space="preserve"> de cada insumo, con lo cual el sistema predice cuándo se agota y avisa antes del quiebre. Y sobre esa predicción opera el </w:t>
      </w:r>
      <w:r>
        <w:rPr>
          <w:rFonts w:ascii="Calibri" w:cs="Calibri" w:eastAsia="Calibri" w:hAnsi="Calibri"/>
          <w:b/>
          <w:bCs/>
          <w:sz w:val="20"/>
          <w:szCs w:val="20"/>
        </w:rPr>
        <w:t xml:space="preserve">despacho</w:t>
      </w:r>
      <w:r>
        <w:rPr>
          <w:rFonts w:ascii="Calibri" w:cs="Calibri" w:eastAsia="Calibri" w:hAnsi="Calibri"/>
          <w:sz w:val="20"/>
          <w:szCs w:val="20"/>
        </w:rPr>
        <w:t xml:space="preserve">, con catálogo curado y compra en comercios en convenio. La tercera capa es desacoplable: sin convenio, la familia exporta su lista y compra donde quiera. MATU es soporte logístico y de continuidad del cuidado, no un prestador de salud, y por eso el modelo de datos no almacena diagnósticos.</w:t>
      </w:r>
    </w:p>
    <w:p>
      <w:pPr>
        <w:pBdr>
          <w:bottom w:val="single" w:color="FDBA31" w:sz="6" w:space="4"/>
        </w:pBdr>
        <w:spacing w:after="60" w:before="160"/>
      </w:pPr>
      <w:r>
        <w:rPr>
          <w:rFonts w:ascii="Calibri" w:cs="Calibri" w:eastAsia="Calibri" w:hAnsi="Calibri"/>
          <w:b/>
          <w:bCs/>
          <w:color w:val="0A253E"/>
          <w:sz w:val="24"/>
          <w:szCs w:val="24"/>
        </w:rPr>
        <w:t xml:space="preserve">Validación del problema</w:t>
      </w:r>
    </w:p>
    <w:p>
      <w:pPr>
        <w:spacing w:after="100" w:line="238"/>
        <w:jc w:val="both"/>
      </w:pPr>
      <w:r>
        <w:rPr>
          <w:rFonts w:ascii="Calibri" w:cs="Calibri" w:eastAsia="Calibri" w:hAnsi="Calibri"/>
          <w:sz w:val="20"/>
          <w:szCs w:val="20"/>
        </w:rPr>
        <w:t xml:space="preserve">La definición se contrastó con </w:t>
      </w:r>
      <w:r>
        <w:rPr>
          <w:rFonts w:ascii="Calibri" w:cs="Calibri" w:eastAsia="Calibri" w:hAnsi="Calibri"/>
          <w:b/>
          <w:bCs/>
          <w:sz w:val="20"/>
          <w:szCs w:val="20"/>
        </w:rPr>
        <w:t xml:space="preserve">diez entrevistas a cuidadoras</w:t>
      </w:r>
      <w:r>
        <w:rPr>
          <w:rFonts w:ascii="Calibri" w:cs="Calibri" w:eastAsia="Calibri" w:hAnsi="Calibri"/>
          <w:sz w:val="20"/>
          <w:szCs w:val="20"/>
        </w:rPr>
        <w:t xml:space="preserve">, que es la meta completa que fijó el protocolo del proyecto, ejecutadas con criterios de validación y refutación escritos antes de la primera. Quedaron validados el problema de relevo, siete de diez tuvieron uno en tres meses y seis de nueve fallaron por conocimiento tácito, el quiebre de insumos, seis de diez, y la disposición a pagar, seis de diez ya pagan por algún servicio de cuidado. Quedó </w:t>
      </w:r>
      <w:r>
        <w:rPr>
          <w:rFonts w:ascii="Calibri" w:cs="Calibri" w:eastAsia="Calibri" w:hAnsi="Calibri"/>
          <w:b/>
          <w:bCs/>
          <w:sz w:val="20"/>
          <w:szCs w:val="20"/>
        </w:rPr>
        <w:t xml:space="preserve">refutada</w:t>
      </w:r>
      <w:r>
        <w:rPr>
          <w:rFonts w:ascii="Calibri" w:cs="Calibri" w:eastAsia="Calibri" w:hAnsi="Calibri"/>
          <w:sz w:val="20"/>
          <w:szCs w:val="20"/>
        </w:rPr>
        <w:t xml:space="preserve"> la hipótesis de que un cuidador completa ocho preguntas en cinco minutos, lo que activó el plan B ya escrito y redujo la versión mínima del plan a tres campos. Tres hipótesis cayeron en zona intermedia y disparan la regla de ampliación del propio protocolo. Con la canasta mensual medida, mediana de $70.000, el punto de equilibrio del piloto se recalculó en 84 familias.</w:t>
      </w:r>
    </w:p>
    <w:p>
      <w:pPr>
        <w:pBdr>
          <w:bottom w:val="single" w:color="FDBA31" w:sz="6" w:space="4"/>
        </w:pBdr>
        <w:spacing w:after="60" w:before="160"/>
      </w:pPr>
      <w:r>
        <w:rPr>
          <w:rFonts w:ascii="Calibri" w:cs="Calibri" w:eastAsia="Calibri" w:hAnsi="Calibri"/>
          <w:b/>
          <w:bCs/>
          <w:color w:val="0A253E"/>
          <w:sz w:val="24"/>
          <w:szCs w:val="24"/>
        </w:rPr>
        <w:t xml:space="preserve">Cómo funciona</w:t>
      </w:r>
    </w:p>
    <w:p>
      <w:pPr>
        <w:spacing w:after="100" w:line="238"/>
        <w:jc w:val="both"/>
      </w:pPr>
      <w:r>
        <w:rPr>
          <w:rFonts w:ascii="Calibri" w:cs="Calibri" w:eastAsia="Calibri" w:hAnsi="Calibri"/>
          <w:sz w:val="20"/>
          <w:szCs w:val="20"/>
        </w:rPr>
        <w:t xml:space="preserve">El cuidador completa la ficha de relevo, que admite dictado por voz y llenado asistido por un tercero, y declara el consumo de cada insumo con dos datos: cuánto se usa al día y cuánto queda. Con eso el sistema calcula la fecha estimada de quiebre, avisa con anticipación y genera una lista de reposición que la familia exporta o convierte en pedido. Si la convierte, el pago se </w:t>
      </w:r>
      <w:r>
        <w:rPr>
          <w:rFonts w:ascii="Calibri" w:cs="Calibri" w:eastAsia="Calibri" w:hAnsi="Calibri"/>
          <w:b/>
          <w:bCs/>
          <w:sz w:val="20"/>
          <w:szCs w:val="20"/>
        </w:rPr>
        <w:t xml:space="preserve">autoriza</w:t>
      </w:r>
      <w:r>
        <w:rPr>
          <w:rFonts w:ascii="Calibri" w:cs="Calibri" w:eastAsia="Calibri" w:hAnsi="Calibri"/>
          <w:sz w:val="20"/>
          <w:szCs w:val="20"/>
        </w:rPr>
        <w:t xml:space="preserve"> por el monto estimado más un margen y se </w:t>
      </w:r>
      <w:r>
        <w:rPr>
          <w:rFonts w:ascii="Calibri" w:cs="Calibri" w:eastAsia="Calibri" w:hAnsi="Calibri"/>
          <w:b/>
          <w:bCs/>
          <w:sz w:val="20"/>
          <w:szCs w:val="20"/>
        </w:rPr>
        <w:t xml:space="preserve">captura</w:t>
      </w:r>
      <w:r>
        <w:rPr>
          <w:rFonts w:ascii="Calibri" w:cs="Calibri" w:eastAsia="Calibri" w:hAnsi="Calibri"/>
          <w:sz w:val="20"/>
          <w:szCs w:val="20"/>
        </w:rPr>
        <w:t xml:space="preserve"> por el monto real al entregar, lo que evita reembolsos. El pedido se publica en una vista web del comercio en convenio, que lo prepara, resuelve faltantes según las reglas de la familia, informa el monto real y lo carga a la cuenta corriente de MATU. El retiro se valida con un código de un solo uso.</w:t>
      </w:r>
    </w:p>
    <w:p>
      <w:pPr>
        <w:pBdr>
          <w:bottom w:val="single" w:color="FDBA31" w:sz="6" w:space="4"/>
        </w:pBdr>
        <w:spacing w:after="60" w:before="160"/>
      </w:pPr>
      <w:r>
        <w:rPr>
          <w:rFonts w:ascii="Calibri" w:cs="Calibri" w:eastAsia="Calibri" w:hAnsi="Calibri"/>
          <w:b/>
          <w:bCs/>
          <w:color w:val="0A253E"/>
          <w:sz w:val="24"/>
          <w:szCs w:val="24"/>
        </w:rPr>
        <w:t xml:space="preserve">Componentes y tecnología</w:t>
      </w:r>
    </w:p>
    <w:p>
      <w:pPr>
        <w:spacing w:after="100" w:line="238"/>
        <w:jc w:val="both"/>
      </w:pPr>
      <w:r>
        <w:rPr>
          <w:rFonts w:ascii="Calibri" w:cs="Calibri" w:eastAsia="Calibri" w:hAnsi="Calibri"/>
          <w:sz w:val="20"/>
          <w:szCs w:val="20"/>
        </w:rPr>
        <w:t xml:space="preserve">Aplicación móvil de la familia con ficha de relevo cifrada por sección, perfil de consumo, lista de reposición, catálogo y pedidos. Vista web de relevo, sin cuenta y con token expirable de alcance por sección. Módulo de predicción de quiebre con alertas materializadas, módulo de pagos con autorización diferida y captura por monto real, vista web para el comercio en convenio con código de retiro, y backoffice de operación con catálogo, convenios, incidencias e indicadores.</w:t>
      </w:r>
    </w:p>
    <w:p>
      <w:pPr>
        <w:spacing w:after="100" w:line="238"/>
        <w:jc w:val="both"/>
      </w:pPr>
      <w:r>
        <w:rPr>
          <w:rFonts w:ascii="Calibri" w:cs="Calibri" w:eastAsia="Calibri" w:hAnsi="Calibri"/>
          <w:sz w:val="20"/>
          <w:szCs w:val="20"/>
        </w:rPr>
        <w:t xml:space="preserve">Backend en Python 3.12 con FastAPI sobre PostgreSQL 16, como monolito modular con límites verificados por prueba automática y aislamiento por grupo familiar mediante Row Level Security forzado sobre tres ejes de acceso. Sobre-cifrado del plan de cuidado con clave por persona cuidada y clave maestra en custodia externa, lo que permite borrado criptográfico. Tareas asíncronas con ARQ sobre Redis ejecutadas por tenant y patrón outbox idempotente. Aplicación móvil en Flutter, web en React con TypeScript, pasarela Transbank Webpay Plus en modalidad diferida, Docker e integración continua con GitHub Actions. El diseño cumple la Ley 21.719, vigente desde diciembre de 2026.</w:t>
      </w:r>
    </w:p>
    <w:p>
      <w:pPr>
        <w:pBdr>
          <w:bottom w:val="single" w:color="FDBA31" w:sz="6" w:space="4"/>
        </w:pBdr>
        <w:spacing w:after="60" w:before="160"/>
      </w:pPr>
      <w:r>
        <w:rPr>
          <w:rFonts w:ascii="Calibri" w:cs="Calibri" w:eastAsia="Calibri" w:hAnsi="Calibri"/>
          <w:b/>
          <w:bCs/>
          <w:color w:val="0A253E"/>
          <w:sz w:val="24"/>
          <w:szCs w:val="24"/>
        </w:rPr>
        <w:t xml:space="preserve">Alcance del semestre</w:t>
      </w:r>
    </w:p>
    <w:p>
      <w:pPr>
        <w:spacing w:after="100" w:line="238"/>
        <w:jc w:val="both"/>
      </w:pPr>
      <w:r>
        <w:rPr>
          <w:rFonts w:ascii="Calibri" w:cs="Calibri" w:eastAsia="Calibri" w:hAnsi="Calibri"/>
          <w:sz w:val="20"/>
          <w:szCs w:val="20"/>
        </w:rPr>
        <w:t xml:space="preserve">Equipo de dos estudiantes. La definición, la arquitectura y la validación ocuparon seis semanas. La construcción ocupa </w:t>
      </w:r>
      <w:r>
        <w:rPr>
          <w:rFonts w:ascii="Calibri" w:cs="Calibri" w:eastAsia="Calibri" w:hAnsi="Calibri"/>
          <w:b/>
          <w:bCs/>
          <w:sz w:val="20"/>
          <w:szCs w:val="20"/>
        </w:rPr>
        <w:t xml:space="preserve">nueve semanas</w:t>
      </w:r>
      <w:r>
        <w:rPr>
          <w:rFonts w:ascii="Calibri" w:cs="Calibri" w:eastAsia="Calibri" w:hAnsi="Calibri"/>
          <w:sz w:val="20"/>
          <w:szCs w:val="20"/>
        </w:rPr>
        <w:t xml:space="preserve">, un sprint 0 y ocho sprints de una semana, con 270 horas de capacidad y 213 comprometidas, un 21% de holgura. Arquitectura v1.1 con 42 requisitos trazados, 26 en el MVP, y 24 decisiones fundamentadas. El entregable es un entorno de demostración operativo.</w:t>
      </w:r>
    </w:p>
    <w:sectPr>
      <w:footerReference w:type="default" r:id="rId7"/>
      <w:pgSz w:w="12240" w:h="15840" w:orient="portrait"/>
      <w:pgMar w:top="760" w:right="990" w:bottom="650" w:left="99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67676"/>
        <w:sz w:val="16"/>
        <w:szCs w:val="16"/>
      </w:rPr>
      <w:t xml:space="preserve">MATU · Ficha de proyecto · versión 1.1 · septiembre 2026 · página </w:t>
    </w:r>
    <w:r>
      <w:rPr>
        <w:rFonts w:ascii="Calibri" w:cs="Calibri" w:eastAsia="Calibri" w:hAnsi="Calibri"/>
        <w:color w:val="7676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2026-09-15T00:53:28.033Z</dcterms:created>
  <dcterms:modified xsi:type="dcterms:W3CDTF">2026-09-15T00:53:28.033Z</dcterms:modified>
</cp:coreProperties>
</file>

<file path=docProps/custom.xml><?xml version="1.0" encoding="utf-8"?>
<Properties xmlns="http://schemas.openxmlformats.org/officeDocument/2006/custom-properties" xmlns:vt="http://schemas.openxmlformats.org/officeDocument/2006/docPropsVTypes"/>
</file>