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238.55468749999994" w:hRule="atLeast"/>
          <w:tblHeader w:val="0"/>
        </w:trPr>
        <w:tc>
          <w:tcPr>
            <w:shd w:fill="auto" w:val="clea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665"/>
        <w:gridCol w:w="3465"/>
        <w:gridCol w:w="5265"/>
        <w:gridCol w:w="1305"/>
        <w:gridCol w:w="1290"/>
        <w:tblGridChange w:id="0">
          <w:tblGrid>
            <w:gridCol w:w="1665"/>
            <w:gridCol w:w="3465"/>
            <w:gridCol w:w="5265"/>
            <w:gridCol w:w="1305"/>
            <w:gridCol w:w="1290"/>
          </w:tblGrid>
        </w:tblGridChange>
      </w:tblGrid>
      <w:tr>
        <w:trPr>
          <w:cantSplit w:val="0"/>
          <w:trHeight w:val="597.4218749999999"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12</w:t>
            </w:r>
          </w:p>
        </w:tc>
      </w:tr>
      <w:tr>
        <w:trPr>
          <w:cantSplit w:val="0"/>
          <w:tblHeader w:val="0"/>
        </w:trPr>
        <w:tc>
          <w:tcPr>
            <w:vMerge w:val="continue"/>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15</w:t>
            </w:r>
          </w:p>
        </w:tc>
      </w:tr>
      <w:tr>
        <w:trPr>
          <w:cantSplit w:val="0"/>
          <w:tblHeader w:val="0"/>
        </w:trPr>
        <w:tc>
          <w:tcPr>
            <w:vMerge w:val="continue"/>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13</w:t>
            </w:r>
          </w:p>
        </w:tc>
      </w:tr>
      <w:tr>
        <w:trPr>
          <w:cantSplit w:val="0"/>
          <w:trHeight w:val="1005" w:hRule="atLeast"/>
          <w:tblHeader w:val="0"/>
        </w:trPr>
        <w:tc>
          <w:tcPr>
            <w:vMerge w:val="continue"/>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tcBorders>
              <w:bottom w:color="ffffff" w:space="0" w:sz="4" w:val="single"/>
            </w:tcBorders>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tcBorders>
              <w:bottom w:color="ffffff" w:space="0" w:sz="4" w:val="single"/>
            </w:tcBorders>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blHeader w:val="0"/>
        </w:trPr>
        <w:tc>
          <w:tcPr>
            <w:vMerge w:val="continue"/>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ffffff" w:space="0" w:sz="4" w:val="single"/>
            </w:tcBorders>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ffffff" w:space="0" w:sz="4" w:val="single"/>
            </w:tcBorders>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1147.4218749999998" w:hRule="atLeast"/>
          <w:tblHeader w:val="0"/>
        </w:trPr>
        <w:tc>
          <w:tcPr>
            <w:vMerge w:val="restart"/>
            <w:tcBorders>
              <w:top w:color="7f7f7f" w:space="0" w:sz="6" w:val="single"/>
              <w:left w:color="7f7f7f" w:space="0" w:sz="6" w:val="single"/>
              <w:bottom w:color="7f7f7f" w:space="0" w:sz="6" w:val="single"/>
              <w:right w:color="7f7f7f" w:space="0" w:sz="6" w:val="single"/>
            </w:tcBorders>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88" w:lineRule="auto"/>
        <w:ind w:left="360" w:right="0" w:firstLine="0"/>
        <w:jc w:val="left"/>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7">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000000"/>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sz w:val="56"/>
          <w:szCs w:val="56"/>
          <w:rtl w:val="0"/>
        </w:rPr>
        <w:tab/>
        <w:tab/>
      </w: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7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7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A">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8B">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8F">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1">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9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9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9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96">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9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9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09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0A5">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0A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0">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B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B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BD">
      <w:pPr>
        <w:rPr>
          <w:rFonts w:ascii="Calibri" w:cs="Calibri" w:eastAsia="Calibri" w:hAnsi="Calibri"/>
          <w:sz w:val="22"/>
          <w:szCs w:val="22"/>
          <w:u w:val="single"/>
        </w:rPr>
      </w:pPr>
      <w:r w:rsidDel="00000000" w:rsidR="00000000" w:rsidRPr="00000000">
        <w:br w:type="page"/>
      </w:r>
      <w:r w:rsidDel="00000000" w:rsidR="00000000" w:rsidRPr="00000000">
        <w:rPr>
          <w:rtl w:val="0"/>
        </w:rPr>
      </w:r>
    </w:p>
    <w:p w:rsidR="00000000" w:rsidDel="00000000" w:rsidP="00000000" w:rsidRDefault="00000000" w:rsidRPr="00000000" w14:paraId="000000B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4">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D5">
      <w:pPr>
        <w:spacing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6">
      <w:pPr>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4186238" cy="1022445"/>
            <wp:effectExtent b="0" l="0" r="0" t="0"/>
            <wp:docPr id="4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86238" cy="102244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Escuela de Informática y Telecomunicaciones · Sede San Joaquín</w:t>
      </w:r>
    </w:p>
    <w:p w:rsidR="00000000" w:rsidDel="00000000" w:rsidP="00000000" w:rsidRDefault="00000000" w:rsidRPr="00000000" w14:paraId="000000D8">
      <w:pPr>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D9">
      <w:pPr>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DA">
      <w:pPr>
        <w:spacing w:line="360" w:lineRule="auto"/>
        <w:jc w:val="center"/>
        <w:rPr>
          <w:rFonts w:ascii="Calibri" w:cs="Calibri" w:eastAsia="Calibri" w:hAnsi="Calibri"/>
          <w:b w:val="1"/>
          <w:bCs w:val="1"/>
          <w:sz w:val="56"/>
          <w:szCs w:val="56"/>
        </w:rPr>
      </w:pPr>
      <w:r w:rsidDel="00000000" w:rsidR="00000000" w:rsidRPr="00000000">
        <w:rPr>
          <w:rFonts w:ascii="Calibri" w:cs="Calibri" w:eastAsia="Calibri" w:hAnsi="Calibri"/>
          <w:b w:val="1"/>
          <w:bCs w:val="1"/>
          <w:sz w:val="56"/>
          <w:szCs w:val="56"/>
          <w:rtl w:val="0"/>
        </w:rPr>
        <w:t xml:space="preserve">MATU</w:t>
      </w:r>
    </w:p>
    <w:p w:rsidR="00000000" w:rsidDel="00000000" w:rsidP="00000000" w:rsidRDefault="00000000" w:rsidRPr="00000000" w14:paraId="000000DB">
      <w:pPr>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Sistema de continuidad del cuidado para personas mayores con dependencia</w:t>
      </w:r>
    </w:p>
    <w:p w:rsidR="00000000" w:rsidDel="00000000" w:rsidP="00000000" w:rsidRDefault="00000000" w:rsidRPr="00000000" w14:paraId="000000DC">
      <w:pPr>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DD">
      <w:pPr>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Informe de Definición de Proyecto APT · Fase 1</w:t>
      </w:r>
    </w:p>
    <w:p w:rsidR="00000000" w:rsidDel="00000000" w:rsidP="00000000" w:rsidRDefault="00000000" w:rsidRPr="00000000" w14:paraId="000000DE">
      <w:pPr>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DF">
      <w:pPr>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E0">
      <w:pPr>
        <w:spacing w:after="100" w:line="360" w:lineRule="auto"/>
        <w:ind w:left="2880" w:firstLine="0"/>
        <w:jc w:val="both"/>
        <w:rPr>
          <w:rFonts w:ascii="Calibri" w:cs="Calibri" w:eastAsia="Calibri" w:hAnsi="Calibri"/>
          <w:sz w:val="24"/>
          <w:szCs w:val="24"/>
        </w:rPr>
      </w:pPr>
      <w:r w:rsidDel="00000000" w:rsidR="00000000" w:rsidRPr="00000000">
        <w:rPr>
          <w:rFonts w:ascii="Calibri" w:cs="Calibri" w:eastAsia="Calibri" w:hAnsi="Calibri"/>
          <w:b w:val="1"/>
          <w:bCs w:val="1"/>
          <w:color w:val="0a253e"/>
          <w:sz w:val="24"/>
          <w:szCs w:val="24"/>
          <w:rtl w:val="0"/>
        </w:rPr>
        <w:t xml:space="preserve">Asignatura:</w:t>
      </w:r>
      <w:r w:rsidDel="00000000" w:rsidR="00000000" w:rsidRPr="00000000">
        <w:rPr>
          <w:rFonts w:ascii="Calibri" w:cs="Calibri" w:eastAsia="Calibri" w:hAnsi="Calibri"/>
          <w:color w:val="0a253e"/>
          <w:sz w:val="24"/>
          <w:szCs w:val="24"/>
          <w:rtl w:val="0"/>
        </w:rPr>
        <w:tab/>
      </w:r>
      <w:r w:rsidDel="00000000" w:rsidR="00000000" w:rsidRPr="00000000">
        <w:rPr>
          <w:rFonts w:ascii="Calibri" w:cs="Calibri" w:eastAsia="Calibri" w:hAnsi="Calibri"/>
          <w:sz w:val="24"/>
          <w:szCs w:val="24"/>
          <w:rtl w:val="0"/>
        </w:rPr>
        <w:t xml:space="preserve">Capstone (PTY4614) · Portafolio de Título APT122</w:t>
      </w:r>
    </w:p>
    <w:p w:rsidR="00000000" w:rsidDel="00000000" w:rsidP="00000000" w:rsidRDefault="00000000" w:rsidRPr="00000000" w14:paraId="000000E1">
      <w:pPr>
        <w:spacing w:after="100" w:line="360" w:lineRule="auto"/>
        <w:ind w:left="2880" w:firstLine="0"/>
        <w:jc w:val="both"/>
        <w:rPr>
          <w:rFonts w:ascii="Calibri" w:cs="Calibri" w:eastAsia="Calibri" w:hAnsi="Calibri"/>
          <w:sz w:val="24"/>
          <w:szCs w:val="24"/>
        </w:rPr>
      </w:pPr>
      <w:r w:rsidDel="00000000" w:rsidR="00000000" w:rsidRPr="00000000">
        <w:rPr>
          <w:rFonts w:ascii="Calibri" w:cs="Calibri" w:eastAsia="Calibri" w:hAnsi="Calibri"/>
          <w:b w:val="1"/>
          <w:bCs w:val="1"/>
          <w:color w:val="0a253e"/>
          <w:sz w:val="24"/>
          <w:szCs w:val="24"/>
          <w:rtl w:val="0"/>
        </w:rPr>
        <w:t xml:space="preserve">Integrantes:</w:t>
      </w:r>
      <w:r w:rsidDel="00000000" w:rsidR="00000000" w:rsidRPr="00000000">
        <w:rPr>
          <w:rFonts w:ascii="Calibri" w:cs="Calibri" w:eastAsia="Calibri" w:hAnsi="Calibri"/>
          <w:color w:val="0a253e"/>
          <w:sz w:val="24"/>
          <w:szCs w:val="24"/>
          <w:rtl w:val="0"/>
        </w:rPr>
        <w:tab/>
      </w:r>
      <w:r w:rsidDel="00000000" w:rsidR="00000000" w:rsidRPr="00000000">
        <w:rPr>
          <w:rFonts w:ascii="Calibri" w:cs="Calibri" w:eastAsia="Calibri" w:hAnsi="Calibri"/>
          <w:sz w:val="24"/>
          <w:szCs w:val="24"/>
          <w:rtl w:val="0"/>
        </w:rPr>
        <w:t xml:space="preserve">Jorge Eduardo Espinoza Arévalo · Martín Alonzo Henríquez Quiroz</w:t>
      </w:r>
    </w:p>
    <w:p w:rsidR="00000000" w:rsidDel="00000000" w:rsidP="00000000" w:rsidRDefault="00000000" w:rsidRPr="00000000" w14:paraId="000000E2">
      <w:pPr>
        <w:spacing w:after="100" w:line="360" w:lineRule="auto"/>
        <w:ind w:left="2880" w:firstLine="0"/>
        <w:jc w:val="both"/>
        <w:rPr>
          <w:rFonts w:ascii="Calibri" w:cs="Calibri" w:eastAsia="Calibri" w:hAnsi="Calibri"/>
          <w:sz w:val="24"/>
          <w:szCs w:val="24"/>
        </w:rPr>
      </w:pPr>
      <w:r w:rsidDel="00000000" w:rsidR="00000000" w:rsidRPr="00000000">
        <w:rPr>
          <w:rFonts w:ascii="Calibri" w:cs="Calibri" w:eastAsia="Calibri" w:hAnsi="Calibri"/>
          <w:b w:val="1"/>
          <w:bCs w:val="1"/>
          <w:color w:val="0a253e"/>
          <w:sz w:val="24"/>
          <w:szCs w:val="24"/>
          <w:rtl w:val="0"/>
        </w:rPr>
        <w:t xml:space="preserve">Carrera:</w:t>
      </w:r>
      <w:r w:rsidDel="00000000" w:rsidR="00000000" w:rsidRPr="00000000">
        <w:rPr>
          <w:rFonts w:ascii="Calibri" w:cs="Calibri" w:eastAsia="Calibri" w:hAnsi="Calibri"/>
          <w:color w:val="0a253e"/>
          <w:sz w:val="24"/>
          <w:szCs w:val="24"/>
          <w:rtl w:val="0"/>
        </w:rPr>
        <w:tab/>
      </w:r>
      <w:r w:rsidDel="00000000" w:rsidR="00000000" w:rsidRPr="00000000">
        <w:rPr>
          <w:rFonts w:ascii="Calibri" w:cs="Calibri" w:eastAsia="Calibri" w:hAnsi="Calibri"/>
          <w:sz w:val="24"/>
          <w:szCs w:val="24"/>
          <w:rtl w:val="0"/>
        </w:rPr>
        <w:t xml:space="preserve">Ingeniería en Informática</w:t>
      </w:r>
    </w:p>
    <w:p w:rsidR="00000000" w:rsidDel="00000000" w:rsidP="00000000" w:rsidRDefault="00000000" w:rsidRPr="00000000" w14:paraId="000000E3">
      <w:pPr>
        <w:spacing w:after="100" w:line="360" w:lineRule="auto"/>
        <w:ind w:left="2880" w:firstLine="0"/>
        <w:jc w:val="both"/>
        <w:rPr>
          <w:rFonts w:ascii="Calibri" w:cs="Calibri" w:eastAsia="Calibri" w:hAnsi="Calibri"/>
          <w:sz w:val="24"/>
          <w:szCs w:val="24"/>
        </w:rPr>
      </w:pPr>
      <w:r w:rsidDel="00000000" w:rsidR="00000000" w:rsidRPr="00000000">
        <w:rPr>
          <w:rFonts w:ascii="Calibri" w:cs="Calibri" w:eastAsia="Calibri" w:hAnsi="Calibri"/>
          <w:b w:val="1"/>
          <w:bCs w:val="1"/>
          <w:color w:val="0a253e"/>
          <w:sz w:val="24"/>
          <w:szCs w:val="24"/>
          <w:rtl w:val="0"/>
        </w:rPr>
        <w:t xml:space="preserve">Sede:</w:t>
      </w:r>
      <w:r w:rsidDel="00000000" w:rsidR="00000000" w:rsidRPr="00000000">
        <w:rPr>
          <w:rFonts w:ascii="Calibri" w:cs="Calibri" w:eastAsia="Calibri" w:hAnsi="Calibri"/>
          <w:color w:val="0a253e"/>
          <w:sz w:val="24"/>
          <w:szCs w:val="24"/>
          <w:rtl w:val="0"/>
        </w:rPr>
        <w:t xml:space="preserve"> </w:t>
        <w:tab/>
        <w:tab/>
      </w:r>
      <w:r w:rsidDel="00000000" w:rsidR="00000000" w:rsidRPr="00000000">
        <w:rPr>
          <w:rFonts w:ascii="Calibri" w:cs="Calibri" w:eastAsia="Calibri" w:hAnsi="Calibri"/>
          <w:sz w:val="24"/>
          <w:szCs w:val="24"/>
          <w:rtl w:val="0"/>
        </w:rPr>
        <w:t xml:space="preserve">San Joaquín</w:t>
      </w:r>
    </w:p>
    <w:p w:rsidR="00000000" w:rsidDel="00000000" w:rsidP="00000000" w:rsidRDefault="00000000" w:rsidRPr="00000000" w14:paraId="000000E4">
      <w:pPr>
        <w:spacing w:after="100" w:line="360" w:lineRule="auto"/>
        <w:ind w:left="2880" w:firstLine="0"/>
        <w:jc w:val="both"/>
        <w:rPr>
          <w:rFonts w:ascii="Calibri" w:cs="Calibri" w:eastAsia="Calibri" w:hAnsi="Calibri"/>
          <w:sz w:val="24"/>
          <w:szCs w:val="24"/>
        </w:rPr>
      </w:pPr>
      <w:r w:rsidDel="00000000" w:rsidR="00000000" w:rsidRPr="00000000">
        <w:rPr>
          <w:rFonts w:ascii="Calibri" w:cs="Calibri" w:eastAsia="Calibri" w:hAnsi="Calibri"/>
          <w:b w:val="1"/>
          <w:bCs w:val="1"/>
          <w:color w:val="0a253e"/>
          <w:sz w:val="24"/>
          <w:szCs w:val="24"/>
          <w:rtl w:val="0"/>
        </w:rPr>
        <w:t xml:space="preserve">Fecha:</w:t>
      </w:r>
      <w:r w:rsidDel="00000000" w:rsidR="00000000" w:rsidRPr="00000000">
        <w:rPr>
          <w:rFonts w:ascii="Calibri" w:cs="Calibri" w:eastAsia="Calibri" w:hAnsi="Calibri"/>
          <w:color w:val="0a253e"/>
          <w:sz w:val="24"/>
          <w:szCs w:val="24"/>
          <w:rtl w:val="0"/>
        </w:rPr>
        <w:t xml:space="preserve"> </w:t>
        <w:tab/>
        <w:tab/>
      </w:r>
      <w:r w:rsidDel="00000000" w:rsidR="00000000" w:rsidRPr="00000000">
        <w:rPr>
          <w:rFonts w:ascii="Calibri" w:cs="Calibri" w:eastAsia="Calibri" w:hAnsi="Calibri"/>
          <w:sz w:val="24"/>
          <w:szCs w:val="24"/>
          <w:rtl w:val="0"/>
        </w:rPr>
        <w:t xml:space="preserve">Septiembre de 2026</w:t>
      </w:r>
    </w:p>
    <w:p w:rsidR="00000000" w:rsidDel="00000000" w:rsidP="00000000" w:rsidRDefault="00000000" w:rsidRPr="00000000" w14:paraId="000000E5">
      <w:pPr>
        <w:pStyle w:val="Heading1"/>
        <w:keepNext w:val="0"/>
        <w:keepLines w:val="0"/>
        <w:spacing w:after="180" w:before="360" w:line="276" w:lineRule="auto"/>
        <w:jc w:val="left"/>
        <w:rPr>
          <w:rFonts w:ascii="Calibri" w:cs="Calibri" w:eastAsia="Calibri" w:hAnsi="Calibri"/>
          <w:color w:val="0a253e"/>
          <w:sz w:val="30"/>
          <w:szCs w:val="30"/>
        </w:rPr>
      </w:pPr>
      <w:bookmarkStart w:colFirst="0" w:colLast="0" w:name="_heading=h.grifjp3sq07c" w:id="0"/>
      <w:bookmarkEnd w:id="0"/>
      <w:r w:rsidDel="00000000" w:rsidR="00000000" w:rsidRPr="00000000">
        <w:rPr>
          <w:rFonts w:ascii="Calibri" w:cs="Calibri" w:eastAsia="Calibri" w:hAnsi="Calibri"/>
          <w:color w:val="0a253e"/>
          <w:sz w:val="30"/>
          <w:szCs w:val="30"/>
          <w:rtl w:val="0"/>
        </w:rPr>
        <w:t xml:space="preserve">Índice</w:t>
      </w:r>
    </w:p>
    <w:p w:rsidR="00000000" w:rsidDel="00000000" w:rsidP="00000000" w:rsidRDefault="00000000" w:rsidRPr="00000000" w14:paraId="000000EA">
      <w:pPr>
        <w:spacing w:after="140" w:line="360" w:lineRule="auto"/>
        <w:rPr>
          <w:rFonts w:ascii="Calibri" w:cs="Calibri" w:eastAsia="Calibri" w:hAnsi="Calibri"/>
          <w:sz w:val="24"/>
          <w:szCs w:val="24"/>
        </w:rPr>
      </w:pPr>
      <w:fldSimple w:instr="TOC \o &quot;1-2&quot; \h \z \u">
        <w:r>
          <w:rPr>
            <w:rFonts w:ascii="Calibri" w:cs="Calibri" w:eastAsia="Calibri" w:hAnsi="Calibri"/>
            <w:sz w:val="24"/>
            <w:szCs w:val="24"/>
          </w:rPr>
          <w:t>Índice generado automáticamente. Si aparece este texto, presione F9 o acepte la actualización de campos al abrir el documento.</w:t>
        </w:r>
      </w:fldSimple>
    </w:p>
    <w:p w:rsidR="00000000" w:rsidDel="00000000" w:rsidP="00000000" w:rsidRDefault="00000000" w:rsidRPr="00000000" w14:paraId="000000E6">
      <w:pPr>
        <w:spacing w:after="100" w:line="259.20000000000005" w:lineRule="auto"/>
        <w:jc w:val="center"/>
        <w:rPr>
          <w:rFonts w:ascii="Calibri" w:cs="Calibri" w:eastAsia="Calibri" w:hAnsi="Calibri"/>
          <w:b w:val="1"/>
          <w:bCs w:val="1"/>
          <w:color w:val="0a253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keepNext w:val="0"/>
        <w:keepLines w:val="0"/>
        <w:spacing w:after="180" w:before="360" w:line="276" w:lineRule="auto"/>
        <w:rPr>
          <w:rFonts w:ascii="Calibri" w:cs="Calibri" w:eastAsia="Calibri" w:hAnsi="Calibri"/>
          <w:color w:val="0a253e"/>
          <w:sz w:val="30"/>
          <w:szCs w:val="30"/>
        </w:rPr>
      </w:pPr>
      <w:bookmarkStart w:colFirst="0" w:colLast="0" w:name="_heading=h.im5fpjnhhprv" w:id="1"/>
      <w:bookmarkEnd w:id="1"/>
      <w:r w:rsidDel="00000000" w:rsidR="00000000" w:rsidRPr="00000000">
        <w:rPr>
          <w:rFonts w:ascii="Calibri" w:cs="Calibri" w:eastAsia="Calibri" w:hAnsi="Calibri"/>
          <w:color w:val="0a253e"/>
          <w:sz w:val="30"/>
          <w:szCs w:val="30"/>
          <w:rtl w:val="0"/>
        </w:rPr>
        <w:t xml:space="preserve">1. Abstract</w:t>
      </w:r>
    </w:p>
    <w:p w:rsidR="00000000" w:rsidDel="00000000" w:rsidP="00000000" w:rsidRDefault="00000000" w:rsidRPr="00000000" w14:paraId="000000E8">
      <w:pPr>
        <w:pStyle w:val="Heading2"/>
        <w:keepNext w:val="0"/>
        <w:keepLines w:val="0"/>
        <w:spacing w:after="140" w:before="260" w:line="276" w:lineRule="auto"/>
        <w:rPr>
          <w:rFonts w:ascii="Calibri" w:cs="Calibri" w:eastAsia="Calibri" w:hAnsi="Calibri"/>
          <w:color w:val="0a253e"/>
          <w:sz w:val="25"/>
          <w:szCs w:val="25"/>
        </w:rPr>
      </w:pPr>
      <w:bookmarkStart w:colFirst="0" w:colLast="0" w:name="_heading=h.o2avmsqi1lih" w:id="2"/>
      <w:bookmarkEnd w:id="2"/>
      <w:r w:rsidDel="00000000" w:rsidR="00000000" w:rsidRPr="00000000">
        <w:rPr>
          <w:rtl w:val="0"/>
        </w:rPr>
      </w:r>
    </w:p>
    <w:p w:rsidR="00000000" w:rsidDel="00000000" w:rsidP="00000000" w:rsidRDefault="00000000" w:rsidRPr="00000000" w14:paraId="000000E9">
      <w:pPr>
        <w:pStyle w:val="Heading2"/>
        <w:keepNext w:val="0"/>
        <w:keepLines w:val="0"/>
        <w:spacing w:after="140" w:before="260" w:line="276" w:lineRule="auto"/>
        <w:rPr>
          <w:rFonts w:ascii="Calibri" w:cs="Calibri" w:eastAsia="Calibri" w:hAnsi="Calibri"/>
          <w:color w:val="0a253e"/>
          <w:sz w:val="25"/>
          <w:szCs w:val="25"/>
        </w:rPr>
      </w:pPr>
      <w:bookmarkStart w:colFirst="0" w:colLast="0" w:name="_heading=h.3fvlrhydi3cz" w:id="3"/>
      <w:bookmarkEnd w:id="3"/>
      <w:r w:rsidDel="00000000" w:rsidR="00000000" w:rsidRPr="00000000">
        <w:rPr>
          <w:rFonts w:ascii="Calibri" w:cs="Calibri" w:eastAsia="Calibri" w:hAnsi="Calibri"/>
          <w:color w:val="0a253e"/>
          <w:sz w:val="25"/>
          <w:szCs w:val="25"/>
          <w:rtl w:val="0"/>
        </w:rPr>
        <w:t xml:space="preserve">1.1 Resumen</w:t>
      </w:r>
    </w:p>
    <w:p w:rsidR="00000000" w:rsidDel="00000000" w:rsidP="00000000" w:rsidRDefault="00000000" w:rsidRPr="00000000" w14:paraId="000000EA">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MATU es un sistema de continuidad del cuidado para personas mayores en situación de dependencia. El problema que aborda tiene dos caras que en realidad son una sola: el conocimiento de cómo se cuida a una persona vive en la cabeza de un solo cuidador y no está escrito en ninguna parte, y el abastecimiento de insumos se lleva de memoria y se resuelve con salidas de urgencia. Ambas condiciones producen el mismo efecto, que es la imposibilidad de delegar el cuidado.</w:t>
      </w:r>
    </w:p>
    <w:p w:rsidR="00000000" w:rsidDel="00000000" w:rsidP="00000000" w:rsidRDefault="00000000" w:rsidRPr="00000000" w14:paraId="000000EB">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se estructura en tres capas con dependencia estrictamente descendente. La primera convierte el conocimiento del cuidador en un plan de cuidado cifrado y compartible con un cuidador de relevo mediante un acceso temporal y revocable, con una ficha de relevo de tres campos como versión mínima obligatoria. La segunda deriva de ese plan el perfil de consumo de cada insumo y proyecta la fecha de quiebre de stock antes de que ocurra. La tercera gestiona el pedido, el pago y la entrega, y está desacoplada por diseño, de modo que el sistema entrega valor aunque no exista convenio comercial.</w:t>
      </w:r>
    </w:p>
    <w:p w:rsidR="00000000" w:rsidDel="00000000" w:rsidP="00000000" w:rsidRDefault="00000000" w:rsidRPr="00000000" w14:paraId="000000EB">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definición se contrastó con la meta completa del protocolo de validación, diez entrevistas a cuidadoras, realizadas con criterios de validación y refutación fijados por escrito antes de la primera. El relevo, el quiebre de insumos y la disposición a pagar quedaron validados. La hipótesis de que un cuidador completa ocho preguntas en cinco minutos quedó refutada y se activó el plan B ya diseñado, que reduce la versión mínima del plan de cuidado a tres campos. Tres hipótesis quedaron en zona intermedia, y para ese caso el propio protocolo obliga a ampliar la muestra antes de decidir. Con la canasta mensual medida, de mediana $70.000, y una compra al mes, el punto de equilibrio del piloto se recalculó en 84 familias.</w:t>
      </w:r>
    </w:p>
    <w:p w:rsidR="00000000" w:rsidDel="00000000" w:rsidP="00000000" w:rsidRDefault="00000000" w:rsidRPr="00000000" w14:paraId="000000EC">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construcción ocupa nueve semanas, un sprint 0 de preparación y ocho sprints de una semana, con una capacidad declarada de 270 horas y un alcance recortado a 213. El diseño está documentado en una arquitectura de línea base con 42 requisitos funcionales trazados a módulos, 24 decisiones de arquitectura fundamentadas y un prototipo navegable de 32 pantallas. Este informe presenta la definición del proyecto, los resultados de su validación con cuidadoras, su relación con el perfil de egreso de Ingeniería en Informática, la factibilidad de su ejecución en el marco de la asignatura, los objetivos, la metodología, el plan de trabajo y las evidencias comprometidas.</w:t>
      </w:r>
    </w:p>
    <w:p w:rsidR="00000000" w:rsidDel="00000000" w:rsidP="00000000" w:rsidRDefault="00000000" w:rsidRPr="00000000" w14:paraId="000000ED">
      <w:pPr>
        <w:pStyle w:val="Heading2"/>
        <w:keepNext w:val="0"/>
        <w:keepLines w:val="0"/>
        <w:spacing w:after="140" w:before="260" w:line="276" w:lineRule="auto"/>
        <w:rPr>
          <w:rFonts w:ascii="Calibri" w:cs="Calibri" w:eastAsia="Calibri" w:hAnsi="Calibri"/>
          <w:color w:val="0a253e"/>
          <w:sz w:val="25"/>
          <w:szCs w:val="25"/>
        </w:rPr>
      </w:pPr>
      <w:bookmarkStart w:colFirst="0" w:colLast="0" w:name="_heading=h.95t5l4pji63t" w:id="4"/>
      <w:bookmarkEnd w:id="4"/>
      <w:r w:rsidDel="00000000" w:rsidR="00000000" w:rsidRPr="00000000">
        <w:rPr>
          <w:rtl w:val="0"/>
        </w:rPr>
      </w:r>
    </w:p>
    <w:p w:rsidR="00000000" w:rsidDel="00000000" w:rsidP="00000000" w:rsidRDefault="00000000" w:rsidRPr="00000000" w14:paraId="000000EE">
      <w:pPr>
        <w:pStyle w:val="Heading2"/>
        <w:keepNext w:val="0"/>
        <w:keepLines w:val="0"/>
        <w:spacing w:after="140" w:before="260" w:line="276" w:lineRule="auto"/>
        <w:rPr>
          <w:rFonts w:ascii="Calibri" w:cs="Calibri" w:eastAsia="Calibri" w:hAnsi="Calibri"/>
          <w:color w:val="0a253e"/>
          <w:sz w:val="25"/>
          <w:szCs w:val="25"/>
        </w:rPr>
      </w:pPr>
      <w:bookmarkStart w:colFirst="0" w:colLast="0" w:name="_heading=h.73zqebbp2tku" w:id="5"/>
      <w:bookmarkEnd w:id="5"/>
      <w:r w:rsidDel="00000000" w:rsidR="00000000" w:rsidRPr="00000000">
        <w:rPr>
          <w:rtl w:val="0"/>
        </w:rPr>
      </w:r>
    </w:p>
    <w:p w:rsidR="00000000" w:rsidDel="00000000" w:rsidP="00000000" w:rsidRDefault="00000000" w:rsidRPr="00000000" w14:paraId="000000EF">
      <w:pPr>
        <w:pStyle w:val="Heading2"/>
        <w:keepNext w:val="0"/>
        <w:keepLines w:val="0"/>
        <w:spacing w:after="140" w:before="260" w:line="276" w:lineRule="auto"/>
        <w:rPr>
          <w:rFonts w:ascii="Calibri" w:cs="Calibri" w:eastAsia="Calibri" w:hAnsi="Calibri"/>
          <w:color w:val="0a253e"/>
          <w:sz w:val="25"/>
          <w:szCs w:val="25"/>
        </w:rPr>
      </w:pPr>
      <w:bookmarkStart w:colFirst="0" w:colLast="0" w:name="_heading=h.y4abhip87ogm" w:id="6"/>
      <w:bookmarkEnd w:id="6"/>
      <w:r w:rsidDel="00000000" w:rsidR="00000000" w:rsidRPr="00000000">
        <w:rPr>
          <w:rFonts w:ascii="Calibri" w:cs="Calibri" w:eastAsia="Calibri" w:hAnsi="Calibri"/>
          <w:color w:val="0a253e"/>
          <w:sz w:val="25"/>
          <w:szCs w:val="25"/>
          <w:rtl w:val="0"/>
        </w:rPr>
        <w:t xml:space="preserve">1.2 Abstract</w:t>
      </w:r>
    </w:p>
    <w:p w:rsidR="00000000" w:rsidDel="00000000" w:rsidP="00000000" w:rsidRDefault="00000000" w:rsidRPr="00000000" w14:paraId="000000F0">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MATU is a continuity-of-care system for older adults in a situation of dependency. The problem it addresses has two faces that are in fact one: the knowledge of how a person is cared for lives in the head of a single caregiver and is written down nowhere, and the supply of consumables is tracked from memory and resolved through emergency trips. Both conditions produce the same effect, which is the impossibility of delegating care.</w:t>
      </w:r>
    </w:p>
    <w:p w:rsidR="00000000" w:rsidDel="00000000" w:rsidP="00000000" w:rsidRDefault="00000000" w:rsidRPr="00000000" w14:paraId="000000F1">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is structured in three layers with strictly downward dependency. The first turns the caregiver's knowledge into an encrypted care plan, shareable with a relief caregiver through temporary and revocable access, with a three-field relief sheet as its mandatory minimum version. The second derives from that plan the consumption profile of each supply item and projects the stock-out date before it occurs. The third manages the order, the payment and the delivery, and is decoupled by design, so that the system delivers value even when no commercial agreement exists.</w:t>
      </w:r>
    </w:p>
    <w:p w:rsidR="00000000" w:rsidDel="00000000" w:rsidP="00000000" w:rsidRDefault="00000000" w:rsidRPr="00000000" w14:paraId="000000F1">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definition was tested against the full target of the validation protocol, ten interviews with caregivers, carried out with validation and refutation criteria written down before the first one. Relief, supply stock-outs and willingness to pay were validated. The hypothesis that a caregiver completes eight questions in five minutes was refuted, and the plan B already designed was activated, reducing the minimum version of the care plan to three fields. Three hypotheses landed in the intermediate zone, and for that case the protocol itself requires widening the sample before deciding. With the measured monthly basket, median $70,000, and one purchase per month, the pilot's break-even point was recalculated at 84 families.</w:t>
      </w:r>
    </w:p>
    <w:p w:rsidR="00000000" w:rsidDel="00000000" w:rsidP="00000000" w:rsidRDefault="00000000" w:rsidRPr="00000000" w14:paraId="000000F2">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Construction runs over nine weeks, a preparation sprint 0 and eight one-week sprints, with a declared capacity of 270 hours and a scope cut to 213. The design is documented in a baseline architecture with 42 functional requirements traced to modules, 24 reasoned architecture decisions and a navigable prototype of 32 screens. This report presents the project definition, the results of its validation with caregivers, its relationship with the graduate profile of Computer Engineering, the feasibility of its execution within the course, the objectives, the methodology, the work plan and the committed evidence.</w:t>
      </w:r>
    </w:p>
    <w:p w:rsidR="00000000" w:rsidDel="00000000" w:rsidP="00000000" w:rsidRDefault="00000000" w:rsidRPr="00000000" w14:paraId="000000F3">
      <w:pPr>
        <w:spacing w:after="14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4">
      <w:pPr>
        <w:pStyle w:val="Heading1"/>
        <w:keepNext w:val="0"/>
        <w:keepLines w:val="0"/>
        <w:spacing w:after="180" w:before="360" w:line="276" w:lineRule="auto"/>
        <w:rPr>
          <w:rFonts w:ascii="Calibri" w:cs="Calibri" w:eastAsia="Calibri" w:hAnsi="Calibri"/>
          <w:color w:val="0a253e"/>
          <w:sz w:val="30"/>
          <w:szCs w:val="30"/>
        </w:rPr>
      </w:pPr>
      <w:bookmarkStart w:colFirst="0" w:colLast="0" w:name="_heading=h.49u9b7gocbe" w:id="7"/>
      <w:bookmarkEnd w:id="7"/>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1"/>
        <w:keepNext w:val="0"/>
        <w:keepLines w:val="0"/>
        <w:spacing w:after="180" w:before="360" w:line="276" w:lineRule="auto"/>
        <w:rPr>
          <w:rFonts w:ascii="Calibri" w:cs="Calibri" w:eastAsia="Calibri" w:hAnsi="Calibri"/>
          <w:color w:val="0a253e"/>
          <w:sz w:val="30"/>
          <w:szCs w:val="30"/>
        </w:rPr>
      </w:pPr>
      <w:bookmarkStart w:colFirst="0" w:colLast="0" w:name="_heading=h.t6man32tql3a" w:id="8"/>
      <w:bookmarkEnd w:id="8"/>
      <w:r w:rsidDel="00000000" w:rsidR="00000000" w:rsidRPr="00000000">
        <w:rPr>
          <w:rFonts w:ascii="Calibri" w:cs="Calibri" w:eastAsia="Calibri" w:hAnsi="Calibri"/>
          <w:color w:val="0a253e"/>
          <w:sz w:val="30"/>
          <w:szCs w:val="30"/>
          <w:rtl w:val="0"/>
        </w:rPr>
        <w:t xml:space="preserve">2. Desarrollo de ingeniería</w:t>
      </w:r>
    </w:p>
    <w:p w:rsidR="00000000" w:rsidDel="00000000" w:rsidP="00000000" w:rsidRDefault="00000000" w:rsidRPr="00000000" w14:paraId="000000F6">
      <w:pPr>
        <w:pStyle w:val="Heading2"/>
        <w:keepNext w:val="0"/>
        <w:keepLines w:val="0"/>
        <w:spacing w:after="140" w:before="260" w:line="276" w:lineRule="auto"/>
        <w:rPr>
          <w:rFonts w:ascii="Calibri" w:cs="Calibri" w:eastAsia="Calibri" w:hAnsi="Calibri"/>
          <w:color w:val="0a253e"/>
          <w:sz w:val="25"/>
          <w:szCs w:val="25"/>
        </w:rPr>
      </w:pPr>
      <w:bookmarkStart w:colFirst="0" w:colLast="0" w:name="_heading=h.lmrie3ido161" w:id="9"/>
      <w:bookmarkEnd w:id="9"/>
      <w:r w:rsidDel="00000000" w:rsidR="00000000" w:rsidRPr="00000000">
        <w:rPr>
          <w:rtl w:val="0"/>
        </w:rPr>
      </w:r>
    </w:p>
    <w:p w:rsidR="00000000" w:rsidDel="00000000" w:rsidP="00000000" w:rsidRDefault="00000000" w:rsidRPr="00000000" w14:paraId="000000F7">
      <w:pPr>
        <w:pStyle w:val="Heading2"/>
        <w:keepNext w:val="0"/>
        <w:keepLines w:val="0"/>
        <w:spacing w:after="140" w:before="260" w:line="276" w:lineRule="auto"/>
        <w:rPr>
          <w:rFonts w:ascii="Calibri" w:cs="Calibri" w:eastAsia="Calibri" w:hAnsi="Calibri"/>
          <w:color w:val="0a253e"/>
          <w:sz w:val="25"/>
          <w:szCs w:val="25"/>
        </w:rPr>
      </w:pPr>
      <w:bookmarkStart w:colFirst="0" w:colLast="0" w:name="_heading=h.chl8fer4d496" w:id="10"/>
      <w:bookmarkEnd w:id="10"/>
      <w:r w:rsidDel="00000000" w:rsidR="00000000" w:rsidRPr="00000000">
        <w:rPr>
          <w:rFonts w:ascii="Calibri" w:cs="Calibri" w:eastAsia="Calibri" w:hAnsi="Calibri"/>
          <w:color w:val="0a253e"/>
          <w:sz w:val="25"/>
          <w:szCs w:val="25"/>
          <w:rtl w:val="0"/>
        </w:rPr>
        <w:t xml:space="preserve">2.1 Descripción del proyecto y su relevancia</w:t>
      </w:r>
    </w:p>
    <w:p w:rsidR="00000000" w:rsidDel="00000000" w:rsidP="00000000" w:rsidRDefault="00000000" w:rsidRPr="00000000" w14:paraId="000000F8">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Chile el cuidado de personas mayores dependientes lo sostienen las familias, sin pago y sin herramientas. Según el Estudio Nacional de la Discapacidad y Dependencia (ENDIDE 2022) del Ministerio de Desarrollo Social y Familia, 1.498.977 personas adultas viven en situación de dependencia, un 9,8% de la población de 18 años y más. El 96,4% de los cuidadores del hogar no recibe remuneración alguna, el 69,9% son mujeres y el 37,9% tiene 60 años o más. El 41,3% de las personas dependientes no cuenta con un cuidador formal.</w:t>
      </w:r>
    </w:p>
    <w:p w:rsidR="00000000" w:rsidDel="00000000" w:rsidP="00000000" w:rsidRDefault="00000000" w:rsidRPr="00000000" w14:paraId="000000F9">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demencia específicamente, el Plan Nacional de Demencia 2025-2035 del Ministerio de Salud estima una prevalencia de 7,0% sobre los 60 años, del orden de 200.000 personas, y consigna que la demencia pasó de ser la quinta causa de muerte en 2011 a la cuarta en 2024.</w:t>
      </w:r>
    </w:p>
    <w:p w:rsidR="00000000" w:rsidDel="00000000" w:rsidP="00000000" w:rsidRDefault="00000000" w:rsidRPr="00000000" w14:paraId="000000FA">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Estas cifras establecen que el problema es grande y está mal cubierto. Lo que no dicen es con qué frecuencia se quiebra el stock de un insumo, cuánto cuesta traspasar el cuidado a un relevo ni cuánto está dispuesta a pagar una familia. Esos tres datos ya no son supuestos del equipo: se midieron en las diez entrevistas con cuidadoras que se presentan al final de esta sección. Seis de diez tuvieron al menos un quiebre en los últimos tres meses, siete de diez tuvieron al menos un relevo y en seis de los nueve relevos relatados algo falló por conocimiento que solo tenía la cuidadora, y seis de diez ya pagan por algún servicio que les facilite el cuidado.</w:t>
      </w:r>
    </w:p>
    <w:p w:rsidR="00000000" w:rsidDel="00000000" w:rsidP="00000000" w:rsidRDefault="00000000" w:rsidRPr="00000000" w14:paraId="000000FB">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un problema de información y de logística antes que de salud, y por eso es un problema de ingeniería informática. Quien cuida administra un flujo permanente de insumos cuya demanda cambia con el estado de la persona, y sostiene un conocimiento tácito, la rutina, las señales de alerta y qué calma una crisis, que no está registrado en ninguna parte. Modelar ese conocimiento, predecir el consumo que se desprende de él y coordinar el gasto entre varias personas son tareas de modelamiento de datos, diseño de software y tratamiento de datos sensibles.</w:t>
      </w:r>
    </w:p>
    <w:p w:rsidR="00000000" w:rsidDel="00000000" w:rsidP="00000000" w:rsidRDefault="00000000" w:rsidRPr="00000000" w14:paraId="000000FC">
      <w:pPr>
        <w:spacing w:after="60"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El sistema propuesto</w:t>
      </w:r>
    </w:p>
    <w:p w:rsidR="00000000" w:rsidDel="00000000" w:rsidP="00000000" w:rsidRDefault="00000000" w:rsidRPr="00000000" w14:paraId="000000FD">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MATU se organiza en tres capas con dependencia estrictamente descendente. El orden es la decisión de diseño más importante del proyecto y está registrada como decisión de arquitectura ADR-001.</w:t>
      </w:r>
    </w:p>
    <w:p w:rsidR="00000000" w:rsidDel="00000000" w:rsidP="00000000" w:rsidRDefault="00000000" w:rsidRPr="00000000" w14:paraId="000000FE">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capa 1, plan de cuidado, es el núcleo y el activo diferenciador. Convierte lo que sabe el cuidador, rutina, horarios, manejo de situaciones difíciles, preferencias, alimentación, movilidad y red de apoyo, en un documento por secciones. Tras la validación, la versión mínima obligatoria es una ficha de relevo de tres campos, la rutina en una línea, qué hacer si la persona se altera y a quién llamar, y las ocho secciones quedan como ampliación opcional que ningún flujo exige completa. Cada sección se cifra de forma independiente con una clave propia por persona cuidada, y se comparte con un cuidador de relevo mediante un enlace con vencimiento, alcance por sección y registro de auditoría de todo acceso.</w:t>
      </w:r>
    </w:p>
    <w:p w:rsidR="00000000" w:rsidDel="00000000" w:rsidP="00000000" w:rsidRDefault="00000000" w:rsidRPr="00000000" w14:paraId="000000FF">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capa 2, consumo y predicción, deriva del mismo plan. Con dos datos por producto, la tasa de uso diaria y el stock actual, el sistema proyecta la fecha de quiebre y genera una lista de reposición antes de que el insumo se acabe. Es un cálculo que un servicio de despacho genérico no puede realizar, porque exige conocer a la persona cuidada.</w:t>
      </w:r>
    </w:p>
    <w:p w:rsidR="00000000" w:rsidDel="00000000" w:rsidP="00000000" w:rsidRDefault="00000000" w:rsidRPr="00000000" w14:paraId="00000100">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capa 3, despacho, cubre el catálogo curado, el pedido, la autorización diferida con captura por el monto real, la entrega y la liquidación con el comercio. Está desacoplada por diseño, según la decisión ADR-002. Si no existe convenio comercial, la familia exporta su lista de reposición y compra donde quiera, y el sistema sigue entregando su valor central. El reparto del gasto entre varios pagadores queda fuera del alcance comprometido del semestre y pasa a la fase 2.</w:t>
      </w:r>
    </w:p>
    <w:p w:rsidR="00000000" w:rsidDel="00000000" w:rsidP="00000000" w:rsidRDefault="00000000" w:rsidRPr="00000000" w14:paraId="00000101">
      <w:pPr>
        <w:spacing w:after="60"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Aporte de valor y contexto</w:t>
      </w:r>
    </w:p>
    <w:p w:rsidR="00000000" w:rsidDel="00000000" w:rsidP="00000000" w:rsidRDefault="00000000" w:rsidRPr="00000000" w14:paraId="00000102">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aporte concreto es doble. Por una parte, un cuidador puede delegar el cuidado por unas horas mediante un acceso acotado y revocable, sin tener que explicar todo de nuevo cada vez. Por otra, el sistema avisa antes del quiebre de stock en lugar de después, con lo cual la compra deja de ser una urgencia que recae siempre sobre la misma persona.</w:t>
      </w:r>
    </w:p>
    <w:p w:rsidR="00000000" w:rsidDel="00000000" w:rsidP="00000000" w:rsidRDefault="00000000" w:rsidRPr="00000000" w14:paraId="00000103">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se sitúa en Chile, Región Metropolitana. El piloto se acota a una comuna de Santiago, definida en el sprint 3, porque la operación logística exige densidad geográfica y porque el punto de equilibrio se calcula sobre un universo local acotado. El usuario central es el cuidador principal familiar, mayoritariamente mujer y con frecuencia mayor de 60 años. El sistema impacta además al círculo familiar que comparte el gasto, a los cuidadores de relevo que reciben el traspaso de información, y a la persona cuidada, que es titular de los datos aunque no siempre pueda consentir por sí misma.</w:t>
      </w:r>
    </w:p>
    <w:p w:rsidR="00000000" w:rsidDel="00000000" w:rsidP="00000000" w:rsidRDefault="00000000" w:rsidRPr="00000000" w14:paraId="00000101">
      <w:pPr>
        <w:spacing w:after="60"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Validación del problema con cuidadoras</w:t>
      </w:r>
    </w:p>
    <w:p w:rsidR="00000000" w:rsidDel="00000000" w:rsidP="00000000" w:rsidRDefault="00000000" w:rsidRPr="00000000" w14:paraId="00000102">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Entre agosto y septiembre de 2026 el equipo ejecutó la meta completa de su protocolo de validación, diez entrevistas, cinco por integrante, siguiendo el anexo C: sin grabación, con consentimiento verbal anotado, con la prueba de conducta sobre el prototipo y con los criterios de validación y refutación de cada hipótesis fijados por escrito antes de la primera entrevista. Las diez entrevistadas son mujeres de entre 38 y 71 años, con entre 3 y 84 meses en la situación de cuidado y una mediana de 36. Siete son cuidadoras principales convivientes, una cuida en la misma propiedad sin convivir, una es familiar que aporta dinero y no cuida, y una es cuidadora remunerada. Dos condiciones de la ejecución se declaran porque pesan sobre la lectura de tres veredictos: la composición por perfiles quedó más cargada a convivientes que lo previsto, y dos entrevistas se aplicaron a distancia, sin cronometrar la prueba del plan de cuidado.</w:t>
      </w:r>
    </w:p>
    <w:p w:rsidR="00000000" w:rsidDel="00000000" w:rsidP="00000000" w:rsidRDefault="00000000" w:rsidRPr="00000000" w14:paraId="00000102">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tabla siguiente resume el resultado de cada hipótesis contra el criterio que el protocolo fijó antes de entrevistar, y la consecuencia que ese mismo protocolo comprometía para cada caso.</w:t>
      </w:r>
    </w:p>
    <w:tbl>
      <w:tblPr>
        <w:tblStyle w:val="Table13"/>
        <w:tblW w:w="13005"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00"/>
        <w:gridCol w:w="5200"/>
        <w:gridCol w:w="5205"/>
      </w:tblGrid>
      <w:tr>
        <w:trPr>
          <w:cantSplit w:val="0"/>
          <w:trHeight w:val="405" w:hRule="atLeast"/>
          <w:tblHeader w:val="0"/>
        </w:trPr>
        <w:tc>
          <w:tcPr>
            <w:tcW w:w="2600" w:type="dxa"/>
            <w:tcBorders>
              <w:top w:color="c8cfd6" w:space="0" w:sz="8" w:val="single"/>
              <w:left w:color="c8cfd6" w:space="0" w:sz="8" w:val="single"/>
              <w:bottom w:color="000000" w:space="0" w:sz="8" w:val="single"/>
              <w:right w:color="000000" w:space="0" w:sz="8" w:val="single"/>
            </w:tcBorders>
            <w:shd w:fill="edf2f7" w:val="clear"/>
            <w:tcMar>
              <w:top w:w="100.0" w:type="dxa"/>
              <w:left w:w="120.0" w:type="dxa"/>
              <w:bottom w:w="100.0" w:type="dxa"/>
              <w:right w:w="120.0" w:type="dxa"/>
            </w:tcMar>
            <w:vAlign w:val="top"/>
          </w:tcPr>
          <w:p w:rsidR="00000000" w:rsidDel="00000000" w:rsidP="00000000" w:rsidRDefault="00000000" w:rsidRPr="00000000" w14:paraId="0000018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Hipótesis</w:t>
            </w:r>
          </w:p>
        </w:tc>
        <w:tc>
          <w:tcPr>
            <w:tcW w:w="5200" w:type="dxa"/>
            <w:tcBorders>
              <w:top w:color="c8cfd6" w:space="0" w:sz="8" w:val="single"/>
              <w:bottom w:color="000000" w:space="0" w:sz="8" w:val="single"/>
              <w:right w:color="000000" w:space="0" w:sz="8" w:val="single"/>
            </w:tcBorders>
            <w:shd w:fill="edf2f7" w:val="clear"/>
            <w:tcMar>
              <w:top w:w="100.0" w:type="dxa"/>
              <w:left w:w="120.0" w:type="dxa"/>
              <w:bottom w:w="100.0" w:type="dxa"/>
              <w:right w:w="120.0" w:type="dxa"/>
            </w:tcMar>
            <w:vAlign w:val="top"/>
          </w:tcPr>
          <w:p w:rsidR="00000000" w:rsidDel="00000000" w:rsidP="00000000" w:rsidRDefault="00000000" w:rsidRPr="00000000" w14:paraId="00000187">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 en diez entrevistas</w:t>
            </w:r>
          </w:p>
        </w:tc>
        <w:tc>
          <w:tcPr>
            <w:tcW w:w="5205" w:type="dxa"/>
            <w:tcBorders>
              <w:top w:color="c8cfd6" w:space="0" w:sz="8" w:val="single"/>
              <w:bottom w:color="000000" w:space="0" w:sz="8" w:val="single"/>
              <w:right w:color="c8cfd6" w:space="0" w:sz="8" w:val="single"/>
            </w:tcBorders>
            <w:shd w:fill="edf2f7" w:val="clear"/>
            <w:tcMar>
              <w:top w:w="100.0" w:type="dxa"/>
              <w:left w:w="120.0" w:type="dxa"/>
              <w:bottom w:w="100.0" w:type="dxa"/>
              <w:right w:w="120.0" w:type="dxa"/>
            </w:tcMar>
            <w:vAlign w:val="top"/>
          </w:tcPr>
          <w:p w:rsidR="00000000" w:rsidDel="00000000" w:rsidP="00000000" w:rsidRDefault="00000000" w:rsidRPr="00000000" w14:paraId="00000188">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Veredicto y consecuencia</w:t>
            </w:r>
          </w:p>
        </w:tc>
      </w:tr>
      <w:tr>
        <w:trPr>
          <w:cantSplit w:val="0"/>
          <w:trHeight w:val="1065" w:hRule="atLeast"/>
          <w:tblHeader w:val="0"/>
        </w:trPr>
        <w:tc>
          <w:tcPr>
            <w:tcW w:w="2600" w:type="dxa"/>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8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H1 · Un cuidador dedica cinco minutos a una versión mínima del plan de cuidado</w:t>
            </w:r>
          </w:p>
        </w:tc>
        <w:tc>
          <w:tcPr>
            <w:tcW w:w="5200" w:type="dxa"/>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8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Ocho de diez aceptaron responder y seis completaron las tres preguntas. Tiempos cronometrados: 2:45, 3:05, 4:00, 5:00, 5:50 y 6:40. Tres cumplen el umbral de cinco minutos, cuatro si se cuenta la que llegó justo al límite. Una rechazó, una abandonó en la segunda pregunta por el teclado del teléfono y por no tener la información, y dos no se cronometraron. Los dos excesos de tiempo fueron por reflexión y por exhaustividad, no por rechazo.</w:t>
            </w:r>
          </w:p>
        </w:tc>
        <w:tc>
          <w:tcPr>
            <w:tcW w:w="5205" w:type="dxa"/>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8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Refutada: el criterio exigía siete de diez. Se activa el ADR-023, modo ficha de relevo: la versión mínima obligatoria de la capa 1 pasa a ser una ficha de tres campos y el peso del producto se traslada a la capa 2. Las ocho secciones quedan como ampliación opcional, sin cambios en el modelo de datos. Tres entrevistadas pidieron por su cuenta un campo de qué calma a la persona, que es uno de los tres campos de la ficha.</w:t>
            </w:r>
          </w:p>
        </w:tc>
      </w:tr>
      <w:tr>
        <w:trPr>
          <w:cantSplit w:val="0"/>
          <w:trHeight w:val="1065" w:hRule="atLeast"/>
          <w:tblHeader w:val="0"/>
        </w:trPr>
        <w:tc>
          <w:tcPr>
            <w:tcW w:w="2600" w:type="dxa"/>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8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H2 · El problema del relevo es real y frecuente</w:t>
            </w:r>
          </w:p>
        </w:tc>
        <w:tc>
          <w:tcPr>
            <w:tcW w:w="5200" w:type="dxa"/>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8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Siete de diez tuvieron al menos un relevo en los últimos tres meses y nueve de diez dejaron de salir por falta de relevo o por el costo de explicar. De los nueve relevos relatados con detalle, seis fallaron en algo que la cuidadora sabía y no traspasó: remedios a otra hora, un jugo que no podía tomar, una desorientación de la tarde que nadie avisó. La cuidadora remunerada tardó dos meses en aprender lo que nadie le entregó por escrito.</w:t>
            </w:r>
          </w:p>
        </w:tc>
        <w:tc>
          <w:tcPr>
            <w:tcW w:w="5205" w:type="dxa"/>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8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Validada, y con margen. El plan de cuidado se mantiene como herramienta de relevo. La evidencia más fuerte del piloto vino de quien recibe la información, no de quien la entrega.</w:t>
            </w:r>
          </w:p>
        </w:tc>
      </w:tr>
      <w:tr>
        <w:trPr>
          <w:cantSplit w:val="0"/>
          <w:trHeight w:val="1065" w:hRule="atLeast"/>
          <w:tblHeader w:val="0"/>
        </w:trPr>
        <w:tc>
          <w:tcPr>
            <w:tcW w:w="2600" w:type="dxa"/>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8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H3 · El quiebre de insumos ocurre y tiene un costo real</w:t>
            </w:r>
          </w:p>
        </w:tc>
        <w:tc>
          <w:tcPr>
            <w:tcW w:w="5200" w:type="dxa"/>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8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Seis de diez reportaron al menos un quiebre en tres meses, con costos de una a dos horas y hasta el doble del precio habitual. Dos de esos seis fueron quiebres que la predicción no evita, un desabastecimiento de farmacia y una receta vencida. De las cuatro que no reportan quiebre, dos lo evitan con sobrestock o con vigilancia mental permanente. Cuatro llevan una cuenta propia, desde un cuaderno con umbral de compra hasta una planilla.</w:t>
            </w:r>
          </w:p>
        </w:tc>
        <w:tc>
          <w:tcPr>
            <w:tcW w:w="5205" w:type="dxa"/>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8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Validada en el límite: el criterio exigía seis. La capa 2 se mantiene, y su valor se reformula como descarga cognitiva del aviso anticipado y no solo como prevención de la urgencia. Los quiebres reportados definen el catálogo semilla del sprint 6.</w:t>
            </w:r>
          </w:p>
        </w:tc>
      </w:tr>
      <w:tr>
        <w:trPr>
          <w:cantSplit w:val="0"/>
          <w:trHeight w:val="1065" w:hRule="atLeast"/>
          <w:tblHeader w:val="0"/>
        </w:trPr>
        <w:tc>
          <w:tcPr>
            <w:tcW w:w="2600" w:type="dxa"/>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8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H4 · Existe disposición a pagar $5.990 mensuales</w:t>
            </w:r>
          </w:p>
        </w:tc>
        <w:tc>
          <w:tcPr>
            <w:tcW w:w="5200" w:type="dxa"/>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8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Seis de diez ya pagan por algo del cuidado, desde $1.900 mensuales por un despacho hasta $400.000 por una cuidadora. Ocho dijeron que sí a $5.990, cuatro de ellas con la condición de que resuelva los insumos. A $9.990 dijo que sí solo la familiar aportante.</w:t>
            </w:r>
          </w:p>
        </w:tc>
        <w:tc>
          <w:tcPr>
            <w:tcW w:w="5205" w:type="dxa"/>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8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Validada. El precio se sostiene sobre las capas 1 y 2 juntas, no sobre el plan de cuidado solo.</w:t>
            </w:r>
          </w:p>
        </w:tc>
      </w:tr>
      <w:tr>
        <w:trPr>
          <w:cantSplit w:val="0"/>
          <w:trHeight w:val="1065" w:hRule="atLeast"/>
          <w:tblHeader w:val="0"/>
        </w:trPr>
        <w:tc>
          <w:tcPr>
            <w:tcW w:w="2600" w:type="dxa"/>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8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H5 · El gasto se reparte entre familiares y genera fricción</w:t>
            </w:r>
          </w:p>
        </w:tc>
        <w:tc>
          <w:tcPr>
            <w:tcW w:w="5200" w:type="dxa"/>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8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Cuatro de diez reparten el gasto con otro familiar, dos con fricción explícita y dos con fricción no verbalizada. En las otras seis la cuidadora absorbe el gasto sola, y tres de ellas declaran que compran más de lo que cobran.</w:t>
            </w:r>
          </w:p>
        </w:tc>
        <w:tc>
          <w:tcPr>
            <w:tcW w:w="5205" w:type="dxa"/>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8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Zona intermedia: el criterio exigía cinco para validar y tres para refutar. El protocolo obliga a cuatro entrevistas más antes de decidir, no a interpretar a favor. El reparto multi-pagador sale del alcance comprometido del semestre y pasa a la fase 2, de modo que el resultado de esa ampliación orienta la hoja de ruta y ya no condiciona la construcción.</w:t>
            </w:r>
          </w:p>
        </w:tc>
      </w:tr>
      <w:tr>
        <w:trPr>
          <w:cantSplit w:val="0"/>
          <w:trHeight w:val="1065" w:hRule="atLeast"/>
          <w:tblHeader w:val="0"/>
        </w:trPr>
        <w:tc>
          <w:tcPr>
            <w:tcW w:w="2600" w:type="dxa"/>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8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H6 · Quien pagaría no es necesariamente quien cuida</w:t>
            </w:r>
          </w:p>
        </w:tc>
        <w:tc>
          <w:tcPr>
            <w:tcW w:w="5200" w:type="dxa"/>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8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Ocho de diez respondieron que lo pagaría la propia cuidadora, y solo una de ellas dijo que no podría. Los dos casos de pagador distinto, los hijos que contratan a la cuidadora remunerada y la hermana aportante, tienen un techo de precio más alto, y una de ellas declara que pagaría sin usar la aplicación.</w:t>
            </w:r>
          </w:p>
        </w:tc>
        <w:tc>
          <w:tcPr>
            <w:tcW w:w="5205" w:type="dxa"/>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8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Zona intermedia, con tendencia en contra. El destinatario comercial del piloto es la cuidadora principal, a $5.990. El flujo de alta se diseña para que quien paga, quien completa el plan y quien lo usa puedan ser tres personas distintas.</w:t>
            </w:r>
          </w:p>
        </w:tc>
      </w:tr>
      <w:tr>
        <w:trPr>
          <w:cantSplit w:val="0"/>
          <w:trHeight w:val="1065" w:hRule="atLeast"/>
          <w:tblHeader w:val="0"/>
        </w:trPr>
        <w:tc>
          <w:tcPr>
            <w:tcW w:w="2600" w:type="dxa"/>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8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H7 · Estas familias son alcanzables por un canal concentrado</w:t>
            </w:r>
          </w:p>
        </w:tc>
        <w:tc>
          <w:tcPr>
            <w:tcW w:w="5200" w:type="dxa"/>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8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Cuatro de diez están en un padrón público, consultorio, hospital o programa de dependencia severa, y dos más no sabían que el beneficio existe. Las diez fueron reclutadas por la red del equipo. Una entrevistada ofreció acceso al grupo de familiares que armó una enfermera de policlínico.</w:t>
            </w:r>
          </w:p>
        </w:tc>
        <w:tc>
          <w:tcPr>
            <w:tcW w:w="5205" w:type="dxa"/>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8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Zona intermedia. Las cuatro entrevistas adicionales se reclutan solo por canal concentrado, lo que prueba H7 por conducta y no por declaración. La comuna del piloto se elige por la existencia de un socio institucional.</w:t>
            </w:r>
          </w:p>
        </w:tc>
      </w:tr>
    </w:tbl>
    <w:p w:rsidR="00000000" w:rsidDel="00000000" w:rsidP="00000000" w:rsidRDefault="00000000" w:rsidRPr="00000000" w14:paraId="00000102">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tres mediciones que la sección 16 de la arquitectura declaraba como supuestos del equipo se reemplazaron por evidencia. La canasta mensual de insumos, sobre las nueve entrevistadas que la conocen, tiene una mediana de $70.000 y un rango de $0 a $300.000, con tres valores medidos sobre planilla o cuaderno con boletas, $43.500, $58.000 y $92.000, y el resto estimados durante la entrevista. La mediana queda dentro del rango supuesto de $50.000 a $70.000, pero el rango real es mucho más ancho, porque la canasta no la determina la necesidad sino la capacidad de pago de la familia. Las salidas a comprar tienen mediana de una al mes, bajo el supuesto de 1,5. Y el gasto ya desembolsado en servicios de cuidado, que no tenía valor supuesto, resultó ser la medición más contundente: seis de diez pagan hoy por algo, cinco de forma recurrente.</w:t>
      </w:r>
    </w:p>
    <w:p w:rsidR="00000000" w:rsidDel="00000000" w:rsidP="00000000" w:rsidRDefault="00000000" w:rsidRPr="00000000" w14:paraId="00000102">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esos valores el punto de equilibrio se recalculó y se publica sea cual sea, como comprometía el protocolo. Sobre 200 familias, con una canasta de $70.000, una entrega al mes, comisión del 10%, última milla de $3.500 y pasarela del 3% del volumen transado, el modelo con suscripción deja un margen de contribución de $7.210 por familia y un punto de equilibrio de 84 familias para $600.000 de costos fijos mensuales. El modelo de solo despacho deja $1.400 por familia y necesita 429. La conclusión cualitativa de la arquitectura se sostiene: el despacho por sí solo no se sostiene y la suscripción sí. Al recalcular se detectó además que la tabla original valoraba cada entrega como una canasta mensual completa, lo que sobreestimaba el volumen transado. Calculado de forma consistente, el punto de equilibrio anterior habría sido de 126 familias y no de 88, de modo que el número nuevo mejora al anterior por dos razones que conviene separar: la canasta medida es mayor que la supuesta y las entregas son menos, no porque el modelo haya cambiado.</w:t>
      </w:r>
    </w:p>
    <w:p w:rsidR="00000000" w:rsidDel="00000000" w:rsidP="00000000" w:rsidRDefault="00000000" w:rsidRPr="00000000" w14:paraId="00000102">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Además de los veredictos, las entrevistas dejaron requisitos que el diseño no tenía. Tres entrevistadas pidieron un campo para registrar qué calma a la persona cuidada, y tres pidieron otro lenguaje para la incontinencia, por dignidad de la persona, lo que cambia la redacción de las secciones y no su existencia. La familiar aportante pidió que el plan se pudiera llenar por teléfono con alguien que escribe, de modo que el llenado asistido por un tercero entra al alcance de la capa 1 como requisito nuevo. La cuidadora remunerada preguntó de quién es el registro cuando lo escribe una trabajadora, y esa pregunta queda abierta para la consulta legal que la arquitectura ya declaraba pendiente. La auditoría de accesos, que cinco de diez no mirarían nunca, se mantiene por exigencia de la Ley 21.719 y porque para la cuidadora remunerada es la función principal, pero se presenta como quién se está informando y no como vigilancia. Los fármacos con receta fueron la demanda más repetida fuera del alcance y se mantienen fuera del MVP, ahora con evidencia de campo para la fase 2. Y ya existe en terreno un arreglo de cuenta corriente entre una familia y una farmacia de barrio, con boleta a nombre de la familia, que es exactamente el modelo del comercio en convenio y es el primer comercio a contactar para la carta de intención.</w:t>
      </w:r>
    </w:p>
    <w:p w:rsidR="00000000" w:rsidDel="00000000" w:rsidP="00000000" w:rsidRDefault="00000000" w:rsidRPr="00000000" w14:paraId="00000102">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frases que mejor resumen el problema las dijeron las entrevistadas, y se citan solo las que quedaron escritas palabra por palabra durante la entrevista. Sobre el relevo, la cuidadora remunerada: «Que si yo mañana no estoy, la que llegue no tenga que aprender dos meses como aprendí yo». Sobre el quiebre, una cuidadora que trabaja fuera de casa: «Que me avise antes. Que me diga quedan cuatro días de pañales y yo apreto un botón y llega. Que no tenga que pensarlo yo». Sobre el reparto, la familiar que aporta y no cuida: «Yo pongo la plata, mi hermana pone el cuerpo». Y sobre el conocimiento tácito, la cuidadora que ya tenía su hoja de relevo escrita a mano: «Eso no estaba en la hoja porque yo lo sé y se me olvidó que los demás no».</w:t>
      </w:r>
    </w:p>
    <w:p w:rsidR="00000000" w:rsidDel="00000000" w:rsidP="00000000" w:rsidRDefault="00000000" w:rsidRPr="00000000" w14:paraId="00000104">
      <w:pPr>
        <w:pStyle w:val="Heading2"/>
        <w:keepNext w:val="0"/>
        <w:keepLines w:val="0"/>
        <w:spacing w:after="140" w:before="260" w:line="276" w:lineRule="auto"/>
        <w:rPr>
          <w:rFonts w:ascii="Calibri" w:cs="Calibri" w:eastAsia="Calibri" w:hAnsi="Calibri"/>
          <w:color w:val="0a253e"/>
          <w:sz w:val="25"/>
          <w:szCs w:val="25"/>
        </w:rPr>
      </w:pPr>
      <w:bookmarkStart w:colFirst="0" w:colLast="0" w:name="_heading=h.qydqbmyyyb6s" w:id="11"/>
      <w:bookmarkEnd w:id="11"/>
      <w:r w:rsidDel="00000000" w:rsidR="00000000" w:rsidRPr="00000000">
        <w:rPr>
          <w:rtl w:val="0"/>
        </w:rPr>
      </w:r>
    </w:p>
    <w:p w:rsidR="00000000" w:rsidDel="00000000" w:rsidP="00000000" w:rsidRDefault="00000000" w:rsidRPr="00000000" w14:paraId="00000105">
      <w:pPr>
        <w:pStyle w:val="Heading2"/>
        <w:keepNext w:val="0"/>
        <w:keepLines w:val="0"/>
        <w:spacing w:after="140" w:before="260" w:line="276" w:lineRule="auto"/>
        <w:rPr>
          <w:rFonts w:ascii="Calibri" w:cs="Calibri" w:eastAsia="Calibri" w:hAnsi="Calibri"/>
          <w:color w:val="0a253e"/>
          <w:sz w:val="25"/>
          <w:szCs w:val="25"/>
        </w:rPr>
      </w:pPr>
      <w:bookmarkStart w:colFirst="0" w:colLast="0" w:name="_heading=h.2yvx16443hia" w:id="12"/>
      <w:bookmarkEnd w:id="12"/>
      <w:r w:rsidDel="00000000" w:rsidR="00000000" w:rsidRPr="00000000">
        <w:rPr>
          <w:rFonts w:ascii="Calibri" w:cs="Calibri" w:eastAsia="Calibri" w:hAnsi="Calibri"/>
          <w:color w:val="0a253e"/>
          <w:sz w:val="25"/>
          <w:szCs w:val="25"/>
          <w:rtl w:val="0"/>
        </w:rPr>
        <w:t xml:space="preserve">2.2 Relación con las competencias del perfil de egreso</w:t>
      </w:r>
    </w:p>
    <w:p w:rsidR="00000000" w:rsidDel="00000000" w:rsidP="00000000" w:rsidRDefault="00000000" w:rsidRPr="00000000" w14:paraId="00000106">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exige las seis competencias del perfil de egreso de Ingeniería en Informática, y ninguna de forma decorativa.</w:t>
      </w:r>
    </w:p>
    <w:p w:rsidR="00000000" w:rsidDel="00000000" w:rsidP="00000000" w:rsidRDefault="00000000" w:rsidRPr="00000000" w14:paraId="00000107">
      <w:pPr>
        <w:spacing w:after="60" w:line="360"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Diseñar y generar soluciones de software innovadoras y de calidad, aplicando el ciclo de vida de este</w:t>
      </w:r>
    </w:p>
    <w:p w:rsidR="00000000" w:rsidDel="00000000" w:rsidP="00000000" w:rsidRDefault="00000000" w:rsidRPr="00000000" w14:paraId="00000108">
      <w:pPr>
        <w:spacing w:after="140" w:line="36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recorre el ciclo completo, desde la definición del problema hasta el despliegue en un entorno de demostración. El sistema se construye como monolito modular en Python con FastAPI, con trece módulos de límite explícito y estructura de dominio, aplicación, infraestructura y API. Las vistas de comercio y operación se desarrollan en React con TypeScript. La integración de componentes y su mantenimiento se sistematizan con Docker, migraciones versionadas e integración continua sobre GitHub Actions.</w:t>
      </w:r>
    </w:p>
    <w:p w:rsidR="00000000" w:rsidDel="00000000" w:rsidP="00000000" w:rsidRDefault="00000000" w:rsidRPr="00000000" w14:paraId="00000109">
      <w:pPr>
        <w:spacing w:after="60" w:line="360"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Diseñar y generar soluciones que resuelvan requerimientos de información, con bases de datos relacionales y no relacionales</w:t>
      </w:r>
    </w:p>
    <w:p w:rsidR="00000000" w:rsidDel="00000000" w:rsidP="00000000" w:rsidRDefault="00000000" w:rsidRPr="00000000" w14:paraId="0000010A">
      <w:pPr>
        <w:spacing w:after="140" w:line="36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resuelve un requerimiento de información concreto, que es saber cuándo se agota cada insumo de una persona cuidada. Usa PostgreSQL como fuente de verdad relacional, con un modelo que sostiene el aislamiento entre familias, comercios y operación sobre una misma base mediante Row Level Security forzado y contexto fijado por transacción. Usa además Redis, un almacén no relacional de clave y valor, para la cola de trabajos asíncronos y el patrón de bandeja de salida transaccional.</w:t>
      </w:r>
    </w:p>
    <w:p w:rsidR="00000000" w:rsidDel="00000000" w:rsidP="00000000" w:rsidRDefault="00000000" w:rsidRPr="00000000" w14:paraId="0000010B">
      <w:pPr>
        <w:spacing w:after="60" w:line="360"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Diseñar y adaptar los procesos de ingeniería de requisitos</w:t>
      </w:r>
    </w:p>
    <w:p w:rsidR="00000000" w:rsidDel="00000000" w:rsidP="00000000" w:rsidRDefault="00000000" w:rsidRPr="00000000" w14:paraId="0000010C">
      <w:pPr>
        <w:spacing w:after="140" w:line="36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42 requisitos funcionales están trazados a módulos y priorizados con MoSCoW, de modo que un requisito sin módulo o un módulo sin requisito se detecta como error de diseño. Los contratos de API se acuerdan antes de la implementación y se verifican contra una especificación OpenAPI versionada. Las hipótesis del problema se sometieron a un protocolo de diez entrevistas con criterios de falsación fijados antes de entrevistar, y el resultado modificó los requisitos: la versión mínima obligatoria de la capa 1 pasó de ocho secciones a una ficha de tres campos y se incorporó el llenado asistido por un tercero.</w:t>
      </w:r>
    </w:p>
    <w:p w:rsidR="00000000" w:rsidDel="00000000" w:rsidP="00000000" w:rsidRDefault="00000000" w:rsidRPr="00000000" w14:paraId="0000010D">
      <w:pPr>
        <w:spacing w:after="60" w:line="360"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Evaluar y gestionar proyectos durante todo el ciclo de vida, en contextos tradicionales y ágiles</w:t>
      </w:r>
    </w:p>
    <w:p w:rsidR="00000000" w:rsidDel="00000000" w:rsidP="00000000" w:rsidRDefault="00000000" w:rsidRPr="00000000" w14:paraId="0000010E">
      <w:pPr>
        <w:spacing w:after="140" w:line="36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se planifica con capacidad declarada, estimación por tallas y dos recortes de alcance aplicados antes de construir. El primero, de 41 horas, al cerrar el diseño. El segundo, de 160 horas, al cerrar la Fase 1 con la ventana de construcción acotada a nueve semanas, y saca el reparto del gasto entre varios pagadores y la reposición programada. El alcance comprometido quedó en 213 horas contra 270 de capacidad. Se trabaja con Scrum adaptado a un equipo de dos personas, con sprints de una semana y reparto del trabajo por ejes verticales. Cada decisión relevante queda registrada como decisión de arquitectura con sus alternativas descartadas y sus consecuencias, y la validación aplicó ese mismo criterio: los resultados que no alcanzaron el umbral fijado activaron la consecuencia comprometida en lugar de reinterpretarse.</w:t>
      </w:r>
    </w:p>
    <w:p w:rsidR="00000000" w:rsidDel="00000000" w:rsidP="00000000" w:rsidRDefault="00000000" w:rsidRPr="00000000" w14:paraId="0000010F">
      <w:pPr>
        <w:spacing w:after="60" w:line="360"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 Diseñar soluciones conforme a estándares, marcos de trabajo y regulatorios, con foco en calidad, seguridad y sostenibilidad</w:t>
      </w:r>
    </w:p>
    <w:p w:rsidR="00000000" w:rsidDel="00000000" w:rsidP="00000000" w:rsidRDefault="00000000" w:rsidRPr="00000000" w14:paraId="00000110">
      <w:pPr>
        <w:spacing w:after="140" w:line="36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la competencia más exigida del proyecto. El sistema trata datos sensibles de salud y debe cumplir la Ley 21.719, que entra en plena vigencia el 1 de diciembre de 2026. Eso se traduce en decisiones concretas: Row Level Security forzado en PostgreSQL sobre tres ejes de acceso, cifrado por sobre con AES-256-GCM y una clave por persona cuidada, lo que permite la eliminación efectiva del dato, aritmética entera para el dinero de modo que el prorrateo del pago compartido sume exacto, y una estrategia de pruebas que verifica el aislamiento contra una base de datos real en lugar de suponerlo.</w:t>
      </w:r>
    </w:p>
    <w:p w:rsidR="00000000" w:rsidDel="00000000" w:rsidP="00000000" w:rsidRDefault="00000000" w:rsidRPr="00000000" w14:paraId="00000111">
      <w:pPr>
        <w:spacing w:after="140" w:line="36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2">
      <w:pPr>
        <w:spacing w:after="140" w:line="36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3">
      <w:pPr>
        <w:spacing w:after="60" w:line="360"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 Desarrollar proyectos de software para plataformas y dispositivos móviles</w:t>
      </w:r>
    </w:p>
    <w:p w:rsidR="00000000" w:rsidDel="00000000" w:rsidP="00000000" w:rsidRDefault="00000000" w:rsidRPr="00000000" w14:paraId="00000114">
      <w:pPr>
        <w:spacing w:after="140" w:line="36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aplicación de la familia se desarrolla en Flutter sobre un núcleo compartido, con criterios de accesibilidad declarados y verificables: área táctil mínima, contraste y funcionamiento con el texto ampliado al 200%, porque el usuario central es un cuidador principal que con frecuencia tiene más de 60 años. El acceso del cuidador de relevo se resuelve también desde el móvil, mediante un enlace con vencimiento y alcance por sección.</w:t>
      </w:r>
    </w:p>
    <w:p w:rsidR="00000000" w:rsidDel="00000000" w:rsidP="00000000" w:rsidRDefault="00000000" w:rsidRPr="00000000" w14:paraId="00000115">
      <w:pPr>
        <w:pStyle w:val="Heading2"/>
        <w:keepNext w:val="0"/>
        <w:keepLines w:val="0"/>
        <w:spacing w:after="140" w:before="260" w:line="276" w:lineRule="auto"/>
        <w:jc w:val="center"/>
        <w:rPr>
          <w:rFonts w:ascii="Calibri" w:cs="Calibri" w:eastAsia="Calibri" w:hAnsi="Calibri"/>
          <w:color w:val="0a253e"/>
          <w:sz w:val="25"/>
          <w:szCs w:val="25"/>
        </w:rPr>
      </w:pPr>
      <w:bookmarkStart w:colFirst="0" w:colLast="0" w:name="_heading=h.l7rdma4cn8ih" w:id="13"/>
      <w:bookmarkEnd w:id="13"/>
      <w:r w:rsidDel="00000000" w:rsidR="00000000" w:rsidRPr="00000000">
        <w:rPr>
          <w:rtl w:val="0"/>
        </w:rPr>
      </w:r>
    </w:p>
    <w:p w:rsidR="00000000" w:rsidDel="00000000" w:rsidP="00000000" w:rsidRDefault="00000000" w:rsidRPr="00000000" w14:paraId="00000116">
      <w:pPr>
        <w:pStyle w:val="Heading2"/>
        <w:keepNext w:val="0"/>
        <w:keepLines w:val="0"/>
        <w:spacing w:after="140" w:before="260" w:line="276" w:lineRule="auto"/>
        <w:rPr>
          <w:rFonts w:ascii="Calibri" w:cs="Calibri" w:eastAsia="Calibri" w:hAnsi="Calibri"/>
          <w:color w:val="0a253e"/>
          <w:sz w:val="25"/>
          <w:szCs w:val="25"/>
        </w:rPr>
      </w:pPr>
      <w:bookmarkStart w:colFirst="0" w:colLast="0" w:name="_heading=h.nfle95k50hzh" w:id="14"/>
      <w:bookmarkEnd w:id="14"/>
      <w:r w:rsidDel="00000000" w:rsidR="00000000" w:rsidRPr="00000000">
        <w:rPr>
          <w:rFonts w:ascii="Calibri" w:cs="Calibri" w:eastAsia="Calibri" w:hAnsi="Calibri"/>
          <w:color w:val="0a253e"/>
          <w:sz w:val="25"/>
          <w:szCs w:val="25"/>
          <w:rtl w:val="0"/>
        </w:rPr>
        <w:t xml:space="preserve">2.3 Relación con los intereses profesionales</w:t>
      </w:r>
    </w:p>
    <w:p w:rsidR="00000000" w:rsidDel="00000000" w:rsidP="00000000" w:rsidRDefault="00000000" w:rsidRPr="00000000" w14:paraId="00000117">
      <w:pPr>
        <w:spacing w:after="6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Jorge Espinoza</w:t>
      </w:r>
    </w:p>
    <w:p w:rsidR="00000000" w:rsidDel="00000000" w:rsidP="00000000" w:rsidRDefault="00000000" w:rsidRPr="00000000" w14:paraId="00000118">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 interés profesional está en el cruce entre el desarrollo de software y el ámbito sociosanitario, y en particular en sistemas que trabajan con información sensible de personas en situación de vulnerabilidad. Mi formación previa es en psicología clínica, de modo que conozco el problema del cuidador desde adentro: no lo encontré en una revisión bibliográfica, lo vi en consulta.</w:t>
      </w:r>
    </w:p>
    <w:p w:rsidR="00000000" w:rsidDel="00000000" w:rsidP="00000000" w:rsidRDefault="00000000" w:rsidRPr="00000000" w14:paraId="00000119">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MATU me permite ejercer esa combinación en un mismo proyecto, definiendo un dominio que entiendo y construyendo la solución con las competencias de la carrera. Me orienta hacia el área en la que quiero desempeñarme, que es el diseño de sistemas de información en salud y cuidados, con foco en privacidad y cumplimiento normativo.</w:t>
      </w:r>
    </w:p>
    <w:p w:rsidR="00000000" w:rsidDel="00000000" w:rsidP="00000000" w:rsidRDefault="00000000" w:rsidRPr="00000000" w14:paraId="0000011A">
      <w:pPr>
        <w:spacing w:after="6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Martín Henríquez</w:t>
      </w:r>
    </w:p>
    <w:p w:rsidR="00000000" w:rsidDel="00000000" w:rsidP="00000000" w:rsidRDefault="00000000" w:rsidRPr="00000000" w14:paraId="0000011B">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 interés profesional se centra en la dirección ágil de proyectos tecnológicos y el desarrollo de emprendimientos enfocados en los sectores Healthtech y Fintech. A lo largo de la carrera he consolidado una fuerte vocación por la planificación estructurada, la administración de portales y el liderazgo técnico mediante marcos de trabajo formales.</w:t>
      </w:r>
    </w:p>
    <w:p w:rsidR="00000000" w:rsidDel="00000000" w:rsidP="00000000" w:rsidRDefault="00000000" w:rsidRPr="00000000" w14:paraId="0000011C">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MATU representa el desafío perfecto para integrar estos elementos. Me permite ejercer el liderazgo metodológico del equipo como Scrum Master y aplicar mi experiencia operativa, al mismo tiempo que fortalezco de manera práctica mis competencias en codificación y programación pura. Este proyecto articula exactamente las habilidades que necesito para acercarme a mi proyección a mediano plazo, que es desempeñarme como gestor de proyectos TI.</w:t>
      </w:r>
    </w:p>
    <w:p w:rsidR="00000000" w:rsidDel="00000000" w:rsidP="00000000" w:rsidRDefault="00000000" w:rsidRPr="00000000" w14:paraId="0000011D">
      <w:pPr>
        <w:spacing w:after="6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Contribución al desarrollo profesional del equipo</w:t>
      </w:r>
    </w:p>
    <w:p w:rsidR="00000000" w:rsidDel="00000000" w:rsidP="00000000" w:rsidRDefault="00000000" w:rsidRPr="00000000" w14:paraId="0000011E">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obliga a resolver problemas que no aparecen en un trabajo de asignatura: aislamiento multi-tenant verificable, cifrado con custodia de claves, orquestación de un pago compartido sobre una pasarela que no lo soporta de forma nativa, y cumplimiento de la Ley 21.719 sobre datos sensibles, que entra en plena vigencia el 1 de diciembre de 2026. Son exactamente las capacidades que exige el mercado laboral chileno en desarrollo de software con datos regulados.</w:t>
      </w:r>
    </w:p>
    <w:p w:rsidR="00000000" w:rsidDel="00000000" w:rsidP="00000000" w:rsidRDefault="00000000" w:rsidRPr="00000000" w14:paraId="0000011F">
      <w:pPr>
        <w:pStyle w:val="Heading2"/>
        <w:keepNext w:val="0"/>
        <w:keepLines w:val="0"/>
        <w:spacing w:after="140" w:before="260" w:line="276" w:lineRule="auto"/>
        <w:jc w:val="center"/>
        <w:rPr>
          <w:rFonts w:ascii="Calibri" w:cs="Calibri" w:eastAsia="Calibri" w:hAnsi="Calibri"/>
          <w:color w:val="0a253e"/>
          <w:sz w:val="25"/>
          <w:szCs w:val="25"/>
        </w:rPr>
      </w:pPr>
      <w:bookmarkStart w:colFirst="0" w:colLast="0" w:name="_heading=h.dplev5r8z0kk" w:id="15"/>
      <w:bookmarkEnd w:id="15"/>
      <w:r w:rsidDel="00000000" w:rsidR="00000000" w:rsidRPr="00000000">
        <w:rPr>
          <w:rtl w:val="0"/>
        </w:rPr>
      </w:r>
    </w:p>
    <w:p w:rsidR="00000000" w:rsidDel="00000000" w:rsidP="00000000" w:rsidRDefault="00000000" w:rsidRPr="00000000" w14:paraId="00000120">
      <w:pPr>
        <w:pStyle w:val="Heading2"/>
        <w:keepNext w:val="0"/>
        <w:keepLines w:val="0"/>
        <w:spacing w:after="140" w:before="260" w:line="276" w:lineRule="auto"/>
        <w:rPr>
          <w:rFonts w:ascii="Calibri" w:cs="Calibri" w:eastAsia="Calibri" w:hAnsi="Calibri"/>
          <w:color w:val="0a253e"/>
          <w:sz w:val="25"/>
          <w:szCs w:val="25"/>
        </w:rPr>
      </w:pPr>
      <w:bookmarkStart w:colFirst="0" w:colLast="0" w:name="_heading=h.qen5hmk3xt70" w:id="16"/>
      <w:bookmarkEnd w:id="16"/>
      <w:r w:rsidDel="00000000" w:rsidR="00000000" w:rsidRPr="00000000">
        <w:rPr>
          <w:rFonts w:ascii="Calibri" w:cs="Calibri" w:eastAsia="Calibri" w:hAnsi="Calibri"/>
          <w:color w:val="0a253e"/>
          <w:sz w:val="25"/>
          <w:szCs w:val="25"/>
          <w:rtl w:val="0"/>
        </w:rPr>
        <w:t xml:space="preserve">2.4 Factibilidad del proyecto en el marco de la asignatura</w:t>
      </w:r>
    </w:p>
    <w:p w:rsidR="00000000" w:rsidDel="00000000" w:rsidP="00000000" w:rsidRDefault="00000000" w:rsidRPr="00000000" w14:paraId="00000121">
      <w:pPr>
        <w:spacing w:after="6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Duración del semestre y horas asignadas</w:t>
      </w:r>
    </w:p>
    <w:p w:rsidR="00000000" w:rsidDel="00000000" w:rsidP="00000000" w:rsidRDefault="00000000" w:rsidRPr="00000000" w14:paraId="00000122">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se desarrolla en 18 semanas repartidas en tres fases. La definición del producto, la arquitectura y la validación con cuidadoras ocuparon las primeras seis semanas y cierran con la presentación de Fase 1. La construcción ocupa nueve semanas, un sprint 0 de preparación en la semana 7 y ocho sprints de una semana entre las semanas 8 y 15. El equipo declara una capacidad de 15 horas semanales por persona, compatibles con trabajo y otras asignaturas, lo que da 30 horas por sprint y 270 horas en la ventana de construcción.</w:t>
      </w:r>
    </w:p>
    <w:p w:rsidR="00000000" w:rsidDel="00000000" w:rsidP="00000000" w:rsidRDefault="00000000" w:rsidRPr="00000000" w14:paraId="00000123">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alcance estimado por tallas sumaba 414 horas. Se aplicó un primer recorte de 41 horas antes de empezar, que sacó la aplicación de repartidor, el seguimiento de posición en tiempo real, la liquidación automática y los indicadores avanzados del backoffice. Al cerrar la Fase 1, con la ventana acotada a nueve semanas, se aplicó un segundo recorte de 160 horas que saca el reparto del gasto entre varios pagadores y la reposición programada. El alcance comprometido quedó en 213 horas contra 270 de capacidad, con 57 horas de holgura, un 21%. Esa holgura es deliberada: nueve semanas no admiten recuperar un atraso y el equipo aprende Flutter mientras construye. Y está declarado un orden de sacrificio que nunca toca la ficha de relevo, la predicción de quiebre ni la exportación de la lista.</w:t>
      </w:r>
    </w:p>
    <w:p w:rsidR="00000000" w:rsidDel="00000000" w:rsidP="00000000" w:rsidRDefault="00000000" w:rsidRPr="00000000" w14:paraId="00000124">
      <w:pPr>
        <w:spacing w:after="6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Materiales requeridos</w:t>
      </w:r>
    </w:p>
    <w:p w:rsidR="00000000" w:rsidDel="00000000" w:rsidP="00000000" w:rsidRDefault="00000000" w:rsidRPr="00000000" w14:paraId="00000125">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Todo el software es de código abierto o de nivel gratuito: Python, FastAPI, PostgreSQL, Redis, Flutter, React, Docker y GitHub Actions. Se requiere acceso al ambiente de integración de Transbank, que es gratuito para desarrollo, y un despliegue en plataforma gestionada dentro de niveles gratuitos o de bajo costo. Para las pruebas de usabilidad se requieren tres usuarios reales. La validación del problema requería diez cuidadores dispuestos a una entrevista de 45 minutos y ya se ejecutó completa. La ampliación requiere cuatro entrevistas más, reclutadas por un canal concentrado.</w:t>
      </w:r>
    </w:p>
    <w:p w:rsidR="00000000" w:rsidDel="00000000" w:rsidP="00000000" w:rsidRDefault="00000000" w:rsidRPr="00000000" w14:paraId="00000126">
      <w:pPr>
        <w:spacing w:after="6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Factores externos que facilitan el desarrollo</w:t>
      </w:r>
    </w:p>
    <w:p w:rsidR="00000000" w:rsidDel="00000000" w:rsidP="00000000" w:rsidRDefault="00000000" w:rsidRPr="00000000" w14:paraId="00000127">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diseño está cerrado como línea base antes de empezar a construir, con requisitos trazados, modelo de datos definido y prototipo navegable de 32 pantallas terminado. La decisión de desacoplar el despacho elimina la única dependencia externa crítica, porque el sistema entrega valor sin ningún comercio en convenio. La validación con cuidadoras está hecha, de modo que el proyecto entra a la construcción con evidencia primaria propia y con el alcance ya corregido por esa evidencia. Y el equipo cuenta con dos puertas concretas para lo que sigue: el grupo de familiares de un policlínico hospitalario que ofreció una entrevistada, y una farmacia de barrio que ya opera con cuenta corriente y boleta a nombre de una familia entrevistada.</w:t>
      </w:r>
    </w:p>
    <w:p w:rsidR="00000000" w:rsidDel="00000000" w:rsidP="00000000" w:rsidRDefault="00000000" w:rsidRPr="00000000" w14:paraId="00000128">
      <w:pPr>
        <w:spacing w:after="12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Factores externos que lo dificultan, y cómo se resuelven</w:t>
      </w:r>
    </w:p>
    <w:tbl>
      <w:tblPr>
        <w:tblStyle w:val="Table10"/>
        <w:tblW w:w="129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0"/>
        <w:gridCol w:w="9975"/>
        <w:tblGridChange w:id="0">
          <w:tblGrid>
            <w:gridCol w:w="3000"/>
            <w:gridCol w:w="9975"/>
          </w:tblGrid>
        </w:tblGridChange>
      </w:tblGrid>
      <w:tr>
        <w:trPr>
          <w:cantSplit w:val="1"/>
          <w:trHeight w:val="405" w:hRule="atLeast"/>
          <w:tblHeader w:val="0"/>
        </w:trPr>
        <w:tc>
          <w:tcPr>
            <w:tcBorders>
              <w:top w:color="c8cfd6" w:space="0" w:sz="8" w:val="single"/>
              <w:left w:color="c8cfd6" w:space="0" w:sz="8" w:val="single"/>
              <w:bottom w:color="000000" w:space="0" w:sz="8" w:val="single"/>
              <w:right w:color="000000" w:space="0" w:sz="8" w:val="single"/>
            </w:tcBorders>
            <w:shd w:fill="edf2f7" w:val="clear"/>
            <w:tcMar>
              <w:top w:w="100.0" w:type="dxa"/>
              <w:left w:w="120.0" w:type="dxa"/>
              <w:bottom w:w="100.0" w:type="dxa"/>
              <w:right w:w="120.0" w:type="dxa"/>
            </w:tcMar>
            <w:vAlign w:val="top"/>
          </w:tcPr>
          <w:p w:rsidR="00000000" w:rsidDel="00000000" w:rsidP="00000000" w:rsidRDefault="00000000" w:rsidRPr="00000000" w14:paraId="00000129">
            <w:pPr>
              <w:spacing w:line="259.20000000000005"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Riesgo</w:t>
            </w:r>
          </w:p>
        </w:tc>
        <w:tc>
          <w:tcPr>
            <w:tcBorders>
              <w:top w:color="c8cfd6" w:space="0" w:sz="8" w:val="single"/>
              <w:bottom w:color="000000" w:space="0" w:sz="8" w:val="single"/>
              <w:right w:color="c8cfd6" w:space="0" w:sz="8" w:val="single"/>
            </w:tcBorders>
            <w:shd w:fill="edf2f7" w:val="clear"/>
            <w:tcMar>
              <w:top w:w="100.0" w:type="dxa"/>
              <w:left w:w="120.0" w:type="dxa"/>
              <w:bottom w:w="100.0" w:type="dxa"/>
              <w:right w:w="120.0" w:type="dxa"/>
            </w:tcMar>
            <w:vAlign w:val="top"/>
          </w:tcPr>
          <w:p w:rsidR="00000000" w:rsidDel="00000000" w:rsidP="00000000" w:rsidRDefault="00000000" w:rsidRPr="00000000" w14:paraId="0000012A">
            <w:pPr>
              <w:spacing w:line="259.20000000000005"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Mitigación</w:t>
            </w:r>
          </w:p>
        </w:tc>
      </w:tr>
      <w:tr>
        <w:trPr>
          <w:cantSplit w:val="0"/>
          <w:trHeight w:val="1065" w:hRule="atLeast"/>
          <w:tblHeader w:val="0"/>
        </w:trPr>
        <w:tc>
          <w:tcPr>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 un cuidador agotado no complete el plan de cuidado</w:t>
            </w:r>
          </w:p>
        </w:tc>
        <w:tc>
          <w:tcPr>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2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Era el riesgo de mayor criticidad y se resolvió antes de construir. La hipótesis quedó refutada según el criterio fijado, tres de diez bajo cinco minutos cuando se exigían siete, y se activó el plan B ya escrito, el ADR-023: ficha de relevo de tres campos como versión mínima, secciones como ampliación opcional y llenado asistido por un tercero. Cuesta menos de un sprint y no toca el modelo de datos.</w:t>
            </w:r>
          </w:p>
        </w:tc>
      </w:tr>
      <w:tr>
        <w:trPr>
          <w:cantSplit w:val="0"/>
          <w:trHeight w:val="1065" w:hRule="atLeast"/>
          <w:tblHeader w:val="0"/>
        </w:trPr>
        <w:tc>
          <w:tcPr>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 la captura diferida de Transbank no opere sobre débito</w:t>
            </w:r>
          </w:p>
        </w:tc>
        <w:tc>
          <w:tcPr>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2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débito es medio de pago mayoritario en el segmento objetivo. Se verifica con una prueba de concepto en el sprint 0, en la semana 7, contra el ambiente de integración. Si se confirma, el flujo cobra el monto estimado y emite nota de crédito por la diferencia.</w:t>
            </w:r>
          </w:p>
        </w:tc>
      </w:tr>
      <w:tr>
        <w:trPr>
          <w:cantSplit w:val="0"/>
          <w:trHeight w:val="840" w:hRule="atLeast"/>
          <w:tblHeader w:val="0"/>
        </w:trPr>
        <w:tc>
          <w:tcPr>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 no se consiga un comercio dispuesto a convenio</w:t>
            </w:r>
          </w:p>
        </w:tc>
        <w:tc>
          <w:tcPr>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3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diseño ya lo neutraliza. Sin convenio, la familia exporta su lista de reposición y el sistema conserva su valor central. El entorno de demostración es entregable del sprint 6 y no del último. Las entrevistas aportaron además un primer comercio a contactar, una farmacia de barrio que ya opera con cuenta corriente para una familia.</w:t>
            </w:r>
          </w:p>
        </w:tc>
      </w:tr>
      <w:tr>
        <w:trPr>
          <w:cantSplit w:val="0"/>
          <w:trHeight w:val="630" w:hRule="atLeast"/>
          <w:tblHeader w:val="0"/>
        </w:trPr>
        <w:tc>
          <w:tcPr>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 tres de las siete hipótesis hayan quedado en zona intermedia</w:t>
            </w:r>
          </w:p>
        </w:tc>
        <w:tc>
          <w:tcPr>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3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meta de diez entrevistas que fijó el protocolo se cumplió íntegra. El reparto del gasto, quién paga y el canal de captación cayeron entre el umbral de validación y el de refutación, y para ese caso el protocolo obliga a cuatro entrevistas más antes de decidir. Se ejecutan en la semana 9 con reclutamiento por canal concentrado. Como el reparto multi-pagador ya salió del alcance comprometido, su resultado orienta la fase 2 y no condiciona el semestre.</w:t>
            </w:r>
          </w:p>
        </w:tc>
      </w:tr>
      <w:tr>
        <w:trPr>
          <w:cantSplit w:val="0"/>
          <w:trHeight w:val="630" w:hRule="atLeast"/>
          <w:tblHeader w:val="0"/>
        </w:trPr>
        <w:tc>
          <w:tcPr>
            <w:tcBorders>
              <w:left w:color="c8cfd6" w:space="0" w:sz="8" w:val="single"/>
              <w:bottom w:color="c8cfd6"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 la ventana de construcción quedó en nueve semanas, con un equipo de dos sin dedicación completa</w:t>
            </w:r>
          </w:p>
        </w:tc>
        <w:tc>
          <w:tcPr>
            <w:tcBorders>
              <w:bottom w:color="c8cfd6"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3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mitiga con el segundo recorte de alcance, que deja 213 horas comprometidas contra 270 de capacidad y un 21% de holgura, con el reparto por ejes verticales que evita el bloqueo mutuo entre integrantes, y con el orden de sacrificio declarado.</w:t>
            </w:r>
          </w:p>
        </w:tc>
      </w:tr>
    </w:tbl>
    <w:p w:rsidR="00000000" w:rsidDel="00000000" w:rsidP="00000000" w:rsidRDefault="00000000" w:rsidRPr="00000000" w14:paraId="00000135">
      <w:pPr>
        <w:spacing w:after="20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136">
      <w:pPr>
        <w:pStyle w:val="Heading2"/>
        <w:keepNext w:val="0"/>
        <w:keepLines w:val="0"/>
        <w:spacing w:after="140" w:before="260" w:line="276" w:lineRule="auto"/>
        <w:rPr>
          <w:rFonts w:ascii="Calibri" w:cs="Calibri" w:eastAsia="Calibri" w:hAnsi="Calibri"/>
          <w:color w:val="0a253e"/>
          <w:sz w:val="25"/>
          <w:szCs w:val="25"/>
        </w:rPr>
      </w:pPr>
      <w:bookmarkStart w:colFirst="0" w:colLast="0" w:name="_heading=h.4tf95t7un5kn" w:id="17"/>
      <w:bookmarkEnd w:id="17"/>
      <w:r w:rsidDel="00000000" w:rsidR="00000000" w:rsidRPr="00000000">
        <w:rPr>
          <w:rFonts w:ascii="Calibri" w:cs="Calibri" w:eastAsia="Calibri" w:hAnsi="Calibri"/>
          <w:color w:val="0a253e"/>
          <w:sz w:val="25"/>
          <w:szCs w:val="25"/>
          <w:rtl w:val="0"/>
        </w:rPr>
        <w:t xml:space="preserve">2.5 Objetivos</w:t>
      </w:r>
    </w:p>
    <w:p w:rsidR="00000000" w:rsidDel="00000000" w:rsidP="00000000" w:rsidRDefault="00000000" w:rsidRPr="00000000" w14:paraId="00000137">
      <w:pPr>
        <w:spacing w:after="6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Objetivo general</w:t>
      </w:r>
    </w:p>
    <w:p w:rsidR="00000000" w:rsidDel="00000000" w:rsidP="00000000" w:rsidRDefault="00000000" w:rsidRPr="00000000" w14:paraId="00000138">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Desarrollar una plataforma informática que convierta el plan de cuidado de una persona mayor en situación de dependencia en una predicción de quiebre de sus insumos y coordine su reposición y pago, desplegada y operativa en un entorno de demostración al término del semestre 2026-2.</w:t>
      </w:r>
    </w:p>
    <w:p w:rsidR="00000000" w:rsidDel="00000000" w:rsidP="00000000" w:rsidRDefault="00000000" w:rsidRPr="00000000" w14:paraId="00000139">
      <w:pPr>
        <w:spacing w:after="10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Objetivos específicos</w:t>
      </w:r>
    </w:p>
    <w:p w:rsidR="00000000" w:rsidDel="00000000" w:rsidP="00000000" w:rsidRDefault="00000000" w:rsidRPr="00000000" w14:paraId="0000013A">
      <w:pPr>
        <w:spacing w:after="100" w:line="360" w:lineRule="auto"/>
        <w:ind w:left="9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r w:rsidDel="00000000" w:rsidR="00000000" w:rsidRPr="00000000">
        <w:rPr>
          <w:sz w:val="24"/>
          <w:szCs w:val="24"/>
          <w:rtl w:val="0"/>
        </w:rPr>
        <w:t xml:space="preserve">  </w:t>
        <w:tab/>
      </w:r>
      <w:r w:rsidDel="00000000" w:rsidR="00000000" w:rsidRPr="00000000">
        <w:rPr>
          <w:rFonts w:ascii="Calibri" w:cs="Calibri" w:eastAsia="Calibri" w:hAnsi="Calibri"/>
          <w:sz w:val="24"/>
          <w:szCs w:val="24"/>
          <w:rtl w:val="0"/>
        </w:rPr>
        <w:t xml:space="preserve">Validar las siete hipótesis del problema con diez entrevistas y criterios de falsación fijados por escrito antes de entrevistar, al cierre de la semana 6.</w:t>
      </w:r>
    </w:p>
    <w:p w:rsidR="00000000" w:rsidDel="00000000" w:rsidP="00000000" w:rsidRDefault="00000000" w:rsidRPr="00000000" w14:paraId="0000013B">
      <w:pPr>
        <w:spacing w:after="100" w:line="360" w:lineRule="auto"/>
        <w:ind w:left="9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r w:rsidDel="00000000" w:rsidR="00000000" w:rsidRPr="00000000">
        <w:rPr>
          <w:sz w:val="24"/>
          <w:szCs w:val="24"/>
          <w:rtl w:val="0"/>
        </w:rPr>
        <w:t xml:space="preserve">  </w:t>
        <w:tab/>
      </w:r>
      <w:r w:rsidDel="00000000" w:rsidR="00000000" w:rsidRPr="00000000">
        <w:rPr>
          <w:rFonts w:ascii="Calibri" w:cs="Calibri" w:eastAsia="Calibri" w:hAnsi="Calibri"/>
          <w:sz w:val="24"/>
          <w:szCs w:val="24"/>
          <w:rtl w:val="0"/>
        </w:rPr>
        <w:t xml:space="preserve">Implementar un modelo de datos multi-tenant con Row Level Security forzado, verificado por diez pruebas de aislamiento contra una base de datos real, al cierre del sprint 1.</w:t>
      </w:r>
    </w:p>
    <w:p w:rsidR="00000000" w:rsidDel="00000000" w:rsidP="00000000" w:rsidRDefault="00000000" w:rsidRPr="00000000" w14:paraId="0000013C">
      <w:pPr>
        <w:spacing w:after="100" w:line="360" w:lineRule="auto"/>
        <w:ind w:left="9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r w:rsidDel="00000000" w:rsidR="00000000" w:rsidRPr="00000000">
        <w:rPr>
          <w:sz w:val="24"/>
          <w:szCs w:val="24"/>
          <w:rtl w:val="0"/>
        </w:rPr>
        <w:t xml:space="preserve">  </w:t>
        <w:tab/>
      </w:r>
      <w:r w:rsidDel="00000000" w:rsidR="00000000" w:rsidRPr="00000000">
        <w:rPr>
          <w:rFonts w:ascii="Calibri" w:cs="Calibri" w:eastAsia="Calibri" w:hAnsi="Calibri"/>
          <w:sz w:val="24"/>
          <w:szCs w:val="24"/>
          <w:rtl w:val="0"/>
        </w:rPr>
        <w:t xml:space="preserve">Construir el plan de cuidado con acceso de relevo temporal y revocable, auditoría de todo acceso y borrado criptográfico conforme a la Ley 21.719, al cierre del sprint 3.</w:t>
      </w:r>
    </w:p>
    <w:p w:rsidR="00000000" w:rsidDel="00000000" w:rsidP="00000000" w:rsidRDefault="00000000" w:rsidRPr="00000000" w14:paraId="0000013D">
      <w:pPr>
        <w:spacing w:after="100" w:line="360" w:lineRule="auto"/>
        <w:ind w:left="9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r w:rsidDel="00000000" w:rsidR="00000000" w:rsidRPr="00000000">
        <w:rPr>
          <w:sz w:val="24"/>
          <w:szCs w:val="24"/>
          <w:rtl w:val="0"/>
        </w:rPr>
        <w:t xml:space="preserve">  </w:t>
        <w:tab/>
      </w:r>
      <w:r w:rsidDel="00000000" w:rsidR="00000000" w:rsidRPr="00000000">
        <w:rPr>
          <w:rFonts w:ascii="Calibri" w:cs="Calibri" w:eastAsia="Calibri" w:hAnsi="Calibri"/>
          <w:sz w:val="24"/>
          <w:szCs w:val="24"/>
          <w:rtl w:val="0"/>
        </w:rPr>
        <w:t xml:space="preserve">Implementar el cálculo de fecha de quiebre y la alerta anticipada por insumo, con ocho pruebas de dominio en verde, al cierre del sprint 5.</w:t>
      </w:r>
    </w:p>
    <w:p w:rsidR="00000000" w:rsidDel="00000000" w:rsidP="00000000" w:rsidRDefault="00000000" w:rsidRPr="00000000" w14:paraId="0000013E">
      <w:pPr>
        <w:spacing w:after="100" w:line="360" w:lineRule="auto"/>
        <w:ind w:left="9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r w:rsidDel="00000000" w:rsidR="00000000" w:rsidRPr="00000000">
        <w:rPr>
          <w:sz w:val="24"/>
          <w:szCs w:val="24"/>
          <w:rtl w:val="0"/>
        </w:rPr>
        <w:t xml:space="preserve">  </w:t>
        <w:tab/>
      </w:r>
      <w:r w:rsidDel="00000000" w:rsidR="00000000" w:rsidRPr="00000000">
        <w:rPr>
          <w:rFonts w:ascii="Calibri" w:cs="Calibri" w:eastAsia="Calibri" w:hAnsi="Calibri"/>
          <w:sz w:val="24"/>
          <w:szCs w:val="24"/>
          <w:rtl w:val="0"/>
        </w:rPr>
        <w:t xml:space="preserve">Entregar la lista de reposición exportable como documento y como enlace compartible, operativa sin convenio comercial, al cierre del sprint 6.</w:t>
      </w:r>
    </w:p>
    <w:p w:rsidR="00000000" w:rsidDel="00000000" w:rsidP="00000000" w:rsidRDefault="00000000" w:rsidRPr="00000000" w14:paraId="0000013F">
      <w:pPr>
        <w:spacing w:after="100" w:line="360" w:lineRule="auto"/>
        <w:ind w:left="9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r w:rsidDel="00000000" w:rsidR="00000000" w:rsidRPr="00000000">
        <w:rPr>
          <w:sz w:val="24"/>
          <w:szCs w:val="24"/>
          <w:rtl w:val="0"/>
        </w:rPr>
        <w:t xml:space="preserve">  </w:t>
        <w:tab/>
      </w:r>
      <w:r w:rsidDel="00000000" w:rsidR="00000000" w:rsidRPr="00000000">
        <w:rPr>
          <w:rFonts w:ascii="Calibri" w:cs="Calibri" w:eastAsia="Calibri" w:hAnsi="Calibri"/>
          <w:sz w:val="24"/>
          <w:szCs w:val="24"/>
          <w:rtl w:val="0"/>
        </w:rPr>
        <w:t xml:space="preserve">Construir el flujo de pedido con autorización diferida y captura por el monto real, con los siete casos obligatorios del flujo de pago en verde, al cierre del sprint 7.</w:t>
      </w:r>
    </w:p>
    <w:p w:rsidR="00000000" w:rsidDel="00000000" w:rsidP="00000000" w:rsidRDefault="00000000" w:rsidRPr="00000000" w14:paraId="00000140">
      <w:pPr>
        <w:spacing w:after="100" w:line="360" w:lineRule="auto"/>
        <w:ind w:left="9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r w:rsidDel="00000000" w:rsidR="00000000" w:rsidRPr="00000000">
        <w:rPr>
          <w:sz w:val="24"/>
          <w:szCs w:val="24"/>
          <w:rtl w:val="0"/>
        </w:rPr>
        <w:t xml:space="preserve">  </w:t>
        <w:tab/>
      </w:r>
      <w:r w:rsidDel="00000000" w:rsidR="00000000" w:rsidRPr="00000000">
        <w:rPr>
          <w:rFonts w:ascii="Calibri" w:cs="Calibri" w:eastAsia="Calibri" w:hAnsi="Calibri"/>
          <w:sz w:val="24"/>
          <w:szCs w:val="24"/>
          <w:rtl w:val="0"/>
        </w:rPr>
        <w:t xml:space="preserve">Desplegar el sistema en un entorno de demostración con los seis recorridos críticos operativos y el pipeline de integración continua en verde, al cierre del sprint 8.</w:t>
      </w:r>
    </w:p>
    <w:p w:rsidR="00000000" w:rsidDel="00000000" w:rsidP="00000000" w:rsidRDefault="00000000" w:rsidRPr="00000000" w14:paraId="00000142">
      <w:pPr>
        <w:spacing w:after="100" w:line="360" w:lineRule="auto"/>
        <w:ind w:left="940" w:hanging="36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3">
      <w:pPr>
        <w:pStyle w:val="Heading2"/>
        <w:keepNext w:val="0"/>
        <w:keepLines w:val="0"/>
        <w:spacing w:after="140" w:before="260" w:line="276" w:lineRule="auto"/>
        <w:rPr>
          <w:rFonts w:ascii="Calibri" w:cs="Calibri" w:eastAsia="Calibri" w:hAnsi="Calibri"/>
          <w:color w:val="0a253e"/>
          <w:sz w:val="25"/>
          <w:szCs w:val="25"/>
        </w:rPr>
      </w:pPr>
      <w:bookmarkStart w:colFirst="0" w:colLast="0" w:name="_heading=h.cwp7vbu41yd0" w:id="18"/>
      <w:bookmarkEnd w:id="18"/>
      <w:r w:rsidDel="00000000" w:rsidR="00000000" w:rsidRPr="00000000">
        <w:rPr>
          <w:rFonts w:ascii="Calibri" w:cs="Calibri" w:eastAsia="Calibri" w:hAnsi="Calibri"/>
          <w:color w:val="0a253e"/>
          <w:sz w:val="25"/>
          <w:szCs w:val="25"/>
          <w:rtl w:val="0"/>
        </w:rPr>
        <w:t xml:space="preserve">2.6 Metodología de trabajo</w:t>
      </w:r>
    </w:p>
    <w:p w:rsidR="00000000" w:rsidDel="00000000" w:rsidP="00000000" w:rsidRDefault="00000000" w:rsidRPr="00000000" w14:paraId="00000144">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utiliza Scrum adaptado a un equipo de dos personas, con sprints de una semana. La construcción se organiza en un sprint 0 de preparación y ocho sprints de una semana, entre las semanas 7 y 15 del semestre. La elección de sprints cortos es deliberada: con quince horas semanales por persona y una ventana de nueve semanas, un sprint de dos semanas concentra demasiado riesgo antes de la primera revisión.</w:t>
      </w:r>
    </w:p>
    <w:p w:rsidR="00000000" w:rsidDel="00000000" w:rsidP="00000000" w:rsidRDefault="00000000" w:rsidRPr="00000000" w14:paraId="00000145">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sprint cierra con un entregable verificable y no con una demostración de avance. El criterio de terminado exige código integrado en la rama principal, pruebas en verde en el pipeline de integración continua y documentación actualizada.</w:t>
      </w:r>
    </w:p>
    <w:p w:rsidR="00000000" w:rsidDel="00000000" w:rsidP="00000000" w:rsidRDefault="00000000" w:rsidRPr="00000000" w14:paraId="00000146">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ceremonias son planificación al inicio de cada sprint, revisión y retrospectiva al cierre, y una reunión breve de sincronización a mitad de semana. Con dos personas la ceremonia diaria no aporta y se reemplaza por comunicación asíncrona sobre el tablero de GitHub Projects.</w:t>
      </w:r>
    </w:p>
    <w:p w:rsidR="00000000" w:rsidDel="00000000" w:rsidP="00000000" w:rsidRDefault="00000000" w:rsidRPr="00000000" w14:paraId="00000147">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Fase 1, de definición, cubrió el problema, la arquitectura, el prototipo y la validación con cuidadoras, y cerró con una reunión de decisión de los dos integrantes sobre los criterios fijados en el protocolo, con el ADR-023 activado y con el alcance recortado en consecuencia. La Fase 2, de construcción, comprende el sprint 0 y los ocho sprints en el orden capa 1, capa 2 y capa 3, de modo que exista producto demostrable de punta a punta en el sprint 3 y no al final del semestre. La Fase 3, de cierre, cubre el informe final, la defensa y la presentación ante la comisión.</w:t>
      </w:r>
    </w:p>
    <w:p w:rsidR="00000000" w:rsidDel="00000000" w:rsidP="00000000" w:rsidRDefault="00000000" w:rsidRPr="00000000" w14:paraId="00000148">
      <w:pPr>
        <w:spacing w:after="6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Funciones, tareas y responsabilidades por integrante</w:t>
      </w:r>
    </w:p>
    <w:p w:rsidR="00000000" w:rsidDel="00000000" w:rsidP="00000000" w:rsidRDefault="00000000" w:rsidRPr="00000000" w14:paraId="00000149">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reparto del trabajo es por eje vertical y no por capa técnica. El error clásico en un equipo de dos es que uno construya todo el backend y el otro todo el frontend, con lo cual el segundo siempre espera un endpoint. Aquí cada integrante es responsable de sus módulos de extremo a extremo.</w:t>
      </w:r>
    </w:p>
    <w:tbl>
      <w:tblPr>
        <w:tblStyle w:val="Table11"/>
        <w:tblW w:w="130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3015"/>
        <w:gridCol w:w="8205"/>
        <w:tblGridChange w:id="0">
          <w:tblGrid>
            <w:gridCol w:w="1830"/>
            <w:gridCol w:w="3015"/>
            <w:gridCol w:w="8205"/>
          </w:tblGrid>
        </w:tblGridChange>
      </w:tblGrid>
      <w:tr>
        <w:trPr>
          <w:cantSplit w:val="0"/>
          <w:trHeight w:val="405" w:hRule="atLeast"/>
          <w:tblHeader w:val="0"/>
        </w:trPr>
        <w:tc>
          <w:tcPr>
            <w:tcBorders>
              <w:top w:color="c8cfd6" w:space="0" w:sz="8" w:val="single"/>
              <w:left w:color="c8cfd6" w:space="0" w:sz="8" w:val="single"/>
              <w:bottom w:color="000000" w:space="0" w:sz="8" w:val="single"/>
              <w:right w:color="000000" w:space="0" w:sz="8" w:val="single"/>
            </w:tcBorders>
            <w:shd w:fill="edf2f7" w:val="clear"/>
            <w:tcMar>
              <w:top w:w="100.0" w:type="dxa"/>
              <w:left w:w="120.0" w:type="dxa"/>
              <w:bottom w:w="100.0" w:type="dxa"/>
              <w:right w:w="120.0" w:type="dxa"/>
            </w:tcMar>
            <w:vAlign w:val="top"/>
          </w:tcPr>
          <w:p w:rsidR="00000000" w:rsidDel="00000000" w:rsidP="00000000" w:rsidRDefault="00000000" w:rsidRPr="00000000" w14:paraId="0000014A">
            <w:pPr>
              <w:spacing w:line="259.20000000000005"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Integrante</w:t>
            </w:r>
          </w:p>
        </w:tc>
        <w:tc>
          <w:tcPr>
            <w:tcBorders>
              <w:top w:color="c8cfd6" w:space="0" w:sz="8" w:val="single"/>
              <w:bottom w:color="000000" w:space="0" w:sz="8" w:val="single"/>
              <w:right w:color="000000" w:space="0" w:sz="8" w:val="single"/>
            </w:tcBorders>
            <w:shd w:fill="edf2f7" w:val="clear"/>
            <w:tcMar>
              <w:top w:w="100.0" w:type="dxa"/>
              <w:left w:w="120.0" w:type="dxa"/>
              <w:bottom w:w="100.0" w:type="dxa"/>
              <w:right w:w="120.0" w:type="dxa"/>
            </w:tcMar>
            <w:vAlign w:val="top"/>
          </w:tcPr>
          <w:p w:rsidR="00000000" w:rsidDel="00000000" w:rsidP="00000000" w:rsidRDefault="00000000" w:rsidRPr="00000000" w14:paraId="0000014B">
            <w:pPr>
              <w:spacing w:line="259.20000000000005"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Rol</w:t>
            </w:r>
          </w:p>
        </w:tc>
        <w:tc>
          <w:tcPr>
            <w:tcBorders>
              <w:top w:color="c8cfd6" w:space="0" w:sz="8" w:val="single"/>
              <w:bottom w:color="000000" w:space="0" w:sz="8" w:val="single"/>
              <w:right w:color="c8cfd6" w:space="0" w:sz="8" w:val="single"/>
            </w:tcBorders>
            <w:shd w:fill="edf2f7" w:val="clear"/>
            <w:tcMar>
              <w:top w:w="100.0" w:type="dxa"/>
              <w:left w:w="120.0" w:type="dxa"/>
              <w:bottom w:w="100.0" w:type="dxa"/>
              <w:right w:w="120.0" w:type="dxa"/>
            </w:tcMar>
            <w:vAlign w:val="top"/>
          </w:tcPr>
          <w:p w:rsidR="00000000" w:rsidDel="00000000" w:rsidP="00000000" w:rsidRDefault="00000000" w:rsidRPr="00000000" w14:paraId="0000014C">
            <w:pPr>
              <w:spacing w:line="259.20000000000005"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Responsabilidades</w:t>
            </w:r>
          </w:p>
        </w:tc>
      </w:tr>
      <w:tr>
        <w:trPr>
          <w:cantSplit w:val="0"/>
          <w:trHeight w:val="1275" w:hRule="atLeast"/>
          <w:tblHeader w:val="0"/>
        </w:trPr>
        <w:tc>
          <w:tcPr>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4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Jorge Espinoza</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4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Product Owner y desarrollador del eje A, Cuidado y consumo</w:t>
            </w:r>
          </w:p>
        </w:tc>
        <w:tc>
          <w:tcPr>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4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Módulos care_plan, consumption y catalog. Definición y priorización del backlog. Protocolo de validación con cuidadores, análisis de las diez entrevistas y ampliación de la muestra. Diseño de interacción y criterios de accesibilidad.</w:t>
            </w:r>
          </w:p>
        </w:tc>
      </w:tr>
      <w:tr>
        <w:trPr>
          <w:cantSplit w:val="0"/>
          <w:trHeight w:val="1275" w:hRule="atLeast"/>
          <w:tblHeader w:val="0"/>
        </w:trPr>
        <w:tc>
          <w:tcPr>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5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Martín Henríquez</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5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Scrum Master y desarrollador del eje B, Identidad, dinero y operación</w:t>
            </w:r>
          </w:p>
        </w:tc>
        <w:tc>
          <w:tcPr>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5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Módulos iam, care_circle, ordering, payments, settlement y backoffice. Integración con Transbank y su prueba de concepto. Pipeline de integración continua. Facilitación de ceremonias y seguimiento del tablero.</w:t>
            </w:r>
          </w:p>
        </w:tc>
      </w:tr>
      <w:tr>
        <w:trPr>
          <w:cantSplit w:val="0"/>
          <w:trHeight w:val="840" w:hRule="atLeast"/>
          <w:tblHeader w:val="0"/>
        </w:trPr>
        <w:tc>
          <w:tcPr>
            <w:tcBorders>
              <w:left w:color="c8cfd6" w:space="0" w:sz="8" w:val="single"/>
              <w:bottom w:color="c8cfd6"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5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Trabajo conjunto</w:t>
            </w:r>
          </w:p>
        </w:tc>
        <w:tc>
          <w:tcPr>
            <w:tcBorders>
              <w:bottom w:color="c8cfd6"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5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Ambos integrantes</w:t>
            </w:r>
          </w:p>
        </w:tc>
        <w:tc>
          <w:tcPr>
            <w:tcBorders>
              <w:bottom w:color="c8cfd6"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5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Paquete compartido de la aplicación móvil en el sprint 4. Documento de arquitectura, informe final y defensa. Toda revisión que toque dinero o datos sensibles.</w:t>
            </w:r>
          </w:p>
        </w:tc>
      </w:tr>
    </w:tbl>
    <w:p w:rsidR="00000000" w:rsidDel="00000000" w:rsidP="00000000" w:rsidRDefault="00000000" w:rsidRPr="00000000" w14:paraId="00000156">
      <w:pPr>
        <w:spacing w:after="20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157">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Rigen tres reglas de coordinación. La primera, el contrato de API se acuerda y se integra antes que la implementación, de modo que quien consume trabaja contra un doble de prueba sin esperar al otro. La segunda, nadie edita módulos del eje ajeno, y si se necesita un cambio se solicita. La tercera, las migraciones de base de datos se revisan siempre entre los dos, porque es el único punto del repositorio donde dos ramas paralelas producen un conflicto que no se resuelve solo.</w:t>
      </w:r>
    </w:p>
    <w:p w:rsidR="00000000" w:rsidDel="00000000" w:rsidP="00000000" w:rsidRDefault="00000000" w:rsidRPr="00000000" w14:paraId="00000158">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avance se controla con el tablero de GitHub Projects, la revisión por pares obligatoria sobre cada cambio y el pipeline de integración continua como criterio objetivo de terminado. El alcance se revisa al cierre de cada sprint contra la capacidad declarada, y ante atraso se aplica el orden de sacrificio definido en el plan.</w:t>
      </w:r>
    </w:p>
    <w:p w:rsidR="00000000" w:rsidDel="00000000" w:rsidP="00000000" w:rsidRDefault="00000000" w:rsidRPr="00000000" w14:paraId="00000159">
      <w:pPr>
        <w:spacing w:after="14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A">
      <w:pPr>
        <w:pStyle w:val="Heading2"/>
        <w:keepNext w:val="0"/>
        <w:keepLines w:val="0"/>
        <w:spacing w:after="140" w:before="260" w:line="276" w:lineRule="auto"/>
        <w:rPr>
          <w:rFonts w:ascii="Calibri" w:cs="Calibri" w:eastAsia="Calibri" w:hAnsi="Calibri"/>
          <w:color w:val="0a253e"/>
          <w:sz w:val="25"/>
          <w:szCs w:val="25"/>
        </w:rPr>
      </w:pPr>
      <w:bookmarkStart w:colFirst="0" w:colLast="0" w:name="_heading=h.hncxdk6l6skd" w:id="19"/>
      <w:bookmarkEnd w:id="19"/>
      <w:r w:rsidDel="00000000" w:rsidR="00000000" w:rsidRPr="00000000">
        <w:rPr>
          <w:rFonts w:ascii="Calibri" w:cs="Calibri" w:eastAsia="Calibri" w:hAnsi="Calibri"/>
          <w:color w:val="0a253e"/>
          <w:sz w:val="25"/>
          <w:szCs w:val="25"/>
          <w:rtl w:val="0"/>
        </w:rPr>
        <w:t xml:space="preserve">2.7 Plan de trabajo</w:t>
      </w:r>
    </w:p>
    <w:p w:rsidR="00000000" w:rsidDel="00000000" w:rsidP="00000000" w:rsidRDefault="00000000" w:rsidRPr="00000000" w14:paraId="0000015B">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plan comprende catorce actividades distribuidas en las tres fases del semestre. El detalle completo, con recursos, facilitadores y obstaculizadores por actividad, está en la guía de definición del proyecto y en el documento de arquitectura. La equivalencia entre sprints y semanas es directa: el sprint 0 ocupa la semana 7 y desde ahí cada sprint dura una semana, de modo que el sprint N corresponde a la semana N más 7.</w:t>
      </w:r>
    </w:p>
    <w:tbl>
      <w:tblPr>
        <w:tblStyle w:val="Table12"/>
        <w:tblW w:w="130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270"/>
        <w:gridCol w:w="3750"/>
        <w:gridCol w:w="2985"/>
        <w:tblGridChange w:id="0">
          <w:tblGrid>
            <w:gridCol w:w="6270"/>
            <w:gridCol w:w="3750"/>
            <w:gridCol w:w="2985"/>
          </w:tblGrid>
        </w:tblGridChange>
      </w:tblGrid>
      <w:tr>
        <w:trPr>
          <w:cantSplit w:val="0"/>
          <w:trHeight w:val="405" w:hRule="atLeast"/>
          <w:tblHeader w:val="0"/>
        </w:trPr>
        <w:tc>
          <w:tcPr>
            <w:tcBorders>
              <w:top w:color="c8cfd6" w:space="0" w:sz="8" w:val="single"/>
              <w:left w:color="c8cfd6" w:space="0" w:sz="8" w:val="single"/>
              <w:bottom w:color="000000" w:space="0" w:sz="8" w:val="single"/>
              <w:right w:color="000000" w:space="0" w:sz="8" w:val="single"/>
            </w:tcBorders>
            <w:shd w:fill="edf2f7" w:val="clear"/>
            <w:tcMar>
              <w:top w:w="100.0" w:type="dxa"/>
              <w:left w:w="120.0" w:type="dxa"/>
              <w:bottom w:w="100.0" w:type="dxa"/>
              <w:right w:w="120.0" w:type="dxa"/>
            </w:tcMar>
            <w:vAlign w:val="top"/>
          </w:tcPr>
          <w:p w:rsidR="00000000" w:rsidDel="00000000" w:rsidP="00000000" w:rsidRDefault="00000000" w:rsidRPr="00000000" w14:paraId="0000015C">
            <w:pPr>
              <w:spacing w:line="259.20000000000005"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Actividad</w:t>
            </w:r>
          </w:p>
        </w:tc>
        <w:tc>
          <w:tcPr>
            <w:tcBorders>
              <w:top w:color="c8cfd6" w:space="0" w:sz="8" w:val="single"/>
              <w:bottom w:color="000000" w:space="0" w:sz="8" w:val="single"/>
              <w:right w:color="000000" w:space="0" w:sz="8" w:val="single"/>
            </w:tcBorders>
            <w:shd w:fill="edf2f7" w:val="clear"/>
            <w:tcMar>
              <w:top w:w="100.0" w:type="dxa"/>
              <w:left w:w="120.0" w:type="dxa"/>
              <w:bottom w:w="100.0" w:type="dxa"/>
              <w:right w:w="120.0" w:type="dxa"/>
            </w:tcMar>
            <w:vAlign w:val="top"/>
          </w:tcPr>
          <w:p w:rsidR="00000000" w:rsidDel="00000000" w:rsidP="00000000" w:rsidRDefault="00000000" w:rsidRPr="00000000" w14:paraId="0000015D">
            <w:pPr>
              <w:spacing w:line="259.20000000000005"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Duración</w:t>
            </w:r>
          </w:p>
        </w:tc>
        <w:tc>
          <w:tcPr>
            <w:tcBorders>
              <w:top w:color="c8cfd6" w:space="0" w:sz="8" w:val="single"/>
              <w:bottom w:color="000000" w:space="0" w:sz="8" w:val="single"/>
              <w:right w:color="c8cfd6" w:space="0" w:sz="8" w:val="single"/>
            </w:tcBorders>
            <w:shd w:fill="edf2f7" w:val="clear"/>
            <w:tcMar>
              <w:top w:w="100.0" w:type="dxa"/>
              <w:left w:w="120.0" w:type="dxa"/>
              <w:bottom w:w="100.0" w:type="dxa"/>
              <w:right w:w="120.0" w:type="dxa"/>
            </w:tcMar>
            <w:vAlign w:val="top"/>
          </w:tcPr>
          <w:p w:rsidR="00000000" w:rsidDel="00000000" w:rsidP="00000000" w:rsidRDefault="00000000" w:rsidRPr="00000000" w14:paraId="0000015E">
            <w:pPr>
              <w:spacing w:line="259.20000000000005"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Responsable</w:t>
            </w:r>
          </w:p>
        </w:tc>
      </w:tr>
      <w:tr>
        <w:trPr>
          <w:cantSplit w:val="0"/>
          <w:trHeight w:val="405" w:hRule="atLeast"/>
          <w:tblHeader w:val="0"/>
        </w:trPr>
        <w:tc>
          <w:tcPr>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5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Definición del producto y arquitectura</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6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semanas (semanas 1 a 6)</w:t>
            </w:r>
          </w:p>
        </w:tc>
        <w:tc>
          <w:tcPr>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6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Ambos</w:t>
            </w:r>
          </w:p>
        </w:tc>
      </w:tr>
      <w:tr>
        <w:trPr>
          <w:cantSplit w:val="0"/>
          <w:trHeight w:val="405" w:hRule="atLeast"/>
          <w:tblHeader w:val="0"/>
        </w:trPr>
        <w:tc>
          <w:tcPr>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6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Validación del problema con cuidadoras</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6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semanas (semanas 3 a 5)</w:t>
            </w:r>
          </w:p>
        </w:tc>
        <w:tc>
          <w:tcPr>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6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Ambos</w:t>
            </w:r>
          </w:p>
        </w:tc>
      </w:tr>
      <w:tr>
        <w:trPr>
          <w:cantSplit w:val="0"/>
          <w:trHeight w:val="630" w:hRule="atLeast"/>
          <w:tblHeader w:val="0"/>
        </w:trPr>
        <w:tc>
          <w:tcPr>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6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Presentación de Fase 1</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6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semana (semana 6)</w:t>
            </w:r>
          </w:p>
        </w:tc>
        <w:tc>
          <w:tcPr>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6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Ambos</w:t>
            </w:r>
          </w:p>
        </w:tc>
      </w:tr>
      <w:tr>
        <w:trPr>
          <w:cantSplit w:val="0"/>
          <w:trHeight w:val="405" w:hRule="atLeast"/>
          <w:tblHeader w:val="0"/>
        </w:trPr>
        <w:tc>
          <w:tcPr>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6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Preparación técnica y prueba de concepto de pagos</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6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semana (sprint 0, semana 7)</w:t>
            </w:r>
          </w:p>
        </w:tc>
        <w:tc>
          <w:tcPr>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6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Martín Henríquez</w:t>
            </w:r>
          </w:p>
        </w:tc>
      </w:tr>
      <w:tr>
        <w:trPr>
          <w:cantSplit w:val="0"/>
          <w:trHeight w:val="405" w:hRule="atLeast"/>
          <w:tblHeader w:val="0"/>
        </w:trPr>
        <w:tc>
          <w:tcPr>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6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Modelo de datos y aislamiento multi-tenant</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6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semana (sprint 1, semana 8)</w:t>
            </w:r>
          </w:p>
        </w:tc>
        <w:tc>
          <w:tcPr>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Martín Henríquez</w:t>
            </w:r>
          </w:p>
        </w:tc>
      </w:tr>
      <w:tr>
        <w:trPr>
          <w:cantSplit w:val="0"/>
          <w:trHeight w:val="630" w:hRule="atLeast"/>
          <w:tblHeader w:val="0"/>
        </w:trPr>
        <w:tc>
          <w:tcPr>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6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Capa 1 · Plan de cuidado, con ficha de relevo mínima</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6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semanas (sprints 2 y 3, semanas 9 y 10)</w:t>
            </w:r>
          </w:p>
        </w:tc>
        <w:tc>
          <w:tcPr>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7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Jorge Espinoza</w:t>
            </w:r>
          </w:p>
        </w:tc>
      </w:tr>
      <w:tr>
        <w:trPr>
          <w:cantSplit w:val="0"/>
          <w:trHeight w:val="405" w:hRule="atLeast"/>
          <w:tblHeader w:val="0"/>
        </w:trPr>
        <w:tc>
          <w:tcPr>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7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Ampliación de la validación</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7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semana (semana 9)</w:t>
            </w:r>
          </w:p>
        </w:tc>
        <w:tc>
          <w:tcPr>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Jorge Espinoza</w:t>
            </w:r>
          </w:p>
        </w:tc>
      </w:tr>
      <w:tr>
        <w:trPr>
          <w:cantSplit w:val="0"/>
          <w:trHeight w:val="405" w:hRule="atLeast"/>
          <w:tblHeader w:val="0"/>
        </w:trPr>
        <w:tc>
          <w:tcPr>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7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Aplicación móvil de la familia</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7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semana (sprint 4, semana 11)</w:t>
            </w:r>
          </w:p>
        </w:tc>
        <w:tc>
          <w:tcPr>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7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Ambos</w:t>
            </w:r>
          </w:p>
        </w:tc>
      </w:tr>
      <w:tr>
        <w:trPr>
          <w:cantSplit w:val="0"/>
          <w:trHeight w:val="630" w:hRule="atLeast"/>
          <w:tblHeader w:val="0"/>
        </w:trPr>
        <w:tc>
          <w:tcPr>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7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Capa 2 · Consumo y predicción</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7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semana (sprint 5, semana 12)</w:t>
            </w:r>
          </w:p>
        </w:tc>
        <w:tc>
          <w:tcPr>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7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Jorge Espinoza</w:t>
            </w:r>
          </w:p>
        </w:tc>
      </w:tr>
      <w:tr>
        <w:trPr>
          <w:cantSplit w:val="0"/>
          <w:trHeight w:val="630" w:hRule="atLeast"/>
          <w:tblHeader w:val="0"/>
        </w:trPr>
        <w:tc>
          <w:tcPr>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7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Catálogo y lista de reposición</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7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semana (sprint 6, semana 13)</w:t>
            </w:r>
          </w:p>
        </w:tc>
        <w:tc>
          <w:tcPr>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7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Jorge Espinoza</w:t>
            </w:r>
          </w:p>
        </w:tc>
      </w:tr>
      <w:tr>
        <w:trPr>
          <w:cantSplit w:val="0"/>
          <w:trHeight w:val="405" w:hRule="atLeast"/>
          <w:tblHeader w:val="0"/>
        </w:trPr>
        <w:tc>
          <w:tcPr>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7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Pruebas de usabilidad y accesibilidad</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7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semana (semana 13)</w:t>
            </w:r>
          </w:p>
        </w:tc>
        <w:tc>
          <w:tcPr>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7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Jorge Espinoza</w:t>
            </w:r>
          </w:p>
        </w:tc>
      </w:tr>
      <w:tr>
        <w:trPr>
          <w:cantSplit w:val="0"/>
          <w:trHeight w:val="405" w:hRule="atLeast"/>
          <w:tblHeader w:val="0"/>
        </w:trPr>
        <w:tc>
          <w:tcPr>
            <w:tcBorders>
              <w:left w:color="c8cfd6" w:space="0" w:sz="8" w:val="single"/>
              <w:bottom w:color="c8cfd6"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8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Capa 3 · Pedido y pago con un pagador</w:t>
            </w:r>
          </w:p>
        </w:tc>
        <w:tc>
          <w:tcPr>
            <w:tcBorders>
              <w:bottom w:color="c8cfd6"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8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semana (sprint 7, semana 14)</w:t>
            </w:r>
          </w:p>
        </w:tc>
        <w:tc>
          <w:tcPr>
            <w:tcBorders>
              <w:bottom w:color="c8cfd6"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8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Martín Henríquez</w:t>
            </w:r>
          </w:p>
        </w:tc>
      </w:tr>
      <w:tr>
        <w:trPr>
          <w:cantSplit w:val="0"/>
          <w:trHeight w:val="405" w:hRule="atLeast"/>
          <w:tblHeader w:val="0"/>
        </w:trPr>
        <w:tc>
          <w:tcPr>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5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Cierre, endurecimiento y despliegue</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6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semana (sprint 8, semana 15)</w:t>
            </w:r>
          </w:p>
        </w:tc>
        <w:tc>
          <w:tcPr>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6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Ambos</w:t>
            </w:r>
          </w:p>
        </w:tc>
      </w:tr>
      <w:tr>
        <w:trPr>
          <w:cantSplit w:val="0"/>
          <w:trHeight w:val="405" w:hRule="atLeast"/>
          <w:tblHeader w:val="0"/>
        </w:trPr>
        <w:tc>
          <w:tcPr>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5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Informe final y defensa</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6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semanas (semanas 16 a 18)</w:t>
            </w:r>
          </w:p>
        </w:tc>
        <w:tc>
          <w:tcPr>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6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Ambos</w:t>
            </w:r>
          </w:p>
        </w:tc>
      </w:tr>
    </w:tbl>
    <w:p w:rsidR="00000000" w:rsidDel="00000000" w:rsidP="00000000" w:rsidRDefault="00000000" w:rsidRPr="00000000" w14:paraId="00000183">
      <w:pPr>
        <w:spacing w:after="20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184">
      <w:pPr>
        <w:pStyle w:val="Heading2"/>
        <w:keepNext w:val="0"/>
        <w:keepLines w:val="0"/>
        <w:spacing w:after="140" w:before="260" w:line="276" w:lineRule="auto"/>
        <w:rPr>
          <w:rFonts w:ascii="Calibri" w:cs="Calibri" w:eastAsia="Calibri" w:hAnsi="Calibri"/>
          <w:color w:val="0a253e"/>
          <w:sz w:val="25"/>
          <w:szCs w:val="25"/>
        </w:rPr>
      </w:pPr>
      <w:bookmarkStart w:colFirst="0" w:colLast="0" w:name="_heading=h.eyc8jvnx1bqe" w:id="20"/>
      <w:bookmarkEnd w:id="20"/>
      <w:r w:rsidDel="00000000" w:rsidR="00000000" w:rsidRPr="00000000">
        <w:rPr>
          <w:rFonts w:ascii="Calibri" w:cs="Calibri" w:eastAsia="Calibri" w:hAnsi="Calibri"/>
          <w:color w:val="0a253e"/>
          <w:sz w:val="25"/>
          <w:szCs w:val="25"/>
          <w:rtl w:val="0"/>
        </w:rPr>
        <w:t xml:space="preserve">2.8 Evidencias comprometidas</w:t>
      </w:r>
    </w:p>
    <w:p w:rsidR="00000000" w:rsidDel="00000000" w:rsidP="00000000" w:rsidRDefault="00000000" w:rsidRPr="00000000" w14:paraId="00000185">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evidencias se agrupan en dos momentos. Las de avance permiten verificar el desarrollo durante el semestre y las finales dan cuenta del resultado del proyecto. Las once se proponen al docente para su acuerdo, y las tres primeras están entregadas al cierre de la Fase 1.</w:t>
      </w:r>
    </w:p>
    <w:tbl>
      <w:tblPr>
        <w:tblStyle w:val="Table13"/>
        <w:tblW w:w="130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75"/>
        <w:gridCol w:w="3390"/>
        <w:gridCol w:w="8340"/>
        <w:tblGridChange w:id="0">
          <w:tblGrid>
            <w:gridCol w:w="1275"/>
            <w:gridCol w:w="3390"/>
            <w:gridCol w:w="8340"/>
          </w:tblGrid>
        </w:tblGridChange>
      </w:tblGrid>
      <w:tr>
        <w:trPr>
          <w:cantSplit w:val="0"/>
          <w:trHeight w:val="405" w:hRule="atLeast"/>
          <w:tblHeader w:val="0"/>
        </w:trPr>
        <w:tc>
          <w:tcPr>
            <w:tcBorders>
              <w:top w:color="c8cfd6" w:space="0" w:sz="8" w:val="single"/>
              <w:left w:color="c8cfd6" w:space="0" w:sz="8" w:val="single"/>
              <w:bottom w:color="000000" w:space="0" w:sz="8" w:val="single"/>
              <w:right w:color="000000" w:space="0" w:sz="8" w:val="single"/>
            </w:tcBorders>
            <w:shd w:fill="edf2f7" w:val="clear"/>
            <w:tcMar>
              <w:top w:w="100.0" w:type="dxa"/>
              <w:left w:w="120.0" w:type="dxa"/>
              <w:bottom w:w="100.0" w:type="dxa"/>
              <w:right w:w="120.0" w:type="dxa"/>
            </w:tcMar>
            <w:vAlign w:val="top"/>
          </w:tcPr>
          <w:p w:rsidR="00000000" w:rsidDel="00000000" w:rsidP="00000000" w:rsidRDefault="00000000" w:rsidRPr="00000000" w14:paraId="0000018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Tipo</w:t>
            </w:r>
          </w:p>
        </w:tc>
        <w:tc>
          <w:tcPr>
            <w:tcBorders>
              <w:top w:color="c8cfd6" w:space="0" w:sz="8" w:val="single"/>
              <w:bottom w:color="000000" w:space="0" w:sz="8" w:val="single"/>
              <w:right w:color="000000" w:space="0" w:sz="8" w:val="single"/>
            </w:tcBorders>
            <w:shd w:fill="edf2f7" w:val="clear"/>
            <w:tcMar>
              <w:top w:w="100.0" w:type="dxa"/>
              <w:left w:w="120.0" w:type="dxa"/>
              <w:bottom w:w="100.0" w:type="dxa"/>
              <w:right w:w="120.0" w:type="dxa"/>
            </w:tcMar>
            <w:vAlign w:val="top"/>
          </w:tcPr>
          <w:p w:rsidR="00000000" w:rsidDel="00000000" w:rsidP="00000000" w:rsidRDefault="00000000" w:rsidRPr="00000000" w14:paraId="00000187">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Evidencia</w:t>
            </w:r>
          </w:p>
        </w:tc>
        <w:tc>
          <w:tcPr>
            <w:tcBorders>
              <w:top w:color="c8cfd6" w:space="0" w:sz="8" w:val="single"/>
              <w:bottom w:color="000000" w:space="0" w:sz="8" w:val="single"/>
              <w:right w:color="c8cfd6" w:space="0" w:sz="8" w:val="single"/>
            </w:tcBorders>
            <w:shd w:fill="edf2f7" w:val="clear"/>
            <w:tcMar>
              <w:top w:w="100.0" w:type="dxa"/>
              <w:left w:w="120.0" w:type="dxa"/>
              <w:bottom w:w="100.0" w:type="dxa"/>
              <w:right w:w="120.0" w:type="dxa"/>
            </w:tcMar>
            <w:vAlign w:val="top"/>
          </w:tcPr>
          <w:p w:rsidR="00000000" w:rsidDel="00000000" w:rsidP="00000000" w:rsidRDefault="00000000" w:rsidRPr="00000000" w14:paraId="00000188">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r>
      <w:tr>
        <w:trPr>
          <w:cantSplit w:val="0"/>
          <w:trHeight w:val="1065" w:hRule="atLeast"/>
          <w:tblHeader w:val="0"/>
        </w:trPr>
        <w:tc>
          <w:tcPr>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8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Avance</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8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Documento de arquitectura</w:t>
            </w:r>
          </w:p>
        </w:tc>
        <w:tc>
          <w:tcPr>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8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Línea base con 42 requisitos trazados a módulos, 13 diagramas, modelo de datos, contratos de API, estrategia de calidad y 24 decisiones fundamentadas. Entregado.</w:t>
            </w:r>
          </w:p>
        </w:tc>
      </w:tr>
      <w:tr>
        <w:trPr>
          <w:cantSplit w:val="0"/>
          <w:trHeight w:val="630" w:hRule="atLeast"/>
          <w:tblHeader w:val="0"/>
        </w:trPr>
        <w:tc>
          <w:tcPr>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8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Avance</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8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Prototipo navegable de interfaz</w:t>
            </w:r>
          </w:p>
        </w:tc>
        <w:tc>
          <w:tcPr>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8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 pantallas en siete recorridos, con criterios de accesibilidad declarados y verificados. Entregado.</w:t>
            </w:r>
          </w:p>
        </w:tc>
      </w:tr>
      <w:tr>
        <w:trPr>
          <w:cantSplit w:val="0"/>
          <w:trHeight w:val="840" w:hRule="atLeast"/>
          <w:tblHeader w:val="0"/>
        </w:trPr>
        <w:tc>
          <w:tcPr>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8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Avance</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9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Informe de validación con cuidadoras</w:t>
            </w:r>
          </w:p>
        </w:tc>
        <w:tc>
          <w:tcPr>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9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diez entrevistas de la meta del protocolo, con veredicto por hipótesis según los criterios fijados antes de entrevistar, las tres mediciones con mediana y rango, el recálculo del punto de equilibrio y las diez fichas anonimizadas. Entregado.</w:t>
            </w:r>
          </w:p>
        </w:tc>
      </w:tr>
      <w:tr>
        <w:trPr>
          <w:cantSplit w:val="0"/>
          <w:trHeight w:val="840" w:hRule="atLeast"/>
          <w:tblHeader w:val="0"/>
        </w:trPr>
        <w:tc>
          <w:tcPr>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9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Avance</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9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Ampliación de la validación</w:t>
            </w:r>
          </w:p>
        </w:tc>
        <w:tc>
          <w:tcPr>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9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Cuatro entrevistas adicionales a familiares aportantes y no convivientes, reclutadas por canal concentrado, para cerrar las tres hipótesis en zona intermedia. Semana 9.</w:t>
            </w:r>
          </w:p>
        </w:tc>
      </w:tr>
      <w:tr>
        <w:trPr>
          <w:cantSplit w:val="0"/>
          <w:trHeight w:val="840" w:hRule="atLeast"/>
          <w:tblHeader w:val="0"/>
        </w:trPr>
        <w:tc>
          <w:tcPr>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9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Avance</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9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Prueba de concepto de la pasarela de pago</w:t>
            </w:r>
          </w:p>
        </w:tc>
        <w:tc>
          <w:tcPr>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9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Verificación de autorización diferida, captura parcial, reversa y comportamiento del medio de pago débito. Sprint 0, semana 7.</w:t>
            </w:r>
          </w:p>
        </w:tc>
      </w:tr>
      <w:tr>
        <w:trPr>
          <w:cantSplit w:val="0"/>
          <w:trHeight w:val="840" w:hRule="atLeast"/>
          <w:tblHeader w:val="0"/>
        </w:trPr>
        <w:tc>
          <w:tcPr>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9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Avance</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9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Repositorio con integración continua</w:t>
            </w:r>
          </w:p>
        </w:tc>
        <w:tc>
          <w:tcPr>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9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Pipeline que ejecuta formato, estilo, tipado, escaneo de secretos, migraciones reversibles y suites de pruebas en cada cambio. Sprint 0, semana 7.</w:t>
            </w:r>
          </w:p>
        </w:tc>
      </w:tr>
      <w:tr>
        <w:trPr>
          <w:cantSplit w:val="0"/>
          <w:trHeight w:val="630" w:hRule="atLeast"/>
          <w:tblHeader w:val="0"/>
        </w:trPr>
        <w:tc>
          <w:tcPr>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9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Avance</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9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Modelo de datos implementado</w:t>
            </w:r>
          </w:p>
        </w:tc>
        <w:tc>
          <w:tcPr>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9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Esquema en PostgreSQL con Row Level Security forzado sobre tres ejes de acceso, cifrado por persona cuidada y migraciones reversibles, con diez pruebas de aislamiento contra una base real. Sprint 1, semana 8.</w:t>
            </w:r>
          </w:p>
        </w:tc>
      </w:tr>
      <w:tr>
        <w:trPr>
          <w:cantSplit w:val="0"/>
          <w:trHeight w:val="630" w:hRule="atLeast"/>
          <w:tblHeader w:val="0"/>
        </w:trPr>
        <w:tc>
          <w:tcPr>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9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Avance</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9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Producto demostrable de la capa 1</w:t>
            </w:r>
          </w:p>
        </w:tc>
        <w:tc>
          <w:tcPr>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A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Flujo completo de la ficha de relevo funcionando de punta a punta, entregable del sprint 3, en la semana 10.</w:t>
            </w:r>
          </w:p>
        </w:tc>
      </w:tr>
      <w:tr>
        <w:trPr>
          <w:cantSplit w:val="0"/>
          <w:trHeight w:val="630" w:hRule="atLeast"/>
          <w:tblHeader w:val="0"/>
        </w:trPr>
        <w:tc>
          <w:tcPr>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A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A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Aplicación integrada en operación</w:t>
            </w:r>
          </w:p>
        </w:tc>
        <w:tc>
          <w:tcPr>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A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Aplicación móvil, vista web de comercio y backoffice desplegados en un entorno de demostración, con el flujo de pedido con un pagador operativo de extremo a extremo.</w:t>
            </w:r>
          </w:p>
        </w:tc>
      </w:tr>
      <w:tr>
        <w:trPr>
          <w:cantSplit w:val="0"/>
          <w:trHeight w:val="630" w:hRule="atLeast"/>
          <w:tblHeader w:val="0"/>
        </w:trPr>
        <w:tc>
          <w:tcPr>
            <w:tcBorders>
              <w:left w:color="c8cfd6" w:space="0" w:sz="8" w:val="single"/>
              <w:bottom w:color="c8cfd6"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A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w:t>
            </w:r>
          </w:p>
        </w:tc>
        <w:tc>
          <w:tcPr>
            <w:tcBorders>
              <w:bottom w:color="c8cfd6"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A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Informe final del proyecto</w:t>
            </w:r>
          </w:p>
        </w:tc>
        <w:tc>
          <w:tcPr>
            <w:tcBorders>
              <w:bottom w:color="c8cfd6"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A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Resultados, contraste entre lo planificado y lo alcanzado, resultados de las pruebas y conclusiones.</w:t>
            </w:r>
          </w:p>
        </w:tc>
      </w:tr>
      <w:tr>
        <w:trPr>
          <w:cantSplit w:val="0"/>
          <w:trHeight w:val="1065" w:hRule="atLeast"/>
          <w:tblHeader w:val="0"/>
        </w:trPr>
        <w:tc>
          <w:tcPr>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8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8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Defensa del proyecto</w:t>
            </w:r>
          </w:p>
        </w:tc>
        <w:tc>
          <w:tcPr>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8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Presentación ante la comisión con demostración funcional y justificación de las decisiones técnicas.</w:t>
            </w:r>
          </w:p>
        </w:tc>
      </w:tr>
    </w:tbl>
    <w:p w:rsidR="00000000" w:rsidDel="00000000" w:rsidP="00000000" w:rsidRDefault="00000000" w:rsidRPr="00000000" w14:paraId="000001A7">
      <w:pPr>
        <w:spacing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A8">
      <w:pPr>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1A9">
      <w:pPr>
        <w:pStyle w:val="Heading1"/>
        <w:keepNext w:val="0"/>
        <w:keepLines w:val="0"/>
        <w:spacing w:after="180" w:before="360" w:line="276" w:lineRule="auto"/>
        <w:jc w:val="center"/>
        <w:rPr>
          <w:rFonts w:ascii="Calibri" w:cs="Calibri" w:eastAsia="Calibri" w:hAnsi="Calibri"/>
          <w:color w:val="0a253e"/>
          <w:sz w:val="30"/>
          <w:szCs w:val="30"/>
        </w:rPr>
      </w:pPr>
      <w:bookmarkStart w:colFirst="0" w:colLast="0" w:name="_heading=h.j3pxl78j2enp" w:id="21"/>
      <w:bookmarkEnd w:id="21"/>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1"/>
        <w:keepNext w:val="0"/>
        <w:keepLines w:val="0"/>
        <w:spacing w:after="180" w:before="360" w:line="276" w:lineRule="auto"/>
        <w:rPr>
          <w:rFonts w:ascii="Calibri" w:cs="Calibri" w:eastAsia="Calibri" w:hAnsi="Calibri"/>
          <w:color w:val="0a253e"/>
          <w:sz w:val="30"/>
          <w:szCs w:val="30"/>
        </w:rPr>
      </w:pPr>
      <w:bookmarkStart w:colFirst="0" w:colLast="0" w:name="_heading=h.ohllb91uc6e8" w:id="22"/>
      <w:bookmarkEnd w:id="22"/>
      <w:r w:rsidDel="00000000" w:rsidR="00000000" w:rsidRPr="00000000">
        <w:rPr>
          <w:rFonts w:ascii="Calibri" w:cs="Calibri" w:eastAsia="Calibri" w:hAnsi="Calibri"/>
          <w:color w:val="0a253e"/>
          <w:sz w:val="30"/>
          <w:szCs w:val="30"/>
          <w:rtl w:val="0"/>
        </w:rPr>
        <w:t xml:space="preserve">3. Conclusions</w:t>
      </w:r>
    </w:p>
    <w:p w:rsidR="00000000" w:rsidDel="00000000" w:rsidP="00000000" w:rsidRDefault="00000000" w:rsidRPr="00000000" w14:paraId="000001AB">
      <w:pPr>
        <w:spacing w:after="140" w:line="360" w:lineRule="auto"/>
        <w:jc w:val="both"/>
        <w:rPr>
          <w:rFonts w:ascii="Calibri" w:cs="Calibri" w:eastAsia="Calibri" w:hAnsi="Calibri"/>
          <w:b w:val="1"/>
          <w:bCs w:val="1"/>
          <w:i w:val="1"/>
          <w:iCs w:val="1"/>
          <w:color w:val="444c56"/>
          <w:sz w:val="24"/>
          <w:szCs w:val="24"/>
        </w:rPr>
      </w:pPr>
      <w:r w:rsidDel="00000000" w:rsidR="00000000" w:rsidRPr="00000000">
        <w:rPr>
          <w:rFonts w:ascii="Calibri" w:cs="Calibri" w:eastAsia="Calibri" w:hAnsi="Calibri"/>
          <w:b w:val="1"/>
          <w:bCs w:val="1"/>
          <w:i w:val="1"/>
          <w:iCs w:val="1"/>
          <w:color w:val="444c56"/>
          <w:sz w:val="24"/>
          <w:szCs w:val="24"/>
          <w:rtl w:val="0"/>
        </w:rPr>
        <w:t xml:space="preserve">This section is written in English, as required by the course, and each team member states their own conclusions individually.</w:t>
      </w:r>
    </w:p>
    <w:p w:rsidR="00000000" w:rsidDel="00000000" w:rsidP="00000000" w:rsidRDefault="00000000" w:rsidRPr="00000000" w14:paraId="000001AC">
      <w:pPr>
        <w:pStyle w:val="Heading2"/>
        <w:keepNext w:val="0"/>
        <w:keepLines w:val="0"/>
        <w:spacing w:after="140" w:before="260" w:line="276" w:lineRule="auto"/>
        <w:rPr>
          <w:rFonts w:ascii="Calibri" w:cs="Calibri" w:eastAsia="Calibri" w:hAnsi="Calibri"/>
          <w:color w:val="0a253e"/>
          <w:sz w:val="25"/>
          <w:szCs w:val="25"/>
        </w:rPr>
      </w:pPr>
      <w:bookmarkStart w:colFirst="0" w:colLast="0" w:name="_heading=h.xk7pgbj3rwvk" w:id="23"/>
      <w:bookmarkEnd w:id="23"/>
      <w:r w:rsidDel="00000000" w:rsidR="00000000" w:rsidRPr="00000000">
        <w:rPr>
          <w:rtl w:val="0"/>
        </w:rPr>
      </w:r>
    </w:p>
    <w:p w:rsidR="00000000" w:rsidDel="00000000" w:rsidP="00000000" w:rsidRDefault="00000000" w:rsidRPr="00000000" w14:paraId="000001AD">
      <w:pPr>
        <w:pStyle w:val="Heading2"/>
        <w:keepNext w:val="0"/>
        <w:keepLines w:val="0"/>
        <w:spacing w:after="140" w:before="260" w:line="276" w:lineRule="auto"/>
        <w:rPr>
          <w:rFonts w:ascii="Calibri" w:cs="Calibri" w:eastAsia="Calibri" w:hAnsi="Calibri"/>
          <w:color w:val="0a253e"/>
          <w:sz w:val="25"/>
          <w:szCs w:val="25"/>
        </w:rPr>
      </w:pPr>
      <w:bookmarkStart w:colFirst="0" w:colLast="0" w:name="_heading=h.voo94xm0abvd" w:id="24"/>
      <w:bookmarkEnd w:id="24"/>
      <w:r w:rsidDel="00000000" w:rsidR="00000000" w:rsidRPr="00000000">
        <w:rPr>
          <w:rFonts w:ascii="Calibri" w:cs="Calibri" w:eastAsia="Calibri" w:hAnsi="Calibri"/>
          <w:color w:val="0a253e"/>
          <w:sz w:val="25"/>
          <w:szCs w:val="25"/>
          <w:rtl w:val="0"/>
        </w:rPr>
        <w:t xml:space="preserve">3.1 Jorge Espinoza</w:t>
      </w:r>
    </w:p>
    <w:p w:rsidR="00000000" w:rsidDel="00000000" w:rsidP="00000000" w:rsidRDefault="00000000" w:rsidRPr="00000000" w14:paraId="000001AE">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Working on the definition of MATU has changed how I understand the relationship between a problem and its technical solution. I came into this project believing that the hard part would be the software, and the design work showed me the opposite: the hard part was deciding what the product actually is. The project went through three restructurings before it stabilised, and the decisive one came from an uncomfortable finding, namely that the differentiating asset was relegated to a second phase while the replicable component sat at the centre.</w:t>
      </w:r>
    </w:p>
    <w:p w:rsidR="00000000" w:rsidDel="00000000" w:rsidP="00000000" w:rsidRDefault="00000000" w:rsidRPr="00000000" w14:paraId="000001AF">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most valuable lesson for me has been the discipline of writing down what is not yet known, and then going out to find it. The architecture document declared seven open gaps that could not be closed by writing more documentation, and the first of them was primary evidence of the problem. Interviewing ten caregivers closed that gap and was harder than writing the document. Reading the results against criteria we had fixed before the first interview was uncomfortable in exactly the way it was meant to be: our first hypothesis failed the threshold, and the honest thing to do was to activate the plan B we had written for that case rather than to argue that five minutes and fifty seconds is almost five minutes.</w:t>
      </w:r>
    </w:p>
    <w:p w:rsidR="00000000" w:rsidDel="00000000" w:rsidP="00000000" w:rsidRDefault="00000000" w:rsidRPr="00000000" w14:paraId="000001B0">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My previous background is in clinical psychology, and this project has let me place that experience at the service of engineering rather than keeping the two apart. Understanding the caregiver's burden from the inside allowed me to define a domain model that a purely technical reading would not have produced, and it made the interviews possible: five of them were with families I already knew from practice, and the ethical framing of the protocol, no recording, no diagnoses, no clinical advice, is something I would have demanded as a psychologist before demanding it as an engineer. At the same time, the project has forced me to work with tools I had not used at this level of demand, such as forced row-level security, envelope encryption and integer money arithmetic. That combination is exactly the professional position I want to build.</w:t>
      </w:r>
    </w:p>
    <w:p w:rsidR="00000000" w:rsidDel="00000000" w:rsidP="00000000" w:rsidRDefault="00000000" w:rsidRPr="00000000" w14:paraId="000001B1">
      <w:pPr>
        <w:pStyle w:val="Heading2"/>
        <w:keepNext w:val="0"/>
        <w:keepLines w:val="0"/>
        <w:spacing w:after="140" w:before="260" w:line="276" w:lineRule="auto"/>
        <w:jc w:val="left"/>
        <w:rPr>
          <w:rFonts w:ascii="Calibri" w:cs="Calibri" w:eastAsia="Calibri" w:hAnsi="Calibri"/>
          <w:color w:val="0a253e"/>
          <w:sz w:val="25"/>
          <w:szCs w:val="25"/>
        </w:rPr>
      </w:pPr>
      <w:bookmarkStart w:colFirst="0" w:colLast="0" w:name="_heading=h.u5nx05exw78o" w:id="25"/>
      <w:bookmarkEnd w:id="25"/>
      <w:r w:rsidDel="00000000" w:rsidR="00000000" w:rsidRPr="00000000">
        <w:rPr>
          <w:rtl w:val="0"/>
        </w:rPr>
      </w:r>
    </w:p>
    <w:p w:rsidR="00000000" w:rsidDel="00000000" w:rsidP="00000000" w:rsidRDefault="00000000" w:rsidRPr="00000000" w14:paraId="000001B2">
      <w:pPr>
        <w:pStyle w:val="Heading2"/>
        <w:keepNext w:val="0"/>
        <w:keepLines w:val="0"/>
        <w:spacing w:after="140" w:before="260" w:line="276" w:lineRule="auto"/>
        <w:jc w:val="left"/>
        <w:rPr>
          <w:rFonts w:ascii="Calibri" w:cs="Calibri" w:eastAsia="Calibri" w:hAnsi="Calibri"/>
          <w:color w:val="0a253e"/>
          <w:sz w:val="25"/>
          <w:szCs w:val="25"/>
        </w:rPr>
      </w:pPr>
      <w:bookmarkStart w:colFirst="0" w:colLast="0" w:name="_heading=h.m4rpcay54739" w:id="26"/>
      <w:bookmarkEnd w:id="26"/>
      <w:r w:rsidDel="00000000" w:rsidR="00000000" w:rsidRPr="00000000">
        <w:rPr>
          <w:rFonts w:ascii="Calibri" w:cs="Calibri" w:eastAsia="Calibri" w:hAnsi="Calibri"/>
          <w:color w:val="0a253e"/>
          <w:sz w:val="25"/>
          <w:szCs w:val="25"/>
          <w:rtl w:val="0"/>
        </w:rPr>
        <w:t xml:space="preserve">3.2 Martín Henríquez</w:t>
      </w:r>
    </w:p>
    <w:p w:rsidR="00000000" w:rsidDel="00000000" w:rsidP="00000000" w:rsidRDefault="00000000" w:rsidRPr="00000000" w14:paraId="000001B3">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first phase has shown me that the value of a methodological framework lies in the constraints it imposes rather than in the ceremonies it prescribes. Declaring a capacity of fifteen hours per person per week forced us to accept that the estimated scope did not fit, and to cut it before starting instead of discovering the problem halfway through the semester. Cutting scope on paper is uncomfortable, but it is far cheaper than cutting it under pressure in sprint eight.</w:t>
      </w:r>
    </w:p>
    <w:p w:rsidR="00000000" w:rsidDel="00000000" w:rsidP="00000000" w:rsidRDefault="00000000" w:rsidRPr="00000000" w14:paraId="000001B4">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Scrum Master of a two-person team I have learned that the main risk is not technical difficulty but mutual blocking. Splitting the work along vertical axes rather than by technical layer, and agreeing the API contract before the implementation, are decisions that protect the schedule more than any tool. The three coordination rules we defined exist precisely because a team of two has no slack to absorb a dependency that was not anticipated.</w:t>
      </w:r>
    </w:p>
    <w:p w:rsidR="00000000" w:rsidDel="00000000" w:rsidP="00000000" w:rsidRDefault="00000000" w:rsidRPr="00000000" w14:paraId="000001B5">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also puts me in front of the technical challenges I want to develop. Orchestrating a shared payment over a gateway that does not support splitting natively, and verifying that behaviour against a real integration environment before committing to it, is the kind of problem that connects project management with hands-on engineering. That connection is what I want to consolidate on my way to working as an IT project manager.</w:t>
      </w:r>
    </w:p>
    <w:p w:rsidR="00000000" w:rsidDel="00000000" w:rsidP="00000000" w:rsidRDefault="00000000" w:rsidRPr="00000000" w14:paraId="000001B5">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Conducting five of the ten interviews myself also changed how I read our own plan. Two of the hypotheses that justified the most expensive part of my axis came back in the intermediate zone, and the protocol we wrote does not allow us to interpret that in our favour. With the construction window down to nine weeks, the decision was to take the multi-payer collection out of the committed scope rather than build a hundred hours of the riskiest code on evidence that does not hold. Planning against measured evidence is less comfortable than planning against assumptions, and it is the only kind of planning worth defending in front of a committee.</w:t>
      </w:r>
    </w:p>
    <w:p w:rsidR="00000000" w:rsidDel="00000000" w:rsidP="00000000" w:rsidRDefault="00000000" w:rsidRPr="00000000" w14:paraId="000001B6">
      <w:pPr>
        <w:pStyle w:val="Heading1"/>
        <w:keepNext w:val="0"/>
        <w:keepLines w:val="0"/>
        <w:spacing w:after="180" w:before="360" w:line="276" w:lineRule="auto"/>
        <w:rPr>
          <w:rFonts w:ascii="Calibri" w:cs="Calibri" w:eastAsia="Calibri" w:hAnsi="Calibri"/>
          <w:color w:val="0a253e"/>
          <w:sz w:val="30"/>
          <w:szCs w:val="30"/>
        </w:rPr>
      </w:pPr>
      <w:bookmarkStart w:colFirst="0" w:colLast="0" w:name="_heading=h.3bmr8znd8tad" w:id="27"/>
      <w:bookmarkEnd w:id="27"/>
      <w:r w:rsidDel="00000000" w:rsidR="00000000" w:rsidRPr="00000000">
        <w:rPr>
          <w:rtl w:val="0"/>
        </w:rPr>
      </w:r>
    </w:p>
    <w:p w:rsidR="00000000" w:rsidDel="00000000" w:rsidP="00000000" w:rsidRDefault="00000000" w:rsidRPr="00000000" w14:paraId="000001B7">
      <w:pPr>
        <w:pStyle w:val="Heading1"/>
        <w:keepNext w:val="0"/>
        <w:keepLines w:val="0"/>
        <w:spacing w:after="180" w:before="360" w:line="276" w:lineRule="auto"/>
        <w:rPr>
          <w:rFonts w:ascii="Calibri" w:cs="Calibri" w:eastAsia="Calibri" w:hAnsi="Calibri"/>
          <w:color w:val="0a253e"/>
          <w:sz w:val="30"/>
          <w:szCs w:val="30"/>
        </w:rPr>
      </w:pPr>
      <w:bookmarkStart w:colFirst="0" w:colLast="0" w:name="_heading=h.hjhz7jqy2etf" w:id="28"/>
      <w:bookmarkEnd w:id="28"/>
      <w:r w:rsidDel="00000000" w:rsidR="00000000" w:rsidRPr="00000000">
        <w:rPr>
          <w:rFonts w:ascii="Calibri" w:cs="Calibri" w:eastAsia="Calibri" w:hAnsi="Calibri"/>
          <w:color w:val="0a253e"/>
          <w:sz w:val="30"/>
          <w:szCs w:val="30"/>
          <w:rtl w:val="0"/>
        </w:rPr>
        <w:t xml:space="preserve">4. Reflection</w:t>
      </w:r>
    </w:p>
    <w:p w:rsidR="00000000" w:rsidDel="00000000" w:rsidP="00000000" w:rsidRDefault="00000000" w:rsidRPr="00000000" w14:paraId="000001B8">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most important thing this phase taught us is that a well-written document can be wrong in a way that is invisible from the inside. Our architecture went through three rounds of critical review, and each round found defects that we had read over many times without noticing: an isolation model that did not cover three of the eight system roles, a test strategy that could pass without asserting anything, and an arithmetic error of a factor of ten in the cost of the payment gateway. None of those were careless mistakes. They were second-order consequences, which is the kind of error that a linear reading does not catch.</w:t>
      </w:r>
    </w:p>
    <w:p w:rsidR="00000000" w:rsidDel="00000000" w:rsidP="00000000" w:rsidRDefault="00000000" w:rsidRPr="00000000" w14:paraId="000001B9">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second lesson concerns the difference between a project that is desirable and a project that is viable. It is comparatively easy to argue that a problem is real and that a solution would help. It is much harder to show that the numbers close, that the families can be reached without spending more than the margin, and that someone will actually pay. We built the validation protocol around that distinction, with falsification criteria written down before interviewing so that the results could not be interpreted in our favour afterwards. The protocol did its job. Three hypotheses were validated, one was refuted and three landed in the intermediate zone the protocol itself defines, and in each case the consequence we had committed to in advance was applied, including the one that reduces the core of our own product to three fields. The number that mattered most, the break-even point, was recalculated with measured values and published as it came out, and the recalculation also exposed an inconsistency in our own original arithmetic.</w:t>
      </w:r>
    </w:p>
    <w:p w:rsidR="00000000" w:rsidDel="00000000" w:rsidP="00000000" w:rsidRDefault="00000000" w:rsidRPr="00000000" w14:paraId="000001BA">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Finally, we learned to distinguish between what we designed and what we have built. At the close of this phase the project has a baseline architecture, a navigable prototype, a work plan and ten interviews with real caregivers, and it has no code, no commercial agreement and a construction window of nine weeks rather than the thirteen we first planned. That last fact forced a second scope cut of a hundred and sixty hours, decided on paper before a single sprint instead of under pressure in the middle of one. Stating all of this plainly costs nothing and protects everything: a document that presents itself as complete when it is not loses its credibility at the first follow-up question. The remaining gaps are not weaknesses of the design, they are the work of the phase that follows.</w:t>
      </w:r>
    </w:p>
    <w:p w:rsidR="00000000" w:rsidDel="00000000" w:rsidP="00000000" w:rsidRDefault="00000000" w:rsidRPr="00000000" w14:paraId="000001BB">
      <w:pPr>
        <w:spacing w:line="360" w:lineRule="auto"/>
        <w:jc w:val="center"/>
        <w:rPr>
          <w:b w:val="1"/>
          <w:bCs w:val="1"/>
        </w:rPr>
      </w:pPr>
      <w:r w:rsidDel="00000000" w:rsidR="00000000" w:rsidRPr="00000000">
        <w:rPr>
          <w:rtl w:val="0"/>
        </w:rPr>
      </w:r>
    </w:p>
    <w:p w:rsidR="00000000" w:rsidDel="00000000" w:rsidP="00000000" w:rsidRDefault="00000000" w:rsidRPr="00000000" w14:paraId="000001BC">
      <w:pPr>
        <w:pStyle w:val="Heading1"/>
        <w:keepNext w:val="0"/>
        <w:keepLines w:val="0"/>
        <w:spacing w:after="180" w:before="360" w:line="276" w:lineRule="auto"/>
        <w:jc w:val="center"/>
        <w:rPr>
          <w:rFonts w:ascii="Calibri" w:cs="Calibri" w:eastAsia="Calibri" w:hAnsi="Calibri"/>
          <w:sz w:val="24"/>
          <w:szCs w:val="24"/>
        </w:rPr>
      </w:pPr>
      <w:bookmarkStart w:colFirst="0" w:colLast="0" w:name="_heading=h.i1olvso7hggg" w:id="29"/>
      <w:bookmarkEnd w:id="29"/>
      <w:r w:rsidDel="00000000" w:rsidR="00000000" w:rsidRPr="00000000">
        <w:br w:type="page"/>
      </w:r>
      <w:r w:rsidDel="00000000" w:rsidR="00000000" w:rsidRPr="00000000">
        <w:rPr>
          <w:rtl w:val="0"/>
        </w:rPr>
      </w:r>
    </w:p>
    <w:p w:rsidR="00000000" w:rsidDel="00000000" w:rsidP="00000000" w:rsidRDefault="00000000" w:rsidRPr="00000000" w14:paraId="000001BD">
      <w:pPr>
        <w:pStyle w:val="Heading1"/>
        <w:keepNext w:val="0"/>
        <w:keepLines w:val="0"/>
        <w:spacing w:after="180" w:before="360" w:line="276" w:lineRule="auto"/>
        <w:rPr>
          <w:rFonts w:ascii="Calibri" w:cs="Calibri" w:eastAsia="Calibri" w:hAnsi="Calibri"/>
          <w:color w:val="0a253e"/>
          <w:sz w:val="30"/>
          <w:szCs w:val="30"/>
        </w:rPr>
      </w:pPr>
      <w:bookmarkStart w:colFirst="0" w:colLast="0" w:name="_heading=h.47ji1mi0ofk9" w:id="30"/>
      <w:bookmarkEnd w:id="30"/>
      <w:r w:rsidDel="00000000" w:rsidR="00000000" w:rsidRPr="00000000">
        <w:rPr>
          <w:rFonts w:ascii="Calibri" w:cs="Calibri" w:eastAsia="Calibri" w:hAnsi="Calibri"/>
          <w:color w:val="0a253e"/>
          <w:sz w:val="30"/>
          <w:szCs w:val="30"/>
          <w:rtl w:val="0"/>
        </w:rPr>
        <w:t xml:space="preserve">5. Bibliografía</w:t>
      </w:r>
    </w:p>
    <w:p w:rsidR="00000000" w:rsidDel="00000000" w:rsidP="00000000" w:rsidRDefault="00000000" w:rsidRPr="00000000" w14:paraId="000001BE">
      <w:pPr>
        <w:spacing w:after="140" w:line="360" w:lineRule="auto"/>
        <w:ind w:left="1440" w:hanging="72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Ministerio de Desarrollo Social y Familia. (2023).</w:t>
      </w:r>
      <w:r w:rsidDel="00000000" w:rsidR="00000000" w:rsidRPr="00000000">
        <w:rPr>
          <w:rFonts w:ascii="Calibri" w:cs="Calibri" w:eastAsia="Calibri" w:hAnsi="Calibri"/>
          <w:sz w:val="24"/>
          <w:szCs w:val="24"/>
          <w:rtl w:val="0"/>
        </w:rPr>
        <w:t xml:space="preserve"> Estudio Nacional de la Discapacidad y Dependencia, ENDIDE 2022. Santiago, Chile.</w:t>
      </w:r>
    </w:p>
    <w:p w:rsidR="00000000" w:rsidDel="00000000" w:rsidP="00000000" w:rsidRDefault="00000000" w:rsidRPr="00000000" w14:paraId="000001BF">
      <w:pPr>
        <w:spacing w:after="140" w:line="360" w:lineRule="auto"/>
        <w:ind w:left="1440" w:hanging="72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Ministerio de Salud. (2025).</w:t>
      </w:r>
      <w:r w:rsidDel="00000000" w:rsidR="00000000" w:rsidRPr="00000000">
        <w:rPr>
          <w:rFonts w:ascii="Calibri" w:cs="Calibri" w:eastAsia="Calibri" w:hAnsi="Calibri"/>
          <w:sz w:val="24"/>
          <w:szCs w:val="24"/>
          <w:rtl w:val="0"/>
        </w:rPr>
        <w:t xml:space="preserve"> Plan Nacional de Demencia 2025-2035. Santiago, Chile.</w:t>
      </w:r>
    </w:p>
    <w:p w:rsidR="00000000" w:rsidDel="00000000" w:rsidP="00000000" w:rsidRDefault="00000000" w:rsidRPr="00000000" w14:paraId="000001C0">
      <w:pPr>
        <w:spacing w:after="140" w:line="360" w:lineRule="auto"/>
        <w:ind w:left="1440" w:hanging="72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Biblioteca del Congreso Nacional de Chile. (2024).</w:t>
      </w:r>
      <w:r w:rsidDel="00000000" w:rsidR="00000000" w:rsidRPr="00000000">
        <w:rPr>
          <w:rFonts w:ascii="Calibri" w:cs="Calibri" w:eastAsia="Calibri" w:hAnsi="Calibri"/>
          <w:sz w:val="24"/>
          <w:szCs w:val="24"/>
          <w:rtl w:val="0"/>
        </w:rPr>
        <w:t xml:space="preserve"> Ley 21.719 sobre protección y tratamiento de datos personales. Publicada el 13 de diciembre de 2024, con plena vigencia el 1 de diciembre de 2026.</w:t>
      </w:r>
    </w:p>
    <w:p w:rsidR="00000000" w:rsidDel="00000000" w:rsidP="00000000" w:rsidRDefault="00000000" w:rsidRPr="00000000" w14:paraId="000001C1">
      <w:pPr>
        <w:spacing w:after="140" w:line="360" w:lineRule="auto"/>
        <w:ind w:left="1440" w:hanging="72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Ministerio de Salud. (2025).</w:t>
      </w:r>
      <w:r w:rsidDel="00000000" w:rsidR="00000000" w:rsidRPr="00000000">
        <w:rPr>
          <w:rFonts w:ascii="Calibri" w:cs="Calibri" w:eastAsia="Calibri" w:hAnsi="Calibri"/>
          <w:sz w:val="24"/>
          <w:szCs w:val="24"/>
          <w:rtl w:val="0"/>
        </w:rPr>
        <w:t xml:space="preserve"> Sistema Nacional de Receta Electrónica. Santiago, Chile.</w:t>
      </w:r>
    </w:p>
    <w:p w:rsidR="00000000" w:rsidDel="00000000" w:rsidP="00000000" w:rsidRDefault="00000000" w:rsidRPr="00000000" w14:paraId="000001C2">
      <w:pPr>
        <w:spacing w:after="140" w:line="360" w:lineRule="auto"/>
        <w:ind w:left="1440" w:hanging="72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Transbank Developers. (2026).</w:t>
      </w:r>
      <w:r w:rsidDel="00000000" w:rsidR="00000000" w:rsidRPr="00000000">
        <w:rPr>
          <w:rFonts w:ascii="Calibri" w:cs="Calibri" w:eastAsia="Calibri" w:hAnsi="Calibri"/>
          <w:sz w:val="24"/>
          <w:szCs w:val="24"/>
          <w:rtl w:val="0"/>
        </w:rPr>
        <w:t xml:space="preserve"> Documentación de Webpay Plus y OneClick, modalidad diferida, captura y reversa. Recuperado de https://www.transbankdevelopers.cl</w:t>
      </w:r>
    </w:p>
    <w:p w:rsidR="00000000" w:rsidDel="00000000" w:rsidP="00000000" w:rsidRDefault="00000000" w:rsidRPr="00000000" w14:paraId="000001C3">
      <w:pPr>
        <w:spacing w:after="140" w:line="360" w:lineRule="auto"/>
        <w:ind w:left="1440" w:hanging="72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Espinoza, J. y Henríquez, M. (2026). MATU.</w:t>
      </w:r>
      <w:r w:rsidDel="00000000" w:rsidR="00000000" w:rsidRPr="00000000">
        <w:rPr>
          <w:rFonts w:ascii="Calibri" w:cs="Calibri" w:eastAsia="Calibri" w:hAnsi="Calibri"/>
          <w:sz w:val="24"/>
          <w:szCs w:val="24"/>
          <w:rtl w:val="0"/>
        </w:rPr>
        <w:t xml:space="preserve"> Documento de arquitectura, versión 1.1. Duoc UC, Escuela de Informática y Telecomunicaciones.</w:t>
      </w:r>
    </w:p>
    <w:p w:rsidR="00000000" w:rsidDel="00000000" w:rsidP="00000000" w:rsidRDefault="00000000" w:rsidRPr="00000000" w14:paraId="000001C4">
      <w:pPr>
        <w:spacing w:after="140" w:line="360" w:lineRule="auto"/>
        <w:ind w:left="1440" w:hanging="72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Espinoza, J. y Henríquez, M. (2026). MATU.</w:t>
      </w:r>
      <w:r w:rsidDel="00000000" w:rsidR="00000000" w:rsidRPr="00000000">
        <w:rPr>
          <w:rFonts w:ascii="Calibri" w:cs="Calibri" w:eastAsia="Calibri" w:hAnsi="Calibri"/>
          <w:sz w:val="24"/>
          <w:szCs w:val="24"/>
          <w:rtl w:val="0"/>
        </w:rPr>
        <w:t xml:space="preserve"> Protocolo de validación con cuidadores, versión 1.0. Duoc UC, Escuela de Informática y Telecomunicaciones.</w:t>
      </w:r>
    </w:p>
    <w:p w:rsidR="00000000" w:rsidDel="00000000" w:rsidP="00000000" w:rsidRDefault="00000000" w:rsidRPr="00000000" w14:paraId="000001C4">
      <w:pPr>
        <w:spacing w:after="140" w:line="360" w:lineRule="auto"/>
        <w:ind w:left="1440" w:hanging="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Espinoza, J. y Henríquez, M. (2026). MATU. Resultados de la validación con cuidadoras, versión 1.0. Duoc UC, Escuela de Informática y Telecomunicaciones.</w:t>
      </w:r>
    </w:p>
    <w:p w:rsidR="00000000" w:rsidDel="00000000" w:rsidP="00000000" w:rsidRDefault="00000000" w:rsidRPr="00000000" w14:paraId="000001C5">
      <w:pPr>
        <w:spacing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C6">
      <w:pPr>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1C7">
      <w:pPr>
        <w:pStyle w:val="Heading1"/>
        <w:keepNext w:val="0"/>
        <w:keepLines w:val="0"/>
        <w:spacing w:after="180" w:before="360" w:line="276" w:lineRule="auto"/>
        <w:jc w:val="center"/>
        <w:rPr>
          <w:rFonts w:ascii="Calibri" w:cs="Calibri" w:eastAsia="Calibri" w:hAnsi="Calibri"/>
          <w:color w:val="0a253e"/>
          <w:sz w:val="30"/>
          <w:szCs w:val="30"/>
        </w:rPr>
      </w:pPr>
      <w:bookmarkStart w:colFirst="0" w:colLast="0" w:name="_heading=h.gxql7ic1g42d" w:id="31"/>
      <w:bookmarkEnd w:id="31"/>
      <w:r w:rsidDel="00000000" w:rsidR="00000000" w:rsidRPr="00000000">
        <w:br w:type="page"/>
      </w:r>
      <w:r w:rsidDel="00000000" w:rsidR="00000000" w:rsidRPr="00000000">
        <w:rPr>
          <w:rtl w:val="0"/>
        </w:rPr>
      </w:r>
    </w:p>
    <w:p w:rsidR="00000000" w:rsidDel="00000000" w:rsidP="00000000" w:rsidRDefault="00000000" w:rsidRPr="00000000" w14:paraId="000001C8">
      <w:pPr>
        <w:pStyle w:val="Heading1"/>
        <w:keepNext w:val="0"/>
        <w:keepLines w:val="0"/>
        <w:spacing w:after="180" w:before="360" w:line="276" w:lineRule="auto"/>
        <w:rPr>
          <w:rFonts w:ascii="Calibri" w:cs="Calibri" w:eastAsia="Calibri" w:hAnsi="Calibri"/>
          <w:color w:val="0a253e"/>
          <w:sz w:val="30"/>
          <w:szCs w:val="30"/>
        </w:rPr>
      </w:pPr>
      <w:bookmarkStart w:colFirst="0" w:colLast="0" w:name="_heading=h.wa7lahvve2x1" w:id="32"/>
      <w:bookmarkEnd w:id="32"/>
      <w:r w:rsidDel="00000000" w:rsidR="00000000" w:rsidRPr="00000000">
        <w:rPr>
          <w:rFonts w:ascii="Calibri" w:cs="Calibri" w:eastAsia="Calibri" w:hAnsi="Calibri"/>
          <w:color w:val="0a253e"/>
          <w:sz w:val="30"/>
          <w:szCs w:val="30"/>
          <w:rtl w:val="0"/>
        </w:rPr>
        <w:t xml:space="preserve">6. Anexos</w:t>
      </w:r>
    </w:p>
    <w:p w:rsidR="00000000" w:rsidDel="00000000" w:rsidP="00000000" w:rsidRDefault="00000000" w:rsidRPr="00000000" w14:paraId="000001C9">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anexos están publicados en el repositorio del proyecto, en </w:t>
      </w:r>
      <w:hyperlink r:id="rId9">
        <w:r w:rsidDel="00000000" w:rsidR="00000000" w:rsidRPr="00000000">
          <w:rPr>
            <w:rFonts w:ascii="Calibri" w:cs="Calibri" w:eastAsia="Calibri" w:hAnsi="Calibri"/>
            <w:color w:val="1155cc"/>
            <w:sz w:val="24"/>
            <w:szCs w:val="24"/>
            <w:u w:val="single"/>
            <w:rtl w:val="0"/>
          </w:rPr>
          <w:t xml:space="preserve">https://github.com/MartinHenriquez131/MATU,</w:t>
        </w:r>
      </w:hyperlink>
      <w:r w:rsidDel="00000000" w:rsidR="00000000" w:rsidRPr="00000000">
        <w:rPr>
          <w:rFonts w:ascii="Calibri" w:cs="Calibri" w:eastAsia="Calibri" w:hAnsi="Calibri"/>
          <w:sz w:val="24"/>
          <w:szCs w:val="24"/>
          <w:rtl w:val="0"/>
        </w:rPr>
        <w:t xml:space="preserve"> y la tabla siguiente indica la ruta exacta de cada uno dentro del repositorio.</w:t>
      </w:r>
    </w:p>
    <w:p w:rsidR="00000000" w:rsidDel="00000000" w:rsidP="00000000" w:rsidRDefault="00000000" w:rsidRPr="00000000" w14:paraId="000001CA">
      <w:pPr>
        <w:spacing w:after="1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GitHub no previsualiza archivos .html ni .docx: hay que descargarlos y abrirlos. El documento de arquitectura en .md sí se lee directo en el navegador, con sus diagramas.</w:t>
      </w:r>
    </w:p>
    <w:tbl>
      <w:tblPr>
        <w:tblStyle w:val="Table14"/>
        <w:tblW w:w="128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85"/>
        <w:gridCol w:w="4320"/>
        <w:gridCol w:w="7365"/>
        <w:tblGridChange w:id="0">
          <w:tblGrid>
            <w:gridCol w:w="1185"/>
            <w:gridCol w:w="4320"/>
            <w:gridCol w:w="7365"/>
          </w:tblGrid>
        </w:tblGridChange>
      </w:tblGrid>
      <w:tr>
        <w:trPr>
          <w:cantSplit w:val="0"/>
          <w:trHeight w:val="630" w:hRule="atLeast"/>
          <w:tblHeader w:val="0"/>
        </w:trPr>
        <w:tc>
          <w:tcPr>
            <w:tcBorders>
              <w:top w:color="c8cfd6" w:space="0" w:sz="8" w:val="single"/>
              <w:left w:color="c8cfd6" w:space="0" w:sz="8" w:val="single"/>
              <w:bottom w:color="000000" w:space="0" w:sz="8" w:val="single"/>
              <w:right w:color="000000" w:space="0" w:sz="8" w:val="single"/>
            </w:tcBorders>
            <w:shd w:fill="edf2f7" w:val="clear"/>
            <w:tcMar>
              <w:top w:w="100.0" w:type="dxa"/>
              <w:left w:w="120.0" w:type="dxa"/>
              <w:bottom w:w="100.0" w:type="dxa"/>
              <w:right w:w="120.0" w:type="dxa"/>
            </w:tcMar>
            <w:vAlign w:val="top"/>
          </w:tcPr>
          <w:p w:rsidR="00000000" w:rsidDel="00000000" w:rsidP="00000000" w:rsidRDefault="00000000" w:rsidRPr="00000000" w14:paraId="000001CB">
            <w:pPr>
              <w:spacing w:line="259.20000000000005"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Anexo</w:t>
            </w:r>
          </w:p>
        </w:tc>
        <w:tc>
          <w:tcPr>
            <w:tcBorders>
              <w:top w:color="c8cfd6" w:space="0" w:sz="8" w:val="single"/>
              <w:bottom w:color="000000" w:space="0" w:sz="8" w:val="single"/>
              <w:right w:color="000000" w:space="0" w:sz="8" w:val="single"/>
            </w:tcBorders>
            <w:shd w:fill="edf2f7" w:val="clear"/>
            <w:tcMar>
              <w:top w:w="100.0" w:type="dxa"/>
              <w:left w:w="120.0" w:type="dxa"/>
              <w:bottom w:w="100.0" w:type="dxa"/>
              <w:right w:w="120.0" w:type="dxa"/>
            </w:tcMar>
            <w:vAlign w:val="top"/>
          </w:tcPr>
          <w:p w:rsidR="00000000" w:rsidDel="00000000" w:rsidP="00000000" w:rsidRDefault="00000000" w:rsidRPr="00000000" w14:paraId="000001CC">
            <w:pPr>
              <w:spacing w:line="259.20000000000005"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Documento y ubicación en el repositorio</w:t>
            </w:r>
          </w:p>
        </w:tc>
        <w:tc>
          <w:tcPr>
            <w:tcBorders>
              <w:top w:color="c8cfd6" w:space="0" w:sz="8" w:val="single"/>
              <w:bottom w:color="000000" w:space="0" w:sz="8" w:val="single"/>
              <w:right w:color="c8cfd6" w:space="0" w:sz="8" w:val="single"/>
            </w:tcBorders>
            <w:shd w:fill="edf2f7" w:val="clear"/>
            <w:tcMar>
              <w:top w:w="100.0" w:type="dxa"/>
              <w:left w:w="120.0" w:type="dxa"/>
              <w:bottom w:w="100.0" w:type="dxa"/>
              <w:right w:w="120.0" w:type="dxa"/>
            </w:tcMar>
            <w:vAlign w:val="top"/>
          </w:tcPr>
          <w:p w:rsidR="00000000" w:rsidDel="00000000" w:rsidP="00000000" w:rsidRDefault="00000000" w:rsidRPr="00000000" w14:paraId="000001CD">
            <w:pPr>
              <w:spacing w:line="259.20000000000005"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Contenido</w:t>
            </w:r>
          </w:p>
        </w:tc>
      </w:tr>
      <w:tr>
        <w:trPr>
          <w:cantSplit w:val="0"/>
          <w:trHeight w:val="1710" w:hRule="atLeast"/>
          <w:tblHeader w:val="0"/>
        </w:trPr>
        <w:tc>
          <w:tcPr>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C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Anexo A</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C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Documento de arquitectura MATU, versión 1.1</w:t>
            </w:r>
          </w:p>
          <w:p w:rsidR="00000000" w:rsidDel="00000000" w:rsidP="00000000" w:rsidRDefault="00000000" w:rsidRPr="00000000" w14:paraId="000001D0">
            <w:pPr>
              <w:spacing w:line="240" w:lineRule="auto"/>
              <w:rPr>
                <w:rFonts w:ascii="Calibri" w:cs="Calibri" w:eastAsia="Calibri" w:hAnsi="Calibri"/>
                <w:color w:val="444c56"/>
                <w:sz w:val="18"/>
                <w:szCs w:val="18"/>
              </w:rPr>
            </w:pPr>
            <w:r w:rsidDel="00000000" w:rsidR="00000000" w:rsidRPr="00000000">
              <w:rPr>
                <w:rFonts w:ascii="Calibri" w:cs="Calibri" w:eastAsia="Calibri" w:hAnsi="Calibri"/>
                <w:color w:val="444c56"/>
                <w:sz w:val="18"/>
                <w:szCs w:val="18"/>
                <w:rtl w:val="0"/>
              </w:rPr>
              <w:t xml:space="preserve">docs/arquitectura.md · docs/arquitectura.html</w:t>
            </w:r>
          </w:p>
        </w:tc>
        <w:tc>
          <w:tcPr>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D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Contiene los 42 requisitos funcionales trazados a módulos, los 13 diagramas, el modelo de datos, los contratos de API, la estrategia de calidad y las 24 decisiones de arquitectura fundamentadas. La versión 1.1 incorpora los resultados de la validación: la ficha de relevo como versión mínima de la capa 1, la sección de unidad económica recalculada con valores medidos y el alcance ajustado a la ventana de nueve semanas.</w:t>
            </w:r>
          </w:p>
        </w:tc>
      </w:tr>
      <w:tr>
        <w:trPr>
          <w:cantSplit w:val="0"/>
          <w:trHeight w:val="840" w:hRule="atLeast"/>
          <w:tblHeader w:val="0"/>
        </w:trPr>
        <w:tc>
          <w:tcPr>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D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Anexo B</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D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Prototipo navegable de interfaz</w:t>
            </w:r>
          </w:p>
          <w:p w:rsidR="00000000" w:rsidDel="00000000" w:rsidP="00000000" w:rsidRDefault="00000000" w:rsidRPr="00000000" w14:paraId="000001D4">
            <w:pPr>
              <w:spacing w:line="240" w:lineRule="auto"/>
              <w:rPr>
                <w:rFonts w:ascii="Calibri" w:cs="Calibri" w:eastAsia="Calibri" w:hAnsi="Calibri"/>
                <w:color w:val="444c56"/>
                <w:sz w:val="18"/>
                <w:szCs w:val="18"/>
              </w:rPr>
            </w:pPr>
            <w:r w:rsidDel="00000000" w:rsidR="00000000" w:rsidRPr="00000000">
              <w:rPr>
                <w:rFonts w:ascii="Calibri" w:cs="Calibri" w:eastAsia="Calibri" w:hAnsi="Calibri"/>
                <w:color w:val="444c56"/>
                <w:sz w:val="18"/>
                <w:szCs w:val="18"/>
                <w:rtl w:val="0"/>
              </w:rPr>
              <w:t xml:space="preserve">docs/prototipo.html</w:t>
            </w:r>
          </w:p>
        </w:tc>
        <w:tc>
          <w:tcPr>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D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 pantallas organizadas en siete recorridos, con los criterios de accesibilidad declarados y verificados.</w:t>
            </w:r>
          </w:p>
        </w:tc>
      </w:tr>
      <w:tr>
        <w:trPr>
          <w:cantSplit w:val="0"/>
          <w:trHeight w:val="1065" w:hRule="atLeast"/>
          <w:tblHeader w:val="0"/>
        </w:trPr>
        <w:tc>
          <w:tcPr>
            <w:tcBorders>
              <w:left w:color="c8cfd6"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D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Anexo C</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D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Protocolo de validación con cuidadores</w:t>
            </w:r>
          </w:p>
          <w:p w:rsidR="00000000" w:rsidDel="00000000" w:rsidP="00000000" w:rsidRDefault="00000000" w:rsidRPr="00000000" w14:paraId="000001D8">
            <w:pPr>
              <w:spacing w:line="240" w:lineRule="auto"/>
              <w:rPr>
                <w:rFonts w:ascii="Calibri" w:cs="Calibri" w:eastAsia="Calibri" w:hAnsi="Calibri"/>
                <w:color w:val="444c56"/>
                <w:sz w:val="18"/>
                <w:szCs w:val="18"/>
              </w:rPr>
            </w:pPr>
            <w:r w:rsidDel="00000000" w:rsidR="00000000" w:rsidRPr="00000000">
              <w:rPr>
                <w:rFonts w:ascii="Calibri" w:cs="Calibri" w:eastAsia="Calibri" w:hAnsi="Calibri"/>
                <w:color w:val="444c56"/>
                <w:sz w:val="18"/>
                <w:szCs w:val="18"/>
                <w:rtl w:val="0"/>
              </w:rPr>
              <w:t xml:space="preserve">docs/protocolo-entrevistas.md</w:t>
            </w:r>
          </w:p>
        </w:tc>
        <w:tc>
          <w:tcPr>
            <w:tcBorders>
              <w:bottom w:color="000000"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D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Siete hipótesis con criterios de falsación fijados antes de entrevistar, tres mediciones para la unidad económica, guion de 36 preguntas y guion de conversación con un comercio.</w:t>
            </w:r>
          </w:p>
        </w:tc>
      </w:tr>
      <w:tr>
        <w:trPr>
          <w:cantSplit w:val="0"/>
          <w:trHeight w:val="825" w:hRule="atLeast"/>
          <w:tblHeader w:val="0"/>
        </w:trPr>
        <w:tc>
          <w:tcPr>
            <w:tcBorders>
              <w:left w:color="c8cfd6" w:space="0" w:sz="8" w:val="single"/>
              <w:bottom w:color="c8cfd6"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D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Anexo D</w:t>
            </w:r>
          </w:p>
        </w:tc>
        <w:tc>
          <w:tcPr>
            <w:tcBorders>
              <w:bottom w:color="c8cfd6"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D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Guía de definición de Proyecto APT</w:t>
            </w:r>
          </w:p>
          <w:p w:rsidR="00000000" w:rsidDel="00000000" w:rsidP="00000000" w:rsidRDefault="00000000" w:rsidRPr="00000000" w14:paraId="000001DC">
            <w:pPr>
              <w:spacing w:line="240" w:lineRule="auto"/>
              <w:rPr>
                <w:rFonts w:ascii="Calibri" w:cs="Calibri" w:eastAsia="Calibri" w:hAnsi="Calibri"/>
                <w:color w:val="444c56"/>
                <w:sz w:val="18"/>
                <w:szCs w:val="18"/>
              </w:rPr>
            </w:pPr>
            <w:r w:rsidDel="00000000" w:rsidR="00000000" w:rsidRPr="00000000">
              <w:rPr>
                <w:rFonts w:ascii="Calibri" w:cs="Calibri" w:eastAsia="Calibri" w:hAnsi="Calibri"/>
                <w:color w:val="444c56"/>
                <w:sz w:val="18"/>
                <w:szCs w:val="18"/>
                <w:rtl w:val="0"/>
              </w:rPr>
              <w:t xml:space="preserve">Fase 1/</w:t>
            </w:r>
          </w:p>
        </w:tc>
        <w:tc>
          <w:tcPr>
            <w:tcBorders>
              <w:bottom w:color="c8cfd6"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D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Formulario de la asignatura completado en sus dos partes, en español e inglés.</w:t>
            </w:r>
          </w:p>
        </w:tc>
      </w:tr>
      <w:tr>
        <w:trPr>
          <w:cantSplit w:val="0"/>
          <w:trHeight w:val="825" w:hRule="atLeast"/>
          <w:tblHeader w:val="0"/>
        </w:trPr>
        <w:tc>
          <w:tcPr>
            <w:tcBorders>
              <w:left w:color="c8cfd6" w:space="0" w:sz="8" w:val="single"/>
              <w:bottom w:color="c8cfd6"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D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Anexo E</w:t>
            </w:r>
          </w:p>
        </w:tc>
        <w:tc>
          <w:tcPr>
            <w:tcBorders>
              <w:bottom w:color="c8cfd6"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D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Resultados de la validación con cuidadoras y fichas de entrevista</w:t>
            </w:r>
          </w:p>
          <w:p w:rsidR="00000000" w:rsidDel="00000000" w:rsidP="00000000" w:rsidRDefault="00000000" w:rsidRPr="00000000" w14:paraId="000001DC">
            <w:pPr>
              <w:spacing w:line="240" w:lineRule="auto"/>
              <w:rPr>
                <w:rFonts w:ascii="Calibri" w:cs="Calibri" w:eastAsia="Calibri" w:hAnsi="Calibri"/>
                <w:color w:val="444c56"/>
                <w:sz w:val="18"/>
                <w:szCs w:val="18"/>
              </w:rPr>
            </w:pPr>
            <w:r w:rsidDel="00000000" w:rsidR="00000000" w:rsidRPr="00000000">
              <w:rPr>
                <w:rFonts w:ascii="Calibri" w:cs="Calibri" w:eastAsia="Calibri" w:hAnsi="Calibri"/>
                <w:color w:val="444c56"/>
                <w:sz w:val="18"/>
                <w:szCs w:val="18"/>
                <w:rtl w:val="0"/>
              </w:rPr>
              <w:t xml:space="preserve">docs/resultados-entrevistas.md · docs/entrevistas/</w:t>
            </w:r>
          </w:p>
        </w:tc>
        <w:tc>
          <w:tcPr>
            <w:tcBorders>
              <w:bottom w:color="c8cfd6" w:space="0" w:sz="8" w:val="single"/>
              <w:right w:color="c8cfd6" w:space="0" w:sz="8" w:val="single"/>
            </w:tcBorders>
            <w:tcMar>
              <w:top w:w="100.0" w:type="dxa"/>
              <w:left w:w="120.0" w:type="dxa"/>
              <w:bottom w:w="100.0" w:type="dxa"/>
              <w:right w:w="120.0" w:type="dxa"/>
            </w:tcMar>
            <w:vAlign w:val="top"/>
          </w:tcPr>
          <w:p w:rsidR="00000000" w:rsidDel="00000000" w:rsidP="00000000" w:rsidRDefault="00000000" w:rsidRPr="00000000" w14:paraId="000001D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Veredicto por hipótesis contra los criterios fijados antes de entrevistar, las tres mediciones con mediana y rango, el recálculo del punto de equilibrio, los ajustes al instrumento y las diez fichas anonimizadas, sin datos identificatorios de las personas cuidadas.</w:t>
            </w:r>
          </w:p>
        </w:tc>
      </w:tr>
    </w:tbl>
    <w:p w:rsidR="00000000" w:rsidDel="00000000" w:rsidP="00000000" w:rsidRDefault="00000000" w:rsidRPr="00000000" w14:paraId="000001DE">
      <w:pPr>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1DF">
      <w:pPr>
        <w:spacing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E0">
      <w:pPr>
        <w:spacing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E1">
      <w:pPr>
        <w:spacing w:line="360" w:lineRule="auto"/>
        <w:jc w:val="center"/>
        <w:rPr/>
      </w:pPr>
      <w:r w:rsidDel="00000000" w:rsidR="00000000" w:rsidRPr="00000000">
        <w:rPr>
          <w:rFonts w:ascii="Calibri" w:cs="Calibri" w:eastAsia="Calibri" w:hAnsi="Calibri"/>
          <w:b w:val="1"/>
          <w:bCs w:val="1"/>
          <w:sz w:val="24"/>
          <w:szCs w:val="24"/>
          <w:rtl w:val="0"/>
        </w:rPr>
        <w:t xml:space="preserve">Escuela de Informática y Telecomunicaciones · Sede San Joaquín</w:t>
      </w:r>
      <w:r w:rsidDel="00000000" w:rsidR="00000000" w:rsidRPr="00000000">
        <w:rPr>
          <w:rtl w:val="0"/>
        </w:rPr>
      </w:r>
    </w:p>
    <w:sectPr>
      <w:headerReference r:id="rId10" w:type="default"/>
      <w:footerReference r:id="rId11" w:type="default"/>
      <w:footerReference r:id="rId12" w:type="first"/>
      <w:pgSz w:h="12240" w:w="15840" w:orient="landscape"/>
      <w:pgMar w:bottom="1418" w:top="1276" w:left="1418" w:right="1418"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904875</wp:posOffset>
              </wp:positionH>
              <wp:positionV relativeFrom="paragraph">
                <wp:posOffset>-205595</wp:posOffset>
              </wp:positionV>
              <wp:extent cx="7353300" cy="434196"/>
              <wp:effectExtent b="0" l="0" r="0" t="0"/>
              <wp:wrapSquare wrapText="bothSides" distB="0" distT="0" distL="0" distR="0"/>
              <wp:docPr id="41" name=""/>
              <a:graphic>
                <a:graphicData uri="http://schemas.microsoft.com/office/word/2010/wordprocessingGroup">
                  <wpg:wgp>
                    <wpg:cNvGrpSpPr/>
                    <wpg:grpSpPr>
                      <a:xfrm>
                        <a:off x="2374200" y="3619975"/>
                        <a:ext cx="7353300" cy="434196"/>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904875</wp:posOffset>
              </wp:positionH>
              <wp:positionV relativeFrom="paragraph">
                <wp:posOffset>-205595</wp:posOffset>
              </wp:positionV>
              <wp:extent cx="7353300" cy="434196"/>
              <wp:effectExtent b="0" l="0" r="0" t="0"/>
              <wp:wrapSquare wrapText="bothSides" distB="0" distT="0" distL="0" distR="0"/>
              <wp:docPr id="4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353300" cy="434196"/>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904875</wp:posOffset>
              </wp:positionH>
              <wp:positionV relativeFrom="paragraph">
                <wp:posOffset>-228599</wp:posOffset>
              </wp:positionV>
              <wp:extent cx="7353300" cy="434196"/>
              <wp:effectExtent b="0" l="0" r="0" t="0"/>
              <wp:wrapSquare wrapText="bothSides" distB="0" distT="0" distL="0" distR="0"/>
              <wp:docPr id="42" name=""/>
              <a:graphic>
                <a:graphicData uri="http://schemas.microsoft.com/office/word/2010/wordprocessingGroup">
                  <wpg:wgp>
                    <wpg:cNvGrpSpPr/>
                    <wpg:grpSpPr>
                      <a:xfrm>
                        <a:off x="2374200" y="3619975"/>
                        <a:ext cx="7353300" cy="434196"/>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904875</wp:posOffset>
              </wp:positionH>
              <wp:positionV relativeFrom="paragraph">
                <wp:posOffset>-228599</wp:posOffset>
              </wp:positionV>
              <wp:extent cx="7353300" cy="434196"/>
              <wp:effectExtent b="0" l="0" r="0" t="0"/>
              <wp:wrapSquare wrapText="bothSides" distB="0" distT="0" distL="0" distR="0"/>
              <wp:docPr id="4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353300" cy="434196"/>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E2">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1E3">
      <w:pPr>
        <w:jc w:val="both"/>
        <w:rPr>
          <w:color w:val="595959"/>
          <w:sz w:val="24"/>
          <w:szCs w:val="24"/>
        </w:rPr>
      </w:pP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1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1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1E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1E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1E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yperlink" Target="https://github.com/MartinHenriquez131/MATU"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UINRF/GRfwwLIzedzDD2l+dEVQ==">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