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Formativa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238.55468749999994" w:hRule="atLeast"/>
          <w:tblHeader w:val="0"/>
        </w:trPr>
        <w:tc>
          <w:tcPr>
            <w:shd w:fill="auto" w:val="clea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2</w:t>
            </w:r>
            <w:r w:rsidDel="00000000" w:rsidR="00000000" w:rsidRPr="00000000">
              <w:rPr>
                <w:rtl w:val="0"/>
              </w:rPr>
            </w:r>
          </w:p>
        </w:tc>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0.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665"/>
        <w:gridCol w:w="3465"/>
        <w:gridCol w:w="5265"/>
        <w:gridCol w:w="1305"/>
        <w:gridCol w:w="1290"/>
        <w:tblGridChange w:id="0">
          <w:tblGrid>
            <w:gridCol w:w="1665"/>
            <w:gridCol w:w="3465"/>
            <w:gridCol w:w="5265"/>
            <w:gridCol w:w="1305"/>
            <w:gridCol w:w="1290"/>
          </w:tblGrid>
        </w:tblGridChange>
      </w:tblGrid>
      <w:tr>
        <w:trPr>
          <w:cantSplit w:val="0"/>
          <w:trHeight w:val="597.4218749999999"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tcPr>
          <w:p w:rsidR="00000000" w:rsidDel="00000000" w:rsidP="00000000" w:rsidRDefault="00000000" w:rsidRPr="00000000" w14:paraId="0000001C">
            <w:pP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12</w:t>
            </w:r>
          </w:p>
        </w:tc>
      </w:tr>
      <w:tr>
        <w:trPr>
          <w:cantSplit w:val="0"/>
          <w:tblHeader w:val="0"/>
        </w:trPr>
        <w:tc>
          <w:tcPr>
            <w:vMerge w:val="continue"/>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15</w:t>
            </w:r>
          </w:p>
        </w:tc>
      </w:tr>
      <w:tr>
        <w:trPr>
          <w:cantSplit w:val="0"/>
          <w:tblHeader w:val="0"/>
        </w:trPr>
        <w:tc>
          <w:tcPr>
            <w:vMerge w:val="continue"/>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13</w:t>
            </w:r>
          </w:p>
        </w:tc>
      </w:tr>
      <w:tr>
        <w:trPr>
          <w:cantSplit w:val="0"/>
          <w:trHeight w:val="1005" w:hRule="atLeast"/>
          <w:tblHeader w:val="0"/>
        </w:trPr>
        <w:tc>
          <w:tcPr>
            <w:vMerge w:val="continue"/>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tcPr>
          <w:p w:rsidR="00000000" w:rsidDel="00000000" w:rsidP="00000000" w:rsidRDefault="00000000" w:rsidRPr="00000000" w14:paraId="00000033">
            <w:pPr>
              <w:jc w:val="both"/>
              <w:rPr>
                <w:rFonts w:ascii="Calibri" w:cs="Calibri" w:eastAsia="Calibri" w:hAnsi="Calibri"/>
                <w:color w:val="262626"/>
              </w:rPr>
            </w:pPr>
            <w:r w:rsidDel="00000000" w:rsidR="00000000" w:rsidRPr="00000000">
              <w:rPr>
                <w:rFonts w:ascii="Calibri" w:cs="Calibri" w:eastAsia="Calibri" w:hAnsi="Calibri"/>
                <w:b w:val="1"/>
                <w:bCs w:val="1"/>
                <w:color w:val="3b3838"/>
                <w:rtl w:val="0"/>
              </w:rPr>
              <w:t xml:space="preserve">IL 1.5 </w:t>
            </w:r>
            <w:r w:rsidDel="00000000" w:rsidR="00000000" w:rsidRPr="00000000">
              <w:rPr>
                <w:rFonts w:ascii="Calibri" w:cs="Calibri" w:eastAsia="Calibri" w:hAnsi="Calibri"/>
                <w:color w:val="3b3838"/>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tcBorders>
              <w:bottom w:color="ffffff" w:space="0" w:sz="4" w:val="single"/>
            </w:tcBorders>
          </w:tcPr>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26262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w:t>
            </w:r>
            <w:r w:rsidDel="00000000" w:rsidR="00000000" w:rsidRPr="00000000">
              <w:rPr>
                <w:rtl w:val="0"/>
              </w:rPr>
            </w:r>
          </w:p>
        </w:tc>
        <w:tc>
          <w:tcPr>
            <w:tcBorders>
              <w:bottom w:color="ffffff" w:space="0" w:sz="4" w:val="single"/>
            </w:tcBorders>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50</w:t>
            </w:r>
          </w:p>
        </w:tc>
      </w:tr>
      <w:tr>
        <w:trPr>
          <w:cantSplit w:val="0"/>
          <w:tblHeader w:val="0"/>
        </w:trPr>
        <w:tc>
          <w:tcPr>
            <w:vMerge w:val="continue"/>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ffffff" w:space="0" w:sz="4" w:val="single"/>
            </w:tcBorders>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tl w:val="0"/>
              </w:rPr>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tcBorders>
              <w:top w:color="ffffff" w:space="0" w:sz="4" w:val="single"/>
            </w:tcBorders>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45">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428" w:hRule="atLeast"/>
          <w:tblHeader w:val="0"/>
        </w:trPr>
        <w:tc>
          <w:tcPr>
            <w:vMerge w:val="continue"/>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55" w:hRule="atLeast"/>
          <w:tblHeader w:val="0"/>
        </w:trPr>
        <w:tc>
          <w:tcPr>
            <w:vMerge w:val="continue"/>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381" w:hRule="atLeast"/>
          <w:tblHeader w:val="0"/>
        </w:trPr>
        <w:tc>
          <w:tcPr>
            <w:vMerge w:val="restart"/>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48" w:hRule="atLeast"/>
          <w:tblHeader w:val="0"/>
        </w:trPr>
        <w:tc>
          <w:tcPr>
            <w:vMerge w:val="continue"/>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268" w:hRule="atLeast"/>
          <w:tblHeader w:val="0"/>
        </w:trPr>
        <w:tc>
          <w:tcPr>
            <w:vMerge w:val="restart"/>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162" w:hRule="atLeast"/>
          <w:tblHeader w:val="0"/>
        </w:trPr>
        <w:tc>
          <w:tcPr>
            <w:vMerge w:val="continue"/>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1147.4218749999998" w:hRule="atLeast"/>
          <w:tblHeader w:val="0"/>
        </w:trPr>
        <w:tc>
          <w:tcPr>
            <w:vMerge w:val="restart"/>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722" w:hRule="atLeast"/>
          <w:tblHeader w:val="0"/>
        </w:trPr>
        <w:tc>
          <w:tcPr>
            <w:vMerge w:val="continue"/>
            <w:tcBorders>
              <w:top w:color="7f7f7f" w:space="0" w:sz="6" w:val="single"/>
              <w:left w:color="7f7f7f" w:space="0" w:sz="6" w:val="single"/>
              <w:bottom w:color="7f7f7f" w:space="0" w:sz="6" w:val="single"/>
              <w:right w:color="7f7f7f" w:space="0" w:sz="6" w:val="single"/>
            </w:tcBorders>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 w:line="288" w:lineRule="auto"/>
        <w:ind w:left="360" w:right="0" w:firstLine="0"/>
        <w:jc w:val="left"/>
        <w:rPr>
          <w:rFonts w:ascii="Calibri" w:cs="Calibri" w:eastAsia="Calibri" w:hAnsi="Calibri"/>
          <w:b w:val="1"/>
          <w:bCs w:val="1"/>
          <w:sz w:val="40"/>
          <w:szCs w:val="40"/>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entrega de encargo de carácter formativo</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Deberán redactar los siguientes apartados según este formato:</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 informe debe contener:</w:t>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breve del proyecto APT, justificando su relevancia.</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tus intereses profesionales.</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sobre la factibilidad del proyecto dentro de la asignatura.</w:t>
            </w:r>
          </w:p>
          <w:p w:rsidR="00000000" w:rsidDel="00000000" w:rsidP="00000000" w:rsidRDefault="00000000" w:rsidRPr="00000000" w14:paraId="00000067">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formato informe técnico: Portada, índice, abstract, desarrollo de ingeniería, conclusiones y reflexiones.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evaluación se realiza en la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segunda semana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 asignatura y se lleva a cabo en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2 o 3 integrantes en el taller de proyectos, con una duración de 40 minutos.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siguiente pauta será aplicada por el/la docente de la signatura para evaluar la primera parte de la guía Definición Proyecto APT. </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color w:val="000000"/>
                <w:sz w:val="22"/>
                <w:szCs w:val="22"/>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El/la docente evaluará el cumplimiento de las condiciones definidas para la primera fase de tu proyecto. A partir de esta evaluación se te entregarán recomendaciones sobre cómo mejorar tu proyecto o te proporcionará alternativas para que puedas seleccionar uno de los proyectos propuestos por la escuela de acuerdo con tus intereses profesionales.</w:t>
            </w:r>
            <w:r w:rsidDel="00000000" w:rsidR="00000000" w:rsidRPr="00000000">
              <w:rPr>
                <w:rtl w:val="0"/>
              </w:rPr>
            </w:r>
          </w:p>
        </w:tc>
      </w:tr>
    </w:tbl>
    <w:p w:rsidR="00000000" w:rsidDel="00000000" w:rsidP="00000000" w:rsidRDefault="00000000" w:rsidRPr="00000000" w14:paraId="00000077">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sz w:val="56"/>
          <w:szCs w:val="56"/>
          <w:rtl w:val="0"/>
        </w:rPr>
        <w:tab/>
        <w:tab/>
      </w: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78">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79">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7A">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7B">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7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7D">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7E">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7F">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81">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82">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8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85">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8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87">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88">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89">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25"/>
        <w:gridCol w:w="2250"/>
        <w:gridCol w:w="2190"/>
        <w:gridCol w:w="2235"/>
        <w:gridCol w:w="1945"/>
        <w:gridCol w:w="1449"/>
        <w:tblGridChange w:id="0">
          <w:tblGrid>
            <w:gridCol w:w="2925"/>
            <w:gridCol w:w="2250"/>
            <w:gridCol w:w="2190"/>
            <w:gridCol w:w="2235"/>
            <w:gridCol w:w="1945"/>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8A">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Indicador de Evaluación</w:t>
            </w:r>
          </w:p>
        </w:tc>
        <w:tc>
          <w:tcPr>
            <w:gridSpan w:val="4"/>
            <w:shd w:fill="262626" w:val="clear"/>
            <w:vAlign w:val="center"/>
          </w:tcPr>
          <w:p w:rsidR="00000000" w:rsidDel="00000000" w:rsidP="00000000" w:rsidRDefault="00000000" w:rsidRPr="00000000" w14:paraId="0000008B">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Categorías de Respuesta</w:t>
            </w:r>
          </w:p>
        </w:tc>
        <w:tc>
          <w:tcPr>
            <w:vMerge w:val="restart"/>
            <w:shd w:fill="262626" w:val="clear"/>
            <w:vAlign w:val="center"/>
          </w:tcPr>
          <w:p w:rsidR="00000000" w:rsidDel="00000000" w:rsidP="00000000" w:rsidRDefault="00000000" w:rsidRPr="00000000" w14:paraId="0000008F">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91">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2"/>
                <w:szCs w:val="22"/>
                <w:rtl w:val="0"/>
              </w:rPr>
              <w:t xml:space="preserve">Completamente Logrado</w:t>
            </w:r>
            <w:r w:rsidDel="00000000" w:rsidR="00000000" w:rsidRPr="00000000">
              <w:rPr>
                <w:rFonts w:ascii="Calibri" w:cs="Calibri" w:eastAsia="Calibri" w:hAnsi="Calibri"/>
                <w:b w:val="1"/>
                <w:bCs w:val="1"/>
                <w:color w:val="ffffff"/>
                <w:rtl w:val="0"/>
              </w:rPr>
              <w:t xml:space="preserve">  (100%)</w:t>
            </w:r>
          </w:p>
        </w:tc>
        <w:tc>
          <w:tcPr>
            <w:shd w:fill="262626" w:val="clear"/>
            <w:vAlign w:val="center"/>
          </w:tcPr>
          <w:p w:rsidR="00000000" w:rsidDel="00000000" w:rsidP="00000000" w:rsidRDefault="00000000" w:rsidRPr="00000000" w14:paraId="00000092">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2"/>
                <w:szCs w:val="22"/>
                <w:rtl w:val="0"/>
              </w:rPr>
              <w:t xml:space="preserve">Logrado</w:t>
            </w:r>
            <w:r w:rsidDel="00000000" w:rsidR="00000000" w:rsidRPr="00000000">
              <w:rPr>
                <w:rFonts w:ascii="Calibri" w:cs="Calibri" w:eastAsia="Calibri" w:hAnsi="Calibri"/>
                <w:b w:val="1"/>
                <w:bCs w:val="1"/>
                <w:color w:val="ffffff"/>
                <w:rtl w:val="0"/>
              </w:rPr>
              <w:t xml:space="preserve">  (60%)</w:t>
            </w:r>
          </w:p>
        </w:tc>
        <w:tc>
          <w:tcPr>
            <w:shd w:fill="262626" w:val="cle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Logro incipiente </w:t>
            </w:r>
          </w:p>
          <w:p w:rsidR="00000000" w:rsidDel="00000000" w:rsidP="00000000" w:rsidRDefault="00000000" w:rsidRPr="00000000" w14:paraId="00000094">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(30%)</w:t>
            </w:r>
          </w:p>
        </w:tc>
        <w:tc>
          <w:tcPr>
            <w:shd w:fill="262626" w:val="clear"/>
            <w:vAlign w:val="center"/>
          </w:tcPr>
          <w:p w:rsidR="00000000" w:rsidDel="00000000" w:rsidP="00000000" w:rsidRDefault="00000000" w:rsidRPr="00000000" w14:paraId="00000095">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No logrado</w:t>
            </w:r>
          </w:p>
          <w:p w:rsidR="00000000" w:rsidDel="00000000" w:rsidP="00000000" w:rsidRDefault="00000000" w:rsidRPr="00000000" w14:paraId="00000096">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(0%)</w:t>
            </w:r>
          </w:p>
        </w:tc>
        <w:tc>
          <w:tcPr>
            <w:vMerge w:val="continue"/>
            <w:shd w:fill="262626" w:val="cle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1975" w:hRule="atLeast"/>
          <w:tblHeader w:val="0"/>
        </w:trPr>
        <w:tc>
          <w:tcPr>
            <w:vAlign w:val="center"/>
          </w:tcPr>
          <w:p w:rsidR="00000000" w:rsidDel="00000000" w:rsidP="00000000" w:rsidRDefault="00000000" w:rsidRPr="00000000" w14:paraId="00000098">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99">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justificando la relevancia, impacto o beneficio (real o simulado) que tendría en el campo laboral de su carrera.</w:t>
            </w:r>
          </w:p>
        </w:tc>
        <w:tc>
          <w:tcPr/>
          <w:p w:rsidR="00000000" w:rsidDel="00000000" w:rsidP="00000000" w:rsidRDefault="00000000" w:rsidRPr="00000000" w14:paraId="0000009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señalando la relevancia, impacto o beneficio (real o simulado) que tendría, pero no queda clara la relación con el campo laboral de su carrera.</w:t>
            </w:r>
          </w:p>
        </w:tc>
        <w:tc>
          <w:tcPr/>
          <w:p w:rsidR="00000000" w:rsidDel="00000000" w:rsidP="00000000" w:rsidRDefault="00000000" w:rsidRPr="00000000" w14:paraId="0000009B">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pero no lo justifica ni relaciona con el campo laboral de su carrera. </w:t>
            </w:r>
          </w:p>
        </w:tc>
        <w:tc>
          <w:tcPr/>
          <w:p w:rsidR="00000000" w:rsidDel="00000000" w:rsidP="00000000" w:rsidRDefault="00000000" w:rsidRPr="00000000" w14:paraId="0000009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describe o es confuso el proyecto APT, sin justificar ni relacionarlo con el campo laboral de su carrera. </w:t>
            </w:r>
          </w:p>
        </w:tc>
        <w:tc>
          <w:tcPr>
            <w:vAlign w:val="center"/>
          </w:tcPr>
          <w:p w:rsidR="00000000" w:rsidDel="00000000" w:rsidP="00000000" w:rsidRDefault="00000000" w:rsidRPr="00000000" w14:paraId="0000009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12</w:t>
            </w:r>
          </w:p>
        </w:tc>
      </w:tr>
      <w:tr>
        <w:trPr>
          <w:cantSplit w:val="0"/>
          <w:trHeight w:val="567" w:hRule="atLeast"/>
          <w:tblHeader w:val="0"/>
        </w:trPr>
        <w:tc>
          <w:tcPr>
            <w:vAlign w:val="center"/>
          </w:tcPr>
          <w:p w:rsidR="00000000" w:rsidDel="00000000" w:rsidP="00000000" w:rsidRDefault="00000000" w:rsidRPr="00000000" w14:paraId="0000009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2. Relaciona el Proyecto APT con las competencias del perfil de egreso de su Plan de Estudio.</w:t>
            </w:r>
          </w:p>
        </w:tc>
        <w:tc>
          <w:tcPr/>
          <w:p w:rsidR="00000000" w:rsidDel="00000000" w:rsidP="00000000" w:rsidRDefault="00000000" w:rsidRPr="00000000" w14:paraId="0000009F">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especificando cómo debe utilizar distintas competencias para desarrollar su Proyecto APT. </w:t>
            </w:r>
          </w:p>
        </w:tc>
        <w:tc>
          <w:tcPr/>
          <w:p w:rsidR="00000000" w:rsidDel="00000000" w:rsidP="00000000" w:rsidRDefault="00000000" w:rsidRPr="00000000" w14:paraId="000000A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pero no especifica cómo debe utilizar distintas competencias para desarrollar su Proyecto APT.</w:t>
            </w:r>
          </w:p>
        </w:tc>
        <w:tc>
          <w:tcPr/>
          <w:p w:rsidR="00000000" w:rsidDel="00000000" w:rsidP="00000000" w:rsidRDefault="00000000" w:rsidRPr="00000000" w14:paraId="000000A1">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que tiene elementos que no son coherentes entre su proyecto y el perfil de egreso de su plan de estudio.</w:t>
            </w:r>
          </w:p>
        </w:tc>
        <w:tc>
          <w:tcPr/>
          <w:p w:rsidR="00000000" w:rsidDel="00000000" w:rsidP="00000000" w:rsidRDefault="00000000" w:rsidRPr="00000000" w14:paraId="000000A2">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sin coherencia entre su proyecto y el perfil de egreso de su plan de estudio.</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No relaciona el proyecto con el perfil de egreso. </w:t>
            </w:r>
          </w:p>
        </w:tc>
        <w:tc>
          <w:tcPr>
            <w:vAlign w:val="center"/>
          </w:tcPr>
          <w:p w:rsidR="00000000" w:rsidDel="00000000" w:rsidP="00000000" w:rsidRDefault="00000000" w:rsidRPr="00000000" w14:paraId="000000A3">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15</w:t>
            </w:r>
          </w:p>
        </w:tc>
      </w:tr>
      <w:tr>
        <w:trPr>
          <w:cantSplit w:val="0"/>
          <w:trHeight w:val="567" w:hRule="atLeast"/>
          <w:tblHeader w:val="0"/>
        </w:trPr>
        <w:tc>
          <w:tcPr>
            <w:vAlign w:val="center"/>
          </w:tcPr>
          <w:p w:rsidR="00000000" w:rsidDel="00000000" w:rsidP="00000000" w:rsidRDefault="00000000" w:rsidRPr="00000000" w14:paraId="000000A4">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3. Relaciona el Proyecto APT con sus intereses profesionales.</w:t>
            </w:r>
          </w:p>
        </w:tc>
        <w:tc>
          <w:tcPr/>
          <w:p w:rsidR="00000000" w:rsidDel="00000000" w:rsidP="00000000" w:rsidRDefault="00000000" w:rsidRPr="00000000" w14:paraId="000000A5">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y explica con claridad cómo estos se ven reflejados en su proyecto. </w:t>
            </w:r>
          </w:p>
        </w:tc>
        <w:tc>
          <w:tcPr/>
          <w:p w:rsidR="00000000" w:rsidDel="00000000" w:rsidP="00000000" w:rsidRDefault="00000000" w:rsidRPr="00000000" w14:paraId="000000A6">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pero no queda completamente clara su conexión con el proyecto.</w:t>
            </w:r>
          </w:p>
        </w:tc>
        <w:tc>
          <w:tcPr/>
          <w:p w:rsidR="00000000" w:rsidDel="00000000" w:rsidP="00000000" w:rsidRDefault="00000000" w:rsidRPr="00000000" w14:paraId="000000A7">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sin conectarlos con el proyecto. </w:t>
            </w:r>
          </w:p>
        </w:tc>
        <w:tc>
          <w:tcPr/>
          <w:p w:rsidR="00000000" w:rsidDel="00000000" w:rsidP="00000000" w:rsidRDefault="00000000" w:rsidRPr="00000000" w14:paraId="000000A8">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menciona sus intereses profesionales.</w:t>
            </w:r>
          </w:p>
        </w:tc>
        <w:tc>
          <w:tcPr>
            <w:vAlign w:val="center"/>
          </w:tcPr>
          <w:p w:rsidR="00000000" w:rsidDel="00000000" w:rsidP="00000000" w:rsidRDefault="00000000" w:rsidRPr="00000000" w14:paraId="000000A9">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A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4.  Argumenta por qué el proyecto es factible de realizarse en el marco de la asignatura. </w:t>
            </w:r>
          </w:p>
        </w:tc>
        <w:tc>
          <w:tcPr/>
          <w:p w:rsidR="00000000" w:rsidDel="00000000" w:rsidP="00000000" w:rsidRDefault="00000000" w:rsidRPr="00000000" w14:paraId="000000AB">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considerado tiempo, materiales y factores externos, y en caso de posibles dificultades plantea como las abordaría.</w:t>
            </w:r>
          </w:p>
        </w:tc>
        <w:tc>
          <w:tcPr/>
          <w:p w:rsidR="00000000" w:rsidDel="00000000" w:rsidP="00000000" w:rsidRDefault="00000000" w:rsidRPr="00000000" w14:paraId="000000A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claramente como las abordaría.</w:t>
            </w:r>
          </w:p>
        </w:tc>
        <w:tc>
          <w:tcPr/>
          <w:p w:rsidR="00000000" w:rsidDel="00000000" w:rsidP="00000000" w:rsidRDefault="00000000" w:rsidRPr="00000000" w14:paraId="000000A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como abordarlas.</w:t>
            </w:r>
          </w:p>
        </w:tc>
        <w:tc>
          <w:tcPr/>
          <w:p w:rsidR="00000000" w:rsidDel="00000000" w:rsidP="00000000" w:rsidRDefault="00000000" w:rsidRPr="00000000" w14:paraId="000000A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justifica las razones de porque el proyecto puede desarrollarse. </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El proyecto presentado no es factible de realizarse en el tiempo asignado.</w:t>
            </w:r>
          </w:p>
        </w:tc>
        <w:tc>
          <w:tcPr>
            <w:vAlign w:val="center"/>
          </w:tcPr>
          <w:p w:rsidR="00000000" w:rsidDel="00000000" w:rsidP="00000000" w:rsidRDefault="00000000" w:rsidRPr="00000000" w14:paraId="000000A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13</w:t>
            </w:r>
          </w:p>
        </w:tc>
      </w:tr>
      <w:tr>
        <w:trPr>
          <w:cantSplit w:val="0"/>
          <w:trHeight w:val="567" w:hRule="atLeast"/>
          <w:tblHeader w:val="0"/>
        </w:trPr>
        <w:tc>
          <w:tcPr>
            <w:vAlign w:val="center"/>
          </w:tcPr>
          <w:p w:rsidR="00000000" w:rsidDel="00000000" w:rsidP="00000000" w:rsidRDefault="00000000" w:rsidRPr="00000000" w14:paraId="000000B0">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p w:rsidR="00000000" w:rsidDel="00000000" w:rsidP="00000000" w:rsidRDefault="00000000" w:rsidRPr="00000000" w14:paraId="000000B1">
            <w:pPr>
              <w:jc w:val="both"/>
              <w:rPr>
                <w:rFonts w:ascii="Calibri" w:cs="Calibri" w:eastAsia="Calibri" w:hAnsi="Calibri"/>
              </w:rPr>
            </w:pPr>
            <w:r w:rsidDel="00000000" w:rsidR="00000000" w:rsidRPr="00000000">
              <w:rPr>
                <w:rFonts w:ascii="Calibri" w:cs="Calibri" w:eastAsia="Calibri" w:hAnsi="Calibri"/>
                <w:rtl w:val="0"/>
              </w:rPr>
              <w:t xml:space="preserve">El informe cumple con el 100% de los indicadores de calidad disciplinarios requeridos en el diseño del Proyecto APT.</w:t>
            </w:r>
          </w:p>
        </w:tc>
        <w:tc>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El informe cumple con el 60% de los indicadores de calidad disciplinarios requeridos en el diseño del Proyecto APT.</w:t>
            </w:r>
          </w:p>
        </w:tc>
        <w:tc>
          <w:tcPr/>
          <w:p w:rsidR="00000000" w:rsidDel="00000000" w:rsidP="00000000" w:rsidRDefault="00000000" w:rsidRPr="00000000" w14:paraId="000000B3">
            <w:pPr>
              <w:jc w:val="both"/>
              <w:rPr>
                <w:rFonts w:ascii="Calibri" w:cs="Calibri" w:eastAsia="Calibri" w:hAnsi="Calibri"/>
              </w:rPr>
            </w:pPr>
            <w:r w:rsidDel="00000000" w:rsidR="00000000" w:rsidRPr="00000000">
              <w:rPr>
                <w:rFonts w:ascii="Calibri" w:cs="Calibri" w:eastAsia="Calibri" w:hAnsi="Calibri"/>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0B4">
            <w:pPr>
              <w:jc w:val="both"/>
              <w:rPr>
                <w:rFonts w:ascii="Calibri" w:cs="Calibri" w:eastAsia="Calibri" w:hAnsi="Calibri"/>
              </w:rPr>
            </w:pPr>
            <w:r w:rsidDel="00000000" w:rsidR="00000000" w:rsidRPr="00000000">
              <w:rPr>
                <w:rFonts w:ascii="Calibri" w:cs="Calibri" w:eastAsia="Calibri" w:hAnsi="Calibri"/>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0B5">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50</w:t>
            </w:r>
          </w:p>
        </w:tc>
      </w:tr>
      <w:tr>
        <w:trPr>
          <w:cantSplit w:val="0"/>
          <w:trHeight w:val="539" w:hRule="atLeast"/>
          <w:tblHeader w:val="0"/>
        </w:trPr>
        <w:tc>
          <w:tcPr>
            <w:gridSpan w:val="5"/>
            <w:vAlign w:val="center"/>
          </w:tcPr>
          <w:p w:rsidR="00000000" w:rsidDel="00000000" w:rsidP="00000000" w:rsidRDefault="00000000" w:rsidRPr="00000000" w14:paraId="000000B6">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0B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0BC">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0BD">
      <w:pPr>
        <w:rPr>
          <w:rFonts w:ascii="Calibri" w:cs="Calibri" w:eastAsia="Calibri" w:hAnsi="Calibri"/>
          <w:sz w:val="22"/>
          <w:szCs w:val="22"/>
          <w:u w:val="single"/>
        </w:rPr>
      </w:pPr>
      <w:r w:rsidDel="00000000" w:rsidR="00000000" w:rsidRPr="00000000">
        <w:br w:type="page"/>
      </w:r>
      <w:r w:rsidDel="00000000" w:rsidR="00000000" w:rsidRPr="00000000">
        <w:rPr>
          <w:rtl w:val="0"/>
        </w:rPr>
      </w:r>
    </w:p>
    <w:p w:rsidR="00000000" w:rsidDel="00000000" w:rsidP="00000000" w:rsidRDefault="00000000" w:rsidRPr="00000000" w14:paraId="000000BE">
      <w:pPr>
        <w:rPr>
          <w:rFonts w:ascii="Calibri" w:cs="Calibri" w:eastAsia="Calibri" w:hAnsi="Calibri"/>
          <w:sz w:val="22"/>
          <w:szCs w:val="22"/>
          <w:u w:val="single"/>
        </w:rPr>
      </w:pPr>
      <w:r w:rsidDel="00000000" w:rsidR="00000000" w:rsidRPr="00000000">
        <w:rPr>
          <w:rtl w:val="0"/>
        </w:rPr>
      </w:r>
    </w:p>
    <w:p w:rsidR="00000000" w:rsidDel="00000000" w:rsidP="00000000" w:rsidRDefault="00000000" w:rsidRPr="00000000" w14:paraId="000000BF">
      <w:pPr>
        <w:spacing w:after="160" w:line="259" w:lineRule="auto"/>
        <w:rPr>
          <w:rFonts w:ascii="Calibri" w:cs="Calibri" w:eastAsia="Calibri" w:hAnsi="Calibri"/>
          <w:color w:val="000000"/>
          <w:sz w:val="22"/>
          <w:szCs w:val="22"/>
          <w:u w:val="single"/>
        </w:rPr>
      </w:pPr>
      <w:r w:rsidDel="00000000" w:rsidR="00000000" w:rsidRPr="00000000">
        <w:rPr>
          <w:rtl w:val="0"/>
        </w:rPr>
      </w:r>
    </w:p>
    <w:tbl>
      <w:tblPr>
        <w:tblStyle w:val="Table8"/>
        <w:tblpPr w:leftFromText="141" w:rightFromText="141" w:topFromText="0" w:bottomFromText="0" w:vertAnchor="text" w:horzAnchor="text" w:tblpX="5.000000000001137" w:tblpY="1"/>
        <w:tblW w:w="12993.999999999998"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1761"/>
        <w:gridCol w:w="1233"/>
        <w:tblGridChange w:id="0">
          <w:tblGrid>
            <w:gridCol w:w="11761"/>
            <w:gridCol w:w="1233"/>
          </w:tblGrid>
        </w:tblGridChange>
      </w:tblGrid>
      <w:tr>
        <w:trPr>
          <w:cantSplit w:val="0"/>
          <w:trHeight w:val="136" w:hRule="atLeast"/>
          <w:tblHeader w:val="0"/>
        </w:trPr>
        <w:tc>
          <w:tcPr>
            <w:gridSpan w:val="2"/>
            <w:shd w:fill="262626" w:val="clear"/>
            <w:vAlign w:val="center"/>
          </w:tcPr>
          <w:p w:rsidR="00000000" w:rsidDel="00000000" w:rsidP="00000000" w:rsidRDefault="00000000" w:rsidRPr="00000000" w14:paraId="000000C0">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Recomendación</w:t>
            </w:r>
          </w:p>
        </w:tc>
      </w:tr>
      <w:tr>
        <w:trPr>
          <w:cantSplit w:val="0"/>
          <w:trHeight w:val="411" w:hRule="atLeast"/>
          <w:tblHeader w:val="0"/>
        </w:trPr>
        <w:tc>
          <w:tcPr>
            <w:shd w:fill="262626" w:val="clear"/>
            <w:vAlign w:val="center"/>
          </w:tcPr>
          <w:p w:rsidR="00000000" w:rsidDel="00000000" w:rsidP="00000000" w:rsidRDefault="00000000" w:rsidRPr="00000000" w14:paraId="000000C2">
            <w:pPr>
              <w:jc w:val="both"/>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A</w:t>
            </w:r>
            <w:r w:rsidDel="00000000" w:rsidR="00000000" w:rsidRPr="00000000">
              <w:rPr>
                <w:rFonts w:ascii="Calibri" w:cs="Calibri" w:eastAsia="Calibri" w:hAnsi="Calibri"/>
                <w:color w:val="767171"/>
                <w:sz w:val="24"/>
                <w:szCs w:val="24"/>
                <w:rtl w:val="0"/>
              </w:rPr>
              <w:t xml:space="preserve"> </w:t>
            </w:r>
            <w:r w:rsidDel="00000000" w:rsidR="00000000" w:rsidRPr="00000000">
              <w:rPr>
                <w:rFonts w:ascii="Calibri" w:cs="Calibri" w:eastAsia="Calibri" w:hAnsi="Calibri"/>
                <w:b w:val="1"/>
                <w:bCs w:val="1"/>
                <w:color w:val="ffffff"/>
                <w:sz w:val="22"/>
                <w:szCs w:val="22"/>
                <w:rtl w:val="0"/>
              </w:rPr>
              <w:t xml:space="preserve">partir de esta evaluación y de los criterios establecidos para construir proyecto</w:t>
            </w:r>
            <w:r w:rsidDel="00000000" w:rsidR="00000000" w:rsidRPr="00000000">
              <w:rPr>
                <w:rFonts w:ascii="Calibri" w:cs="Calibri" w:eastAsia="Calibri" w:hAnsi="Calibri"/>
                <w:b w:val="1"/>
                <w:bCs w:val="1"/>
                <w:color w:val="ffffff"/>
                <w:sz w:val="22"/>
                <w:szCs w:val="22"/>
                <w:vertAlign w:val="superscript"/>
              </w:rPr>
              <w:footnoteReference w:customMarkFollows="0" w:id="0"/>
            </w:r>
            <w:r w:rsidDel="00000000" w:rsidR="00000000" w:rsidRPr="00000000">
              <w:rPr>
                <w:rFonts w:ascii="Calibri" w:cs="Calibri" w:eastAsia="Calibri" w:hAnsi="Calibri"/>
                <w:b w:val="1"/>
                <w:bCs w:val="1"/>
                <w:color w:val="ffffff"/>
                <w:sz w:val="22"/>
                <w:szCs w:val="22"/>
                <w:rtl w:val="0"/>
              </w:rPr>
              <w:t xml:space="preserve"> se establece que la definición del proyecto (marque la opción que corresponda):</w:t>
            </w:r>
          </w:p>
        </w:tc>
        <w:tc>
          <w:tcPr>
            <w:shd w:fill="262626" w:val="clear"/>
            <w:vAlign w:val="center"/>
          </w:tcPr>
          <w:p w:rsidR="00000000" w:rsidDel="00000000" w:rsidP="00000000" w:rsidRDefault="00000000" w:rsidRPr="00000000" w14:paraId="000000C3">
            <w:pPr>
              <w:jc w:val="center"/>
              <w:rPr>
                <w:rFonts w:ascii="Calibri" w:cs="Calibri" w:eastAsia="Calibri" w:hAnsi="Calibri"/>
                <w:b w:val="1"/>
                <w:bCs w:val="1"/>
                <w:color w:val="ffffff"/>
                <w:sz w:val="22"/>
                <w:szCs w:val="22"/>
              </w:rPr>
            </w:pPr>
            <w:r w:rsidDel="00000000" w:rsidR="00000000" w:rsidRPr="00000000">
              <w:rPr>
                <w:rtl w:val="0"/>
              </w:rPr>
            </w:r>
          </w:p>
        </w:tc>
      </w:tr>
      <w:tr>
        <w:trPr>
          <w:cantSplit w:val="0"/>
          <w:trHeight w:val="292" w:hRule="atLeast"/>
          <w:tblHeader w:val="0"/>
        </w:trPr>
        <w:tc>
          <w:tcPr>
            <w:vAlign w:val="center"/>
          </w:tcPr>
          <w:p w:rsidR="00000000" w:rsidDel="00000000" w:rsidP="00000000" w:rsidRDefault="00000000" w:rsidRPr="00000000" w14:paraId="000000C4">
            <w:pPr>
              <w:rPr>
                <w:rFonts w:ascii="Calibri" w:cs="Calibri" w:eastAsia="Calibri" w:hAnsi="Calibri"/>
                <w:color w:val="3b3838"/>
              </w:rPr>
            </w:pPr>
            <w:r w:rsidDel="00000000" w:rsidR="00000000" w:rsidRPr="00000000">
              <w:rPr>
                <w:rFonts w:ascii="Calibri" w:cs="Calibri" w:eastAsia="Calibri" w:hAnsi="Calibri"/>
                <w:color w:val="3b3838"/>
                <w:rtl w:val="0"/>
              </w:rPr>
              <w:t xml:space="preserve">1. Cumple las condiciones definidas para los proyectos APT.</w:t>
            </w:r>
          </w:p>
        </w:tc>
        <w:tc>
          <w:tcPr/>
          <w:p w:rsidR="00000000" w:rsidDel="00000000" w:rsidP="00000000" w:rsidRDefault="00000000" w:rsidRPr="00000000" w14:paraId="000000C5">
            <w:pPr>
              <w:rPr>
                <w:rFonts w:ascii="Calibri" w:cs="Calibri" w:eastAsia="Calibri" w:hAnsi="Calibri"/>
              </w:rPr>
            </w:pPr>
            <w:r w:rsidDel="00000000" w:rsidR="00000000" w:rsidRPr="00000000">
              <w:rPr>
                <w:rtl w:val="0"/>
              </w:rPr>
            </w:r>
          </w:p>
        </w:tc>
      </w:tr>
      <w:tr>
        <w:trPr>
          <w:cantSplit w:val="0"/>
          <w:trHeight w:val="282" w:hRule="atLeast"/>
          <w:tblHeader w:val="0"/>
        </w:trPr>
        <w:tc>
          <w:tcPr>
            <w:vAlign w:val="center"/>
          </w:tcPr>
          <w:p w:rsidR="00000000" w:rsidDel="00000000" w:rsidP="00000000" w:rsidRDefault="00000000" w:rsidRPr="00000000" w14:paraId="000000C6">
            <w:pPr>
              <w:rPr>
                <w:rFonts w:ascii="Calibri" w:cs="Calibri" w:eastAsia="Calibri" w:hAnsi="Calibri"/>
                <w:color w:val="3b3838"/>
              </w:rPr>
            </w:pPr>
            <w:r w:rsidDel="00000000" w:rsidR="00000000" w:rsidRPr="00000000">
              <w:rPr>
                <w:rFonts w:ascii="Calibri" w:cs="Calibri" w:eastAsia="Calibri" w:hAnsi="Calibri"/>
                <w:color w:val="3b3838"/>
                <w:rtl w:val="0"/>
              </w:rPr>
              <w:t xml:space="preserve">2. Cumple algunas condiciones definidas para los proyectos APT, pero requiere algunas modificaciones para ser aprobado.</w:t>
            </w:r>
          </w:p>
        </w:tc>
        <w:tc>
          <w:tcPr/>
          <w:p w:rsidR="00000000" w:rsidDel="00000000" w:rsidP="00000000" w:rsidRDefault="00000000" w:rsidRPr="00000000" w14:paraId="000000C7">
            <w:pPr>
              <w:rPr>
                <w:rFonts w:ascii="Calibri" w:cs="Calibri" w:eastAsia="Calibri" w:hAnsi="Calibri"/>
              </w:rPr>
            </w:pPr>
            <w:r w:rsidDel="00000000" w:rsidR="00000000" w:rsidRPr="00000000">
              <w:rPr>
                <w:rtl w:val="0"/>
              </w:rPr>
            </w:r>
          </w:p>
        </w:tc>
      </w:tr>
      <w:tr>
        <w:trPr>
          <w:cantSplit w:val="0"/>
          <w:trHeight w:val="413" w:hRule="atLeast"/>
          <w:tblHeader w:val="0"/>
        </w:trPr>
        <w:tc>
          <w:tcPr>
            <w:vAlign w:val="center"/>
          </w:tcPr>
          <w:p w:rsidR="00000000" w:rsidDel="00000000" w:rsidP="00000000" w:rsidRDefault="00000000" w:rsidRPr="00000000" w14:paraId="000000C8">
            <w:pPr>
              <w:rPr>
                <w:rFonts w:ascii="Calibri" w:cs="Calibri" w:eastAsia="Calibri" w:hAnsi="Calibri"/>
                <w:color w:val="3b3838"/>
              </w:rPr>
            </w:pPr>
            <w:r w:rsidDel="00000000" w:rsidR="00000000" w:rsidRPr="00000000">
              <w:rPr>
                <w:rFonts w:ascii="Calibri" w:cs="Calibri" w:eastAsia="Calibri" w:hAnsi="Calibri"/>
                <w:color w:val="3b3838"/>
                <w:rtl w:val="0"/>
              </w:rPr>
              <w:t xml:space="preserve">3. No cumple los criterios definidos para los proyectos APT y, por tanto, se recomienda cambiar el proyecto o seleccionar alguno propuesto por la escuela.</w:t>
            </w:r>
          </w:p>
        </w:tc>
        <w:tc>
          <w:tcPr/>
          <w:p w:rsidR="00000000" w:rsidDel="00000000" w:rsidP="00000000" w:rsidRDefault="00000000" w:rsidRPr="00000000" w14:paraId="000000C9">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C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B">
      <w:pPr>
        <w:rPr>
          <w:rFonts w:ascii="Calibri" w:cs="Calibri" w:eastAsia="Calibri" w:hAnsi="Calibri"/>
          <w:sz w:val="22"/>
          <w:szCs w:val="22"/>
        </w:rPr>
      </w:pPr>
      <w:r w:rsidDel="00000000" w:rsidR="00000000" w:rsidRPr="00000000">
        <w:rPr>
          <w:rtl w:val="0"/>
        </w:rPr>
      </w:r>
    </w:p>
    <w:tbl>
      <w:tblPr>
        <w:tblStyle w:val="Table9"/>
        <w:tblpPr w:leftFromText="141" w:rightFromText="141" w:topFromText="0" w:bottomFromText="0" w:vertAnchor="text" w:horzAnchor="text" w:tblpX="0" w:tblpY="0"/>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94"/>
        <w:tblGridChange w:id="0">
          <w:tblGrid>
            <w:gridCol w:w="12994"/>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CC">
            <w:pP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En caso de que el proyecto no cumpla algunos criterios o se recomiende cambiar el proyecto, señalar los criterios que no cumplen el proyecto y sugerencias de mejoras, en caso de que corresponda. </w:t>
            </w:r>
          </w:p>
        </w:tc>
      </w:tr>
      <w:tr>
        <w:trPr>
          <w:cantSplit w:val="0"/>
          <w:trHeight w:val="1713" w:hRule="atLeast"/>
          <w:tblHeader w:val="0"/>
        </w:trPr>
        <w:tc>
          <w:tcPr>
            <w:vAlign w:val="center"/>
          </w:tcPr>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rPr>
                <w:rFonts w:ascii="Calibri" w:cs="Calibri" w:eastAsia="Calibri" w:hAnsi="Calibri"/>
              </w:rPr>
            </w:pPr>
            <w:r w:rsidDel="00000000" w:rsidR="00000000" w:rsidRPr="00000000">
              <w:rPr>
                <w:rtl w:val="0"/>
              </w:rPr>
            </w:r>
          </w:p>
          <w:p w:rsidR="00000000" w:rsidDel="00000000" w:rsidP="00000000" w:rsidRDefault="00000000" w:rsidRPr="00000000" w14:paraId="000000CF">
            <w:pPr>
              <w:rPr>
                <w:rFonts w:ascii="Calibri" w:cs="Calibri" w:eastAsia="Calibri" w:hAnsi="Calibri"/>
              </w:rPr>
            </w:pPr>
            <w:r w:rsidDel="00000000" w:rsidR="00000000" w:rsidRPr="00000000">
              <w:rPr>
                <w:rtl w:val="0"/>
              </w:rPr>
            </w:r>
          </w:p>
          <w:p w:rsidR="00000000" w:rsidDel="00000000" w:rsidP="00000000" w:rsidRDefault="00000000" w:rsidRPr="00000000" w14:paraId="000000D0">
            <w:pPr>
              <w:rPr>
                <w:rFonts w:ascii="Calibri" w:cs="Calibri" w:eastAsia="Calibri" w:hAnsi="Calibri"/>
              </w:rPr>
            </w:pPr>
            <w:r w:rsidDel="00000000" w:rsidR="00000000" w:rsidRPr="00000000">
              <w:rPr>
                <w:rtl w:val="0"/>
              </w:rPr>
            </w:r>
          </w:p>
          <w:p w:rsidR="00000000" w:rsidDel="00000000" w:rsidP="00000000" w:rsidRDefault="00000000" w:rsidRPr="00000000" w14:paraId="000000D1">
            <w:pPr>
              <w:rPr>
                <w:rFonts w:ascii="Calibri" w:cs="Calibri" w:eastAsia="Calibri" w:hAnsi="Calibri"/>
              </w:rPr>
            </w:pPr>
            <w:r w:rsidDel="00000000" w:rsidR="00000000" w:rsidRPr="00000000">
              <w:rPr>
                <w:rtl w:val="0"/>
              </w:rPr>
            </w:r>
          </w:p>
          <w:p w:rsidR="00000000" w:rsidDel="00000000" w:rsidP="00000000" w:rsidRDefault="00000000" w:rsidRPr="00000000" w14:paraId="000000D2">
            <w:pPr>
              <w:rPr>
                <w:rFonts w:ascii="Calibri" w:cs="Calibri" w:eastAsia="Calibri" w:hAnsi="Calibri"/>
              </w:rPr>
            </w:pPr>
            <w:r w:rsidDel="00000000" w:rsidR="00000000" w:rsidRPr="00000000">
              <w:rPr>
                <w:rtl w:val="0"/>
              </w:rPr>
            </w:r>
          </w:p>
          <w:p w:rsidR="00000000" w:rsidDel="00000000" w:rsidP="00000000" w:rsidRDefault="00000000" w:rsidRPr="00000000" w14:paraId="000000D3">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D4">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D5">
      <w:pPr>
        <w:spacing w:line="36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D6">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114300" distT="114300" distL="114300" distR="114300">
            <wp:extent cx="4186238" cy="1022445"/>
            <wp:effectExtent b="0" l="0" r="0" t="0"/>
            <wp:docPr id="4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186238" cy="1022445"/>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Escuela de Informática y Telecomunicaciones · Sede San Joaquín</w:t>
      </w:r>
    </w:p>
    <w:p w:rsidR="00000000" w:rsidDel="00000000" w:rsidP="00000000" w:rsidRDefault="00000000" w:rsidRPr="00000000" w14:paraId="000000D8">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D9">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DA">
      <w:pPr>
        <w:spacing w:line="360" w:lineRule="auto"/>
        <w:jc w:val="center"/>
        <w:rPr>
          <w:rFonts w:ascii="Calibri" w:cs="Calibri" w:eastAsia="Calibri" w:hAnsi="Calibri"/>
          <w:b w:val="1"/>
          <w:bCs w:val="1"/>
          <w:sz w:val="56"/>
          <w:szCs w:val="56"/>
        </w:rPr>
      </w:pPr>
      <w:r w:rsidDel="00000000" w:rsidR="00000000" w:rsidRPr="00000000">
        <w:rPr>
          <w:rFonts w:ascii="Calibri" w:cs="Calibri" w:eastAsia="Calibri" w:hAnsi="Calibri"/>
          <w:b w:val="1"/>
          <w:bCs w:val="1"/>
          <w:sz w:val="56"/>
          <w:szCs w:val="56"/>
          <w:rtl w:val="0"/>
        </w:rPr>
        <w:t xml:space="preserve">MATU</w:t>
      </w:r>
    </w:p>
    <w:p w:rsidR="00000000" w:rsidDel="00000000" w:rsidP="00000000" w:rsidRDefault="00000000" w:rsidRPr="00000000" w14:paraId="000000DB">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Sistema de continuidad del cuidado para personas mayores con dependencia</w:t>
      </w:r>
    </w:p>
    <w:p w:rsidR="00000000" w:rsidDel="00000000" w:rsidP="00000000" w:rsidRDefault="00000000" w:rsidRPr="00000000" w14:paraId="000000DC">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DD">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Informe de Definición de Proyecto APT · Fase 1</w:t>
      </w:r>
    </w:p>
    <w:p w:rsidR="00000000" w:rsidDel="00000000" w:rsidP="00000000" w:rsidRDefault="00000000" w:rsidRPr="00000000" w14:paraId="000000DE">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DF">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0E0">
      <w:pPr>
        <w:spacing w:after="100" w:line="360" w:lineRule="auto"/>
        <w:ind w:left="2880" w:firstLine="0"/>
        <w:jc w:val="both"/>
        <w:rPr>
          <w:rFonts w:ascii="Calibri" w:cs="Calibri" w:eastAsia="Calibri" w:hAnsi="Calibri"/>
          <w:sz w:val="24"/>
          <w:szCs w:val="24"/>
        </w:rPr>
      </w:pPr>
      <w:r w:rsidDel="00000000" w:rsidR="00000000" w:rsidRPr="00000000">
        <w:rPr>
          <w:rFonts w:ascii="Calibri" w:cs="Calibri" w:eastAsia="Calibri" w:hAnsi="Calibri"/>
          <w:b w:val="1"/>
          <w:bCs w:val="1"/>
          <w:color w:val="0a253e"/>
          <w:sz w:val="24"/>
          <w:szCs w:val="24"/>
          <w:rtl w:val="0"/>
        </w:rPr>
        <w:t xml:space="preserve">Asignatura:</w:t>
      </w:r>
      <w:r w:rsidDel="00000000" w:rsidR="00000000" w:rsidRPr="00000000">
        <w:rPr>
          <w:rFonts w:ascii="Calibri" w:cs="Calibri" w:eastAsia="Calibri" w:hAnsi="Calibri"/>
          <w:color w:val="0a253e"/>
          <w:sz w:val="24"/>
          <w:szCs w:val="24"/>
          <w:rtl w:val="0"/>
        </w:rPr>
        <w:tab/>
      </w:r>
      <w:r w:rsidDel="00000000" w:rsidR="00000000" w:rsidRPr="00000000">
        <w:rPr>
          <w:rFonts w:ascii="Calibri" w:cs="Calibri" w:eastAsia="Calibri" w:hAnsi="Calibri"/>
          <w:sz w:val="24"/>
          <w:szCs w:val="24"/>
          <w:rtl w:val="0"/>
        </w:rPr>
        <w:t xml:space="preserve">Capstone (PTY4614) · Portafolio de Título APT122</w:t>
      </w:r>
    </w:p>
    <w:p w:rsidR="00000000" w:rsidDel="00000000" w:rsidP="00000000" w:rsidRDefault="00000000" w:rsidRPr="00000000" w14:paraId="000000E1">
      <w:pPr>
        <w:spacing w:after="100" w:line="360" w:lineRule="auto"/>
        <w:ind w:left="2880" w:firstLine="0"/>
        <w:jc w:val="both"/>
        <w:rPr>
          <w:rFonts w:ascii="Calibri" w:cs="Calibri" w:eastAsia="Calibri" w:hAnsi="Calibri"/>
          <w:sz w:val="24"/>
          <w:szCs w:val="24"/>
        </w:rPr>
      </w:pPr>
      <w:r w:rsidDel="00000000" w:rsidR="00000000" w:rsidRPr="00000000">
        <w:rPr>
          <w:rFonts w:ascii="Calibri" w:cs="Calibri" w:eastAsia="Calibri" w:hAnsi="Calibri"/>
          <w:b w:val="1"/>
          <w:bCs w:val="1"/>
          <w:color w:val="0a253e"/>
          <w:sz w:val="24"/>
          <w:szCs w:val="24"/>
          <w:rtl w:val="0"/>
        </w:rPr>
        <w:t xml:space="preserve">Integrantes:</w:t>
      </w:r>
      <w:r w:rsidDel="00000000" w:rsidR="00000000" w:rsidRPr="00000000">
        <w:rPr>
          <w:rFonts w:ascii="Calibri" w:cs="Calibri" w:eastAsia="Calibri" w:hAnsi="Calibri"/>
          <w:color w:val="0a253e"/>
          <w:sz w:val="24"/>
          <w:szCs w:val="24"/>
          <w:rtl w:val="0"/>
        </w:rPr>
        <w:tab/>
      </w:r>
      <w:r w:rsidDel="00000000" w:rsidR="00000000" w:rsidRPr="00000000">
        <w:rPr>
          <w:rFonts w:ascii="Calibri" w:cs="Calibri" w:eastAsia="Calibri" w:hAnsi="Calibri"/>
          <w:sz w:val="24"/>
          <w:szCs w:val="24"/>
          <w:rtl w:val="0"/>
        </w:rPr>
        <w:t xml:space="preserve">Jorge Eduardo Espinoza Arévalo · Martín Alonzo Henríquez Quiroz</w:t>
      </w:r>
    </w:p>
    <w:p w:rsidR="00000000" w:rsidDel="00000000" w:rsidP="00000000" w:rsidRDefault="00000000" w:rsidRPr="00000000" w14:paraId="000000E2">
      <w:pPr>
        <w:spacing w:after="100" w:line="360" w:lineRule="auto"/>
        <w:ind w:left="2880" w:firstLine="0"/>
        <w:jc w:val="both"/>
        <w:rPr>
          <w:rFonts w:ascii="Calibri" w:cs="Calibri" w:eastAsia="Calibri" w:hAnsi="Calibri"/>
          <w:sz w:val="24"/>
          <w:szCs w:val="24"/>
        </w:rPr>
      </w:pPr>
      <w:r w:rsidDel="00000000" w:rsidR="00000000" w:rsidRPr="00000000">
        <w:rPr>
          <w:rFonts w:ascii="Calibri" w:cs="Calibri" w:eastAsia="Calibri" w:hAnsi="Calibri"/>
          <w:b w:val="1"/>
          <w:bCs w:val="1"/>
          <w:color w:val="0a253e"/>
          <w:sz w:val="24"/>
          <w:szCs w:val="24"/>
          <w:rtl w:val="0"/>
        </w:rPr>
        <w:t xml:space="preserve">Carrera:</w:t>
      </w:r>
      <w:r w:rsidDel="00000000" w:rsidR="00000000" w:rsidRPr="00000000">
        <w:rPr>
          <w:rFonts w:ascii="Calibri" w:cs="Calibri" w:eastAsia="Calibri" w:hAnsi="Calibri"/>
          <w:color w:val="0a253e"/>
          <w:sz w:val="24"/>
          <w:szCs w:val="24"/>
          <w:rtl w:val="0"/>
        </w:rPr>
        <w:tab/>
      </w:r>
      <w:r w:rsidDel="00000000" w:rsidR="00000000" w:rsidRPr="00000000">
        <w:rPr>
          <w:rFonts w:ascii="Calibri" w:cs="Calibri" w:eastAsia="Calibri" w:hAnsi="Calibri"/>
          <w:sz w:val="24"/>
          <w:szCs w:val="24"/>
          <w:rtl w:val="0"/>
        </w:rPr>
        <w:t xml:space="preserve">Ingeniería en Informática</w:t>
      </w:r>
    </w:p>
    <w:p w:rsidR="00000000" w:rsidDel="00000000" w:rsidP="00000000" w:rsidRDefault="00000000" w:rsidRPr="00000000" w14:paraId="000000E3">
      <w:pPr>
        <w:spacing w:after="100" w:line="360" w:lineRule="auto"/>
        <w:ind w:left="2880" w:firstLine="0"/>
        <w:jc w:val="both"/>
        <w:rPr>
          <w:rFonts w:ascii="Calibri" w:cs="Calibri" w:eastAsia="Calibri" w:hAnsi="Calibri"/>
          <w:sz w:val="24"/>
          <w:szCs w:val="24"/>
        </w:rPr>
      </w:pPr>
      <w:r w:rsidDel="00000000" w:rsidR="00000000" w:rsidRPr="00000000">
        <w:rPr>
          <w:rFonts w:ascii="Calibri" w:cs="Calibri" w:eastAsia="Calibri" w:hAnsi="Calibri"/>
          <w:b w:val="1"/>
          <w:bCs w:val="1"/>
          <w:color w:val="0a253e"/>
          <w:sz w:val="24"/>
          <w:szCs w:val="24"/>
          <w:rtl w:val="0"/>
        </w:rPr>
        <w:t xml:space="preserve">Sede:</w:t>
      </w:r>
      <w:r w:rsidDel="00000000" w:rsidR="00000000" w:rsidRPr="00000000">
        <w:rPr>
          <w:rFonts w:ascii="Calibri" w:cs="Calibri" w:eastAsia="Calibri" w:hAnsi="Calibri"/>
          <w:color w:val="0a253e"/>
          <w:sz w:val="24"/>
          <w:szCs w:val="24"/>
          <w:rtl w:val="0"/>
        </w:rPr>
        <w:t xml:space="preserve"> </w:t>
        <w:tab/>
        <w:tab/>
      </w:r>
      <w:r w:rsidDel="00000000" w:rsidR="00000000" w:rsidRPr="00000000">
        <w:rPr>
          <w:rFonts w:ascii="Calibri" w:cs="Calibri" w:eastAsia="Calibri" w:hAnsi="Calibri"/>
          <w:sz w:val="24"/>
          <w:szCs w:val="24"/>
          <w:rtl w:val="0"/>
        </w:rPr>
        <w:t xml:space="preserve">San Joaquín</w:t>
      </w:r>
    </w:p>
    <w:p w:rsidR="00000000" w:rsidDel="00000000" w:rsidP="00000000" w:rsidRDefault="00000000" w:rsidRPr="00000000" w14:paraId="000000E4">
      <w:pPr>
        <w:spacing w:after="100" w:line="360" w:lineRule="auto"/>
        <w:ind w:left="2880" w:firstLine="0"/>
        <w:jc w:val="both"/>
        <w:rPr>
          <w:rFonts w:ascii="Calibri" w:cs="Calibri" w:eastAsia="Calibri" w:hAnsi="Calibri"/>
          <w:sz w:val="24"/>
          <w:szCs w:val="24"/>
        </w:rPr>
      </w:pPr>
      <w:r w:rsidDel="00000000" w:rsidR="00000000" w:rsidRPr="00000000">
        <w:rPr>
          <w:rFonts w:ascii="Calibri" w:cs="Calibri" w:eastAsia="Calibri" w:hAnsi="Calibri"/>
          <w:b w:val="1"/>
          <w:bCs w:val="1"/>
          <w:color w:val="0a253e"/>
          <w:sz w:val="24"/>
          <w:szCs w:val="24"/>
          <w:rtl w:val="0"/>
        </w:rPr>
        <w:t xml:space="preserve">Fecha:</w:t>
      </w:r>
      <w:r w:rsidDel="00000000" w:rsidR="00000000" w:rsidRPr="00000000">
        <w:rPr>
          <w:rFonts w:ascii="Calibri" w:cs="Calibri" w:eastAsia="Calibri" w:hAnsi="Calibri"/>
          <w:color w:val="0a253e"/>
          <w:sz w:val="24"/>
          <w:szCs w:val="24"/>
          <w:rtl w:val="0"/>
        </w:rPr>
        <w:t xml:space="preserve"> </w:t>
        <w:tab/>
        <w:tab/>
      </w:r>
      <w:r w:rsidDel="00000000" w:rsidR="00000000" w:rsidRPr="00000000">
        <w:rPr>
          <w:rFonts w:ascii="Calibri" w:cs="Calibri" w:eastAsia="Calibri" w:hAnsi="Calibri"/>
          <w:sz w:val="24"/>
          <w:szCs w:val="24"/>
          <w:rtl w:val="0"/>
        </w:rPr>
        <w:t xml:space="preserve">Septiembre de 2026</w:t>
      </w:r>
    </w:p>
    <w:p w:rsidR="00000000" w:rsidDel="00000000" w:rsidP="00000000" w:rsidRDefault="00000000" w:rsidRPr="00000000" w14:paraId="000000E5">
      <w:pPr>
        <w:pStyle w:val="Heading1"/>
        <w:keepNext w:val="0"/>
        <w:keepLines w:val="0"/>
        <w:spacing w:after="180" w:before="360" w:line="276" w:lineRule="auto"/>
        <w:jc w:val="left"/>
        <w:rPr>
          <w:rFonts w:ascii="Calibri" w:cs="Calibri" w:eastAsia="Calibri" w:hAnsi="Calibri"/>
          <w:color w:val="0a253e"/>
          <w:sz w:val="30"/>
          <w:szCs w:val="30"/>
        </w:rPr>
      </w:pPr>
      <w:bookmarkStart w:colFirst="0" w:colLast="0" w:name="_heading=h.grifjp3sq07c" w:id="0"/>
      <w:bookmarkEnd w:id="0"/>
      <w:r w:rsidDel="00000000" w:rsidR="00000000" w:rsidRPr="00000000">
        <w:rPr>
          <w:rFonts w:ascii="Calibri" w:cs="Calibri" w:eastAsia="Calibri" w:hAnsi="Calibri"/>
          <w:color w:val="0a253e"/>
          <w:sz w:val="30"/>
          <w:szCs w:val="30"/>
          <w:rtl w:val="0"/>
        </w:rPr>
        <w:t xml:space="preserve">Índice</w:t>
      </w:r>
    </w:p>
    <w:p w:rsidR="00000000" w:rsidDel="00000000" w:rsidP="00000000" w:rsidRDefault="00000000" w:rsidRPr="00000000" w14:paraId="000000E6">
      <w:pPr>
        <w:spacing w:after="100" w:line="259.20000000000005" w:lineRule="auto"/>
        <w:jc w:val="center"/>
        <w:rPr>
          <w:rFonts w:ascii="Calibri" w:cs="Calibri" w:eastAsia="Calibri" w:hAnsi="Calibri"/>
          <w:b w:val="1"/>
          <w:bCs w:val="1"/>
          <w:color w:val="0a253e"/>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im5fpjnhhprv" w:id="1"/>
      <w:bookmarkEnd w:id="1"/>
      <w:r w:rsidDel="00000000" w:rsidR="00000000" w:rsidRPr="00000000">
        <w:rPr>
          <w:rFonts w:ascii="Calibri" w:cs="Calibri" w:eastAsia="Calibri" w:hAnsi="Calibri"/>
          <w:color w:val="0a253e"/>
          <w:sz w:val="30"/>
          <w:szCs w:val="30"/>
          <w:rtl w:val="0"/>
        </w:rPr>
        <w:t xml:space="preserve">1. Abstract</w:t>
      </w:r>
    </w:p>
    <w:p w:rsidR="00000000" w:rsidDel="00000000" w:rsidP="00000000" w:rsidRDefault="00000000" w:rsidRPr="00000000" w14:paraId="000000E8">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o2avmsqi1lih" w:id="2"/>
      <w:bookmarkEnd w:id="2"/>
      <w:r w:rsidDel="00000000" w:rsidR="00000000" w:rsidRPr="00000000">
        <w:rPr>
          <w:rtl w:val="0"/>
        </w:rPr>
      </w:r>
    </w:p>
    <w:p w:rsidR="00000000" w:rsidDel="00000000" w:rsidP="00000000" w:rsidRDefault="00000000" w:rsidRPr="00000000" w14:paraId="000000E9">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3fvlrhydi3cz" w:id="3"/>
      <w:bookmarkEnd w:id="3"/>
      <w:r w:rsidDel="00000000" w:rsidR="00000000" w:rsidRPr="00000000">
        <w:rPr>
          <w:rFonts w:ascii="Calibri" w:cs="Calibri" w:eastAsia="Calibri" w:hAnsi="Calibri"/>
          <w:color w:val="0a253e"/>
          <w:sz w:val="25"/>
          <w:szCs w:val="25"/>
          <w:rtl w:val="0"/>
        </w:rPr>
        <w:t xml:space="preserve">1.1 Resumen</w:t>
      </w:r>
    </w:p>
    <w:p w:rsidR="00000000" w:rsidDel="00000000" w:rsidP="00000000" w:rsidRDefault="00000000" w:rsidRPr="00000000" w14:paraId="000000EA">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MATU es un sistema de continuidad del cuidado para personas mayores en situación de dependencia. El problema que aborda tiene dos caras que en realidad son una sola: el conocimiento de cómo se cuida a una persona vive en la cabeza de un solo cuidador y no está escrito en ninguna parte, y el abastecimiento de insumos se lleva de memoria y se resuelve con salidas de urgencia. Ambas condiciones producen el mismo efecto, que es la imposibilidad de delegar el cuidado.</w:t>
      </w:r>
    </w:p>
    <w:p w:rsidR="00000000" w:rsidDel="00000000" w:rsidP="00000000" w:rsidRDefault="00000000" w:rsidRPr="00000000" w14:paraId="000000EB">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se estructura en tres capas con dependencia estrictamente descendente. La primera convierte el conocimiento del cuidador en un plan por secciones, cifrado y compartible con un cuidador de relevo mediante un acceso temporal y revocable. La segunda deriva de ese plan el perfil de consumo de cada insumo y proyecta la fecha de quiebre de stock antes de que ocurra. La tercera gestiona el pedido, el pago compartido entre familiares y la entrega, y está desacoplada por diseño, de modo que el sistema entrega valor aunque no exista convenio comercial.</w:t>
      </w:r>
    </w:p>
    <w:p w:rsidR="00000000" w:rsidDel="00000000" w:rsidP="00000000" w:rsidRDefault="00000000" w:rsidRPr="00000000" w14:paraId="000000EC">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 desarrolla en dieciocho semanas con una capacidad declarada de 390 horas y un alcance recortado a 373 horas. El diseño está documentado en una arquitectura de línea base con 41 requisitos funcionales trazados a módulos, 24 decisiones de arquitectura fundamentadas y un prototipo navegable de 32 pantallas. Este informe presenta la definición del proyecto, su relación con el perfil de egreso de Ingeniería en Informática, la factibilidad de su ejecución en el marco de la asignatura, los objetivos, la metodología, el plan de trabajo y las evidencias comprometidas.</w:t>
      </w:r>
    </w:p>
    <w:p w:rsidR="00000000" w:rsidDel="00000000" w:rsidP="00000000" w:rsidRDefault="00000000" w:rsidRPr="00000000" w14:paraId="000000ED">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95t5l4pji63t" w:id="4"/>
      <w:bookmarkEnd w:id="4"/>
      <w:r w:rsidDel="00000000" w:rsidR="00000000" w:rsidRPr="00000000">
        <w:rPr>
          <w:rtl w:val="0"/>
        </w:rPr>
      </w:r>
    </w:p>
    <w:p w:rsidR="00000000" w:rsidDel="00000000" w:rsidP="00000000" w:rsidRDefault="00000000" w:rsidRPr="00000000" w14:paraId="000000EE">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73zqebbp2tku" w:id="5"/>
      <w:bookmarkEnd w:id="5"/>
      <w:r w:rsidDel="00000000" w:rsidR="00000000" w:rsidRPr="00000000">
        <w:rPr>
          <w:rtl w:val="0"/>
        </w:rPr>
      </w:r>
    </w:p>
    <w:p w:rsidR="00000000" w:rsidDel="00000000" w:rsidP="00000000" w:rsidRDefault="00000000" w:rsidRPr="00000000" w14:paraId="000000EF">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y4abhip87ogm" w:id="6"/>
      <w:bookmarkEnd w:id="6"/>
      <w:r w:rsidDel="00000000" w:rsidR="00000000" w:rsidRPr="00000000">
        <w:rPr>
          <w:rFonts w:ascii="Calibri" w:cs="Calibri" w:eastAsia="Calibri" w:hAnsi="Calibri"/>
          <w:color w:val="0a253e"/>
          <w:sz w:val="25"/>
          <w:szCs w:val="25"/>
          <w:rtl w:val="0"/>
        </w:rPr>
        <w:t xml:space="preserve">1.2 Abstract</w:t>
      </w:r>
    </w:p>
    <w:p w:rsidR="00000000" w:rsidDel="00000000" w:rsidP="00000000" w:rsidRDefault="00000000" w:rsidRPr="00000000" w14:paraId="000000F0">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MATU is a continuity-of-care system for older adults in a situation of dependency. The problem it addresses has two faces that are in fact one: the knowledge of how a person is cared for lives in the head of a single caregiver and is written down nowhere, and the supply of consumables is tracked from memory and resolved through emergency trips. Both conditions produce the same effect, which is the impossibility of delegating care.</w:t>
      </w:r>
    </w:p>
    <w:p w:rsidR="00000000" w:rsidDel="00000000" w:rsidP="00000000" w:rsidRDefault="00000000" w:rsidRPr="00000000" w14:paraId="000000F1">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system is structured in three layers with strictly downward dependency. The first turns the caregiver's knowledge into a plan organised in sections, encrypted and shareable with a relief caregiver through temporary and revocable access. The second derives from that plan the consumption profile of each supply item and projects the stock-out date before it occurs. The third manages the order, the payment shared among relatives and the delivery, and is decoupled by design, so that the system delivers value even when no commercial agreement exists.</w:t>
      </w:r>
    </w:p>
    <w:p w:rsidR="00000000" w:rsidDel="00000000" w:rsidP="00000000" w:rsidRDefault="00000000" w:rsidRPr="00000000" w14:paraId="000000F2">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project runs over eighteen weeks with a declared capacity of 390 hours and a scope cut to 373 hours. The design is documented in a baseline architecture with 41 functional requirements traced to modules, 24 reasoned architecture decisions and a navigable prototype of 32 screens. This report presents the project definition, its relationship with the graduate profile of Computer Engineering, the feasibility of its execution within the course, the objectives, the methodology, the work plan and the committed evidence.</w:t>
      </w:r>
    </w:p>
    <w:p w:rsidR="00000000" w:rsidDel="00000000" w:rsidP="00000000" w:rsidRDefault="00000000" w:rsidRPr="00000000" w14:paraId="000000F3">
      <w:pPr>
        <w:spacing w:after="140" w:line="36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4">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49u9b7gocbe" w:id="7"/>
      <w:bookmarkEnd w:id="7"/>
      <w:r w:rsidDel="00000000" w:rsidR="00000000" w:rsidRPr="00000000">
        <w:br w:type="page"/>
      </w:r>
      <w:r w:rsidDel="00000000" w:rsidR="00000000" w:rsidRPr="00000000">
        <w:rPr>
          <w:rtl w:val="0"/>
        </w:rPr>
      </w:r>
    </w:p>
    <w:p w:rsidR="00000000" w:rsidDel="00000000" w:rsidP="00000000" w:rsidRDefault="00000000" w:rsidRPr="00000000" w14:paraId="000000F5">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t6man32tql3a" w:id="8"/>
      <w:bookmarkEnd w:id="8"/>
      <w:r w:rsidDel="00000000" w:rsidR="00000000" w:rsidRPr="00000000">
        <w:rPr>
          <w:rFonts w:ascii="Calibri" w:cs="Calibri" w:eastAsia="Calibri" w:hAnsi="Calibri"/>
          <w:color w:val="0a253e"/>
          <w:sz w:val="30"/>
          <w:szCs w:val="30"/>
          <w:rtl w:val="0"/>
        </w:rPr>
        <w:t xml:space="preserve">2. Desarrollo de ingeniería</w:t>
      </w:r>
    </w:p>
    <w:p w:rsidR="00000000" w:rsidDel="00000000" w:rsidP="00000000" w:rsidRDefault="00000000" w:rsidRPr="00000000" w14:paraId="000000F6">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lmrie3ido161" w:id="9"/>
      <w:bookmarkEnd w:id="9"/>
      <w:r w:rsidDel="00000000" w:rsidR="00000000" w:rsidRPr="00000000">
        <w:rPr>
          <w:rtl w:val="0"/>
        </w:rPr>
      </w:r>
    </w:p>
    <w:p w:rsidR="00000000" w:rsidDel="00000000" w:rsidP="00000000" w:rsidRDefault="00000000" w:rsidRPr="00000000" w14:paraId="000000F7">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chl8fer4d496" w:id="10"/>
      <w:bookmarkEnd w:id="10"/>
      <w:r w:rsidDel="00000000" w:rsidR="00000000" w:rsidRPr="00000000">
        <w:rPr>
          <w:rFonts w:ascii="Calibri" w:cs="Calibri" w:eastAsia="Calibri" w:hAnsi="Calibri"/>
          <w:color w:val="0a253e"/>
          <w:sz w:val="25"/>
          <w:szCs w:val="25"/>
          <w:rtl w:val="0"/>
        </w:rPr>
        <w:t xml:space="preserve">2.1 Descripción del proyecto y su relevancia</w:t>
      </w:r>
    </w:p>
    <w:p w:rsidR="00000000" w:rsidDel="00000000" w:rsidP="00000000" w:rsidRDefault="00000000" w:rsidRPr="00000000" w14:paraId="000000F8">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Chile el cuidado de personas mayores dependientes lo sostienen las familias, sin pago y sin herramientas. Según el Estudio Nacional de la Discapacidad y Dependencia (ENDIDE 2022) del Ministerio de Desarrollo Social y Familia, 1.498.977 personas adultas viven en situación de dependencia, un 9,8% de la población de 18 años y más. El 96,4% de los cuidadores del hogar no recibe remuneración alguna, el 69,9% son mujeres y el 37,9% tiene 60 años o más. El 41,3% de las personas dependientes no cuenta con un cuidador formal.</w:t>
      </w:r>
    </w:p>
    <w:p w:rsidR="00000000" w:rsidDel="00000000" w:rsidP="00000000" w:rsidRDefault="00000000" w:rsidRPr="00000000" w14:paraId="000000F9">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demencia específicamente, el Plan Nacional de Demencia 2025-2035 del Ministerio de Salud estima una prevalencia de 7,0% sobre los 60 años, del orden de 200.000 personas, y consigna que la demencia pasó de ser la quinta causa de muerte en 2011 a la cuarta en 2024.</w:t>
      </w:r>
    </w:p>
    <w:p w:rsidR="00000000" w:rsidDel="00000000" w:rsidP="00000000" w:rsidRDefault="00000000" w:rsidRPr="00000000" w14:paraId="000000FA">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Estas cifras establecen que el problema es grande y está mal cubierto. Lo que no dicen es con qué frecuencia se quiebra el stock de un insumo, cuánto tiempo toma traspasar el cuidado a un relevo ni cuánto está dispuesta a pagar una familia. Esos tres datos son objeto de la investigación con cuidadores comprometida en la Fase 1 y se declaran explícitamente como pendientes.</w:t>
      </w:r>
    </w:p>
    <w:p w:rsidR="00000000" w:rsidDel="00000000" w:rsidP="00000000" w:rsidRDefault="00000000" w:rsidRPr="00000000" w14:paraId="000000FB">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 un problema de información y de logística antes que de salud, y por eso es un problema de ingeniería informática. Quien cuida administra un flujo permanente de insumos cuya demanda cambia con el estado de la persona, y sostiene un conocimiento tácito, la rutina, las señales de alerta y qué calma una crisis, que no está registrado en ninguna parte. Modelar ese conocimiento, predecir el consumo que se desprende de él y coordinar el gasto entre varias personas son tareas de modelamiento de datos, diseño de software y tratamiento de datos sensibles.</w:t>
      </w:r>
    </w:p>
    <w:p w:rsidR="00000000" w:rsidDel="00000000" w:rsidP="00000000" w:rsidRDefault="00000000" w:rsidRPr="00000000" w14:paraId="000000FC">
      <w:pPr>
        <w:spacing w:after="60" w:line="36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El sistema propuesto</w:t>
      </w:r>
    </w:p>
    <w:p w:rsidR="00000000" w:rsidDel="00000000" w:rsidP="00000000" w:rsidRDefault="00000000" w:rsidRPr="00000000" w14:paraId="000000FD">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MATU se organiza en tres capas con dependencia estrictamente descendente. El orden es la decisión de diseño más importante del proyecto y está registrada como decisión de arquitectura ADR-001.</w:t>
      </w:r>
    </w:p>
    <w:p w:rsidR="00000000" w:rsidDel="00000000" w:rsidP="00000000" w:rsidRDefault="00000000" w:rsidRPr="00000000" w14:paraId="000000FE">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capa 1, plan de cuidado, es el núcleo y el activo diferenciador. Convierte lo que sabe el cuidador, rutina, horarios, manejo de situaciones difíciles, preferencias, alimentación, movilidad y red de apoyo, en un documento por secciones. Cada sección se cifra de forma independiente con una clave propia por persona cuidada, y se comparte con un cuidador de relevo mediante un enlace con vencimiento, alcance por sección y registro de auditoría de todo acceso.</w:t>
      </w:r>
    </w:p>
    <w:p w:rsidR="00000000" w:rsidDel="00000000" w:rsidP="00000000" w:rsidRDefault="00000000" w:rsidRPr="00000000" w14:paraId="000000FF">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capa 2, consumo y predicción, deriva del mismo plan. Con dos datos por producto, la tasa de uso diaria y el stock actual, el sistema proyecta la fecha de quiebre y genera una lista de reposición antes de que el insumo se acabe. Es un cálculo que un servicio de despacho genérico no puede realizar, porque exige conocer a la persona cuidada.</w:t>
      </w:r>
    </w:p>
    <w:p w:rsidR="00000000" w:rsidDel="00000000" w:rsidP="00000000" w:rsidRDefault="00000000" w:rsidRPr="00000000" w14:paraId="00000100">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capa 3, despacho, cubre el catálogo curado, el pedido, el reparto del gasto entre varios familiares mediante autorización diferida y captura por el monto real, la entrega y la liquidación con el comercio. Está desacoplada por diseño, según la decisión ADR-002. Si no existe convenio comercial, la familia exporta su lista de reposición y compra donde quiera, y el sistema sigue entregando su valor central.</w:t>
      </w:r>
    </w:p>
    <w:p w:rsidR="00000000" w:rsidDel="00000000" w:rsidP="00000000" w:rsidRDefault="00000000" w:rsidRPr="00000000" w14:paraId="00000101">
      <w:pPr>
        <w:spacing w:after="60" w:line="36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Aporte de valor y contexto</w:t>
      </w:r>
    </w:p>
    <w:p w:rsidR="00000000" w:rsidDel="00000000" w:rsidP="00000000" w:rsidRDefault="00000000" w:rsidRPr="00000000" w14:paraId="00000102">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aporte concreto es doble. Por una parte, un cuidador puede delegar el cuidado por unas horas mediante un acceso acotado y revocable, sin tener que explicar todo de nuevo cada vez. Por otra, el sistema avisa antes del quiebre de stock en lugar de después, con lo cual la compra deja de ser una urgencia que recae siempre sobre la misma persona.</w:t>
      </w:r>
    </w:p>
    <w:p w:rsidR="00000000" w:rsidDel="00000000" w:rsidP="00000000" w:rsidRDefault="00000000" w:rsidRPr="00000000" w14:paraId="00000103">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 sitúa en Chile, Región Metropolitana. El piloto se acota a una comuna de Santiago, definida en el sprint 3, porque la operación logística exige densidad geográfica y porque el punto de equilibrio se calcula sobre un universo local acotado. El usuario central es el cuidador principal familiar, mayoritariamente mujer y con frecuencia mayor de 60 años. El sistema impacta además al círculo familiar que comparte el gasto, a los cuidadores de relevo que reciben el traspaso de información, y a la persona cuidada, que es titular de los datos aunque no siempre pueda consentir por sí misma.</w:t>
      </w:r>
    </w:p>
    <w:p w:rsidR="00000000" w:rsidDel="00000000" w:rsidP="00000000" w:rsidRDefault="00000000" w:rsidRPr="00000000" w14:paraId="00000104">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qydqbmyyyb6s" w:id="11"/>
      <w:bookmarkEnd w:id="11"/>
      <w:r w:rsidDel="00000000" w:rsidR="00000000" w:rsidRPr="00000000">
        <w:rPr>
          <w:rtl w:val="0"/>
        </w:rPr>
      </w:r>
    </w:p>
    <w:p w:rsidR="00000000" w:rsidDel="00000000" w:rsidP="00000000" w:rsidRDefault="00000000" w:rsidRPr="00000000" w14:paraId="00000105">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2yvx16443hia" w:id="12"/>
      <w:bookmarkEnd w:id="12"/>
      <w:r w:rsidDel="00000000" w:rsidR="00000000" w:rsidRPr="00000000">
        <w:rPr>
          <w:rFonts w:ascii="Calibri" w:cs="Calibri" w:eastAsia="Calibri" w:hAnsi="Calibri"/>
          <w:color w:val="0a253e"/>
          <w:sz w:val="25"/>
          <w:szCs w:val="25"/>
          <w:rtl w:val="0"/>
        </w:rPr>
        <w:t xml:space="preserve">2.2 Relación con las competencias del perfil de egreso</w:t>
      </w:r>
    </w:p>
    <w:p w:rsidR="00000000" w:rsidDel="00000000" w:rsidP="00000000" w:rsidRDefault="00000000" w:rsidRPr="00000000" w14:paraId="00000106">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exige las seis competencias del perfil de egreso de Ingeniería en Informática, y ninguna de forma decorativa.</w:t>
      </w:r>
    </w:p>
    <w:p w:rsidR="00000000" w:rsidDel="00000000" w:rsidP="00000000" w:rsidRDefault="00000000" w:rsidRPr="00000000" w14:paraId="00000107">
      <w:pPr>
        <w:spacing w:after="60" w:line="36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 Diseñar y generar soluciones de software innovadoras y de calidad, aplicando el ciclo de vida de este</w:t>
      </w:r>
    </w:p>
    <w:p w:rsidR="00000000" w:rsidDel="00000000" w:rsidP="00000000" w:rsidRDefault="00000000" w:rsidRPr="00000000" w14:paraId="00000108">
      <w:pPr>
        <w:spacing w:after="14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recorre el ciclo completo, desde la definición del problema hasta el despliegue en un entorno de demostración. El sistema se construye como monolito modular en Python con FastAPI, con trece módulos de límite explícito y estructura de dominio, aplicación, infraestructura y API. Las vistas de comercio y operación se desarrollan en React con TypeScript. La integración de componentes y su mantenimiento se sistematizan con Docker, migraciones versionadas e integración continua sobre GitHub Actions.</w:t>
      </w:r>
    </w:p>
    <w:p w:rsidR="00000000" w:rsidDel="00000000" w:rsidP="00000000" w:rsidRDefault="00000000" w:rsidRPr="00000000" w14:paraId="00000109">
      <w:pPr>
        <w:spacing w:after="60" w:line="36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 Diseñar y generar soluciones que resuelvan requerimientos de información, con bases de datos relacionales y no relacionales</w:t>
      </w:r>
    </w:p>
    <w:p w:rsidR="00000000" w:rsidDel="00000000" w:rsidP="00000000" w:rsidRDefault="00000000" w:rsidRPr="00000000" w14:paraId="0000010A">
      <w:pPr>
        <w:spacing w:after="14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resuelve un requerimiento de información concreto, que es saber cuándo se agota cada insumo de una persona cuidada. Usa PostgreSQL como fuente de verdad relacional, con un modelo que sostiene el aislamiento entre familias, comercios y operación sobre una misma base mediante Row Level Security forzado y contexto fijado por transacción. Usa además Redis, un almacén no relacional de clave y valor, para la cola de trabajos asíncronos y el patrón de bandeja de salida transaccional.</w:t>
      </w:r>
    </w:p>
    <w:p w:rsidR="00000000" w:rsidDel="00000000" w:rsidP="00000000" w:rsidRDefault="00000000" w:rsidRPr="00000000" w14:paraId="0000010B">
      <w:pPr>
        <w:spacing w:after="60" w:line="36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 Diseñar y adaptar los procesos de ingeniería de requisitos</w:t>
      </w:r>
    </w:p>
    <w:p w:rsidR="00000000" w:rsidDel="00000000" w:rsidP="00000000" w:rsidRDefault="00000000" w:rsidRPr="00000000" w14:paraId="0000010C">
      <w:pPr>
        <w:spacing w:after="14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41 requisitos funcionales están trazados a módulos y priorizados con MoSCoW, 31 Debe, 5 Debería y 5 Podría, de modo que un requisito sin módulo o un módulo sin requisito se detecta como error de diseño. Los contratos de API se acuerdan antes de la implementación y se verifican contra una especificación OpenAPI versionada. Las hipótesis del problema se someten a un protocolo de entrevistas con criterios de falsación fijados antes de entrevistar.</w:t>
      </w:r>
    </w:p>
    <w:p w:rsidR="00000000" w:rsidDel="00000000" w:rsidP="00000000" w:rsidRDefault="00000000" w:rsidRPr="00000000" w14:paraId="0000010D">
      <w:pPr>
        <w:spacing w:after="60" w:line="36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4. Evaluar y gestionar proyectos durante todo el ciclo de vida, en contextos tradicionales y ágiles</w:t>
      </w:r>
    </w:p>
    <w:p w:rsidR="00000000" w:rsidDel="00000000" w:rsidP="00000000" w:rsidRDefault="00000000" w:rsidRPr="00000000" w14:paraId="0000010E">
      <w:pPr>
        <w:spacing w:after="14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 planifica con capacidad declarada de 390 horas, estimación por tallas y un recorte de alcance de 41 horas aplicado antes de empezar, lo que deja 373 horas comprometidas y un margen de 17 horas. Se trabaja con Scrum adaptado a un equipo de dos personas, con sprints de una semana y reparto del trabajo por ejes verticales. Cada decisión relevante queda registrada como decisión de arquitectura con sus alternativas descartadas y sus consecuencias, que es precisamente lo que significa ofrecer alternativas para la toma de decisiones.</w:t>
      </w:r>
    </w:p>
    <w:p w:rsidR="00000000" w:rsidDel="00000000" w:rsidP="00000000" w:rsidRDefault="00000000" w:rsidRPr="00000000" w14:paraId="0000010F">
      <w:pPr>
        <w:spacing w:after="60" w:line="36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5. Diseñar soluciones conforme a estándares, marcos de trabajo y regulatorios, con foco en calidad, seguridad y sostenibilidad</w:t>
      </w:r>
    </w:p>
    <w:p w:rsidR="00000000" w:rsidDel="00000000" w:rsidP="00000000" w:rsidRDefault="00000000" w:rsidRPr="00000000" w14:paraId="00000110">
      <w:pPr>
        <w:spacing w:after="14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 la competencia más exigida del proyecto. El sistema trata datos sensibles de salud y debe cumplir la Ley 21.719, que entra en plena vigencia el 1 de diciembre de 2026. Eso se traduce en decisiones concretas: Row Level Security forzado en PostgreSQL sobre tres ejes de acceso, cifrado por sobre con AES-256-GCM y una clave por persona cuidada, lo que permite la eliminación efectiva del dato, aritmética entera para el dinero de modo que el prorrateo del pago compartido sume exacto, y una estrategia de pruebas que verifica el aislamiento contra una base de datos real en lugar de suponerlo.</w:t>
      </w:r>
    </w:p>
    <w:p w:rsidR="00000000" w:rsidDel="00000000" w:rsidP="00000000" w:rsidRDefault="00000000" w:rsidRPr="00000000" w14:paraId="00000111">
      <w:pPr>
        <w:spacing w:after="14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2">
      <w:pPr>
        <w:spacing w:after="140" w:line="36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3">
      <w:pPr>
        <w:spacing w:after="60" w:line="360" w:lineRule="auto"/>
        <w:ind w:left="72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6. Desarrollar proyectos de software para plataformas y dispositivos móviles</w:t>
      </w:r>
    </w:p>
    <w:p w:rsidR="00000000" w:rsidDel="00000000" w:rsidP="00000000" w:rsidRDefault="00000000" w:rsidRPr="00000000" w14:paraId="00000114">
      <w:pPr>
        <w:spacing w:after="140" w:line="360" w:lineRule="auto"/>
        <w:ind w:left="72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aplicación de la familia se desarrolla en Flutter sobre un núcleo compartido, con criterios de accesibilidad declarados y verificables: área táctil mínima, contraste y funcionamiento con el texto ampliado al 200%, porque el usuario central es un cuidador principal que con frecuencia tiene más de 60 años. El acceso del cuidador de relevo se resuelve también desde el móvil, mediante un enlace con vencimiento y alcance por sección.</w:t>
      </w:r>
    </w:p>
    <w:p w:rsidR="00000000" w:rsidDel="00000000" w:rsidP="00000000" w:rsidRDefault="00000000" w:rsidRPr="00000000" w14:paraId="00000115">
      <w:pPr>
        <w:pStyle w:val="Heading2"/>
        <w:keepNext w:val="0"/>
        <w:keepLines w:val="0"/>
        <w:spacing w:after="140" w:before="260" w:line="276" w:lineRule="auto"/>
        <w:jc w:val="center"/>
        <w:rPr>
          <w:rFonts w:ascii="Calibri" w:cs="Calibri" w:eastAsia="Calibri" w:hAnsi="Calibri"/>
          <w:color w:val="0a253e"/>
          <w:sz w:val="25"/>
          <w:szCs w:val="25"/>
        </w:rPr>
      </w:pPr>
      <w:bookmarkStart w:colFirst="0" w:colLast="0" w:name="_heading=h.l7rdma4cn8ih" w:id="13"/>
      <w:bookmarkEnd w:id="13"/>
      <w:r w:rsidDel="00000000" w:rsidR="00000000" w:rsidRPr="00000000">
        <w:rPr>
          <w:rtl w:val="0"/>
        </w:rPr>
      </w:r>
    </w:p>
    <w:p w:rsidR="00000000" w:rsidDel="00000000" w:rsidP="00000000" w:rsidRDefault="00000000" w:rsidRPr="00000000" w14:paraId="00000116">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nfle95k50hzh" w:id="14"/>
      <w:bookmarkEnd w:id="14"/>
      <w:r w:rsidDel="00000000" w:rsidR="00000000" w:rsidRPr="00000000">
        <w:rPr>
          <w:rFonts w:ascii="Calibri" w:cs="Calibri" w:eastAsia="Calibri" w:hAnsi="Calibri"/>
          <w:color w:val="0a253e"/>
          <w:sz w:val="25"/>
          <w:szCs w:val="25"/>
          <w:rtl w:val="0"/>
        </w:rPr>
        <w:t xml:space="preserve">2.3 Relación con los intereses profesionales</w:t>
      </w:r>
    </w:p>
    <w:p w:rsidR="00000000" w:rsidDel="00000000" w:rsidP="00000000" w:rsidRDefault="00000000" w:rsidRPr="00000000" w14:paraId="00000117">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Jorge Espinoza</w:t>
      </w:r>
    </w:p>
    <w:p w:rsidR="00000000" w:rsidDel="00000000" w:rsidP="00000000" w:rsidRDefault="00000000" w:rsidRPr="00000000" w14:paraId="00000118">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 interés profesional está en el cruce entre el desarrollo de software y el ámbito sociosanitario, y en particular en sistemas que trabajan con información sensible de personas en situación de vulnerabilidad. Mi formación previa es en psicología clínica, de modo que conozco el problema del cuidador desde adentro: no lo encontré en una revisión bibliográfica, lo vi en consulta.</w:t>
      </w:r>
    </w:p>
    <w:p w:rsidR="00000000" w:rsidDel="00000000" w:rsidP="00000000" w:rsidRDefault="00000000" w:rsidRPr="00000000" w14:paraId="00000119">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MATU me permite ejercer esa combinación en un mismo proyecto, definiendo un dominio que entiendo y construyendo la solución con las competencias de la carrera. Me orienta hacia el área en la que quiero desempeñarme, que es el diseño de sistemas de información en salud y cuidados, con foco en privacidad y cumplimiento normativo.</w:t>
      </w:r>
    </w:p>
    <w:p w:rsidR="00000000" w:rsidDel="00000000" w:rsidP="00000000" w:rsidRDefault="00000000" w:rsidRPr="00000000" w14:paraId="0000011A">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Martín Henríquez</w:t>
      </w:r>
    </w:p>
    <w:p w:rsidR="00000000" w:rsidDel="00000000" w:rsidP="00000000" w:rsidRDefault="00000000" w:rsidRPr="00000000" w14:paraId="0000011B">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 interés profesional se centra en la dirección ágil de proyectos tecnológicos y el desarrollo de emprendimientos enfocados en los sectores Healthtech y Fintech. A lo largo de la carrera he consolidado una fuerte vocación por la planificación estructurada, la administración de portales y el liderazgo técnico mediante marcos de trabajo formales.</w:t>
      </w:r>
    </w:p>
    <w:p w:rsidR="00000000" w:rsidDel="00000000" w:rsidP="00000000" w:rsidRDefault="00000000" w:rsidRPr="00000000" w14:paraId="0000011C">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MATU representa el desafío perfecto para integrar estos elementos. Me permite ejercer el liderazgo metodológico del equipo como Scrum Master y aplicar mi experiencia operativa, al mismo tiempo que fortalezco de manera práctica mis competencias en codificación y programación pura. Este proyecto articula exactamente las habilidades que necesito para acercarme a mi proyección a mediano plazo, que es desempeñarme como gestor de proyectos TI.</w:t>
      </w:r>
    </w:p>
    <w:p w:rsidR="00000000" w:rsidDel="00000000" w:rsidP="00000000" w:rsidRDefault="00000000" w:rsidRPr="00000000" w14:paraId="0000011D">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Contribución al desarrollo profesional del equipo</w:t>
      </w:r>
    </w:p>
    <w:p w:rsidR="00000000" w:rsidDel="00000000" w:rsidP="00000000" w:rsidRDefault="00000000" w:rsidRPr="00000000" w14:paraId="0000011E">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obliga a resolver problemas que no aparecen en un trabajo de asignatura: aislamiento multi-tenant verificable, cifrado con custodia de claves, orquestación de un pago compartido sobre una pasarela que no lo soporta de forma nativa, y cumplimiento de la Ley 21.719 sobre datos sensibles, que entra en plena vigencia el 1 de diciembre de 2026. Son exactamente las capacidades que exige el mercado laboral chileno en desarrollo de software con datos regulados.</w:t>
      </w:r>
    </w:p>
    <w:p w:rsidR="00000000" w:rsidDel="00000000" w:rsidP="00000000" w:rsidRDefault="00000000" w:rsidRPr="00000000" w14:paraId="0000011F">
      <w:pPr>
        <w:pStyle w:val="Heading2"/>
        <w:keepNext w:val="0"/>
        <w:keepLines w:val="0"/>
        <w:spacing w:after="140" w:before="260" w:line="276" w:lineRule="auto"/>
        <w:jc w:val="center"/>
        <w:rPr>
          <w:rFonts w:ascii="Calibri" w:cs="Calibri" w:eastAsia="Calibri" w:hAnsi="Calibri"/>
          <w:color w:val="0a253e"/>
          <w:sz w:val="25"/>
          <w:szCs w:val="25"/>
        </w:rPr>
      </w:pPr>
      <w:bookmarkStart w:colFirst="0" w:colLast="0" w:name="_heading=h.dplev5r8z0kk" w:id="15"/>
      <w:bookmarkEnd w:id="15"/>
      <w:r w:rsidDel="00000000" w:rsidR="00000000" w:rsidRPr="00000000">
        <w:rPr>
          <w:rtl w:val="0"/>
        </w:rPr>
      </w:r>
    </w:p>
    <w:p w:rsidR="00000000" w:rsidDel="00000000" w:rsidP="00000000" w:rsidRDefault="00000000" w:rsidRPr="00000000" w14:paraId="00000120">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qen5hmk3xt70" w:id="16"/>
      <w:bookmarkEnd w:id="16"/>
      <w:r w:rsidDel="00000000" w:rsidR="00000000" w:rsidRPr="00000000">
        <w:rPr>
          <w:rFonts w:ascii="Calibri" w:cs="Calibri" w:eastAsia="Calibri" w:hAnsi="Calibri"/>
          <w:color w:val="0a253e"/>
          <w:sz w:val="25"/>
          <w:szCs w:val="25"/>
          <w:rtl w:val="0"/>
        </w:rPr>
        <w:t xml:space="preserve">2.4 Factibilidad del proyecto en el marco de la asignatura</w:t>
      </w:r>
    </w:p>
    <w:p w:rsidR="00000000" w:rsidDel="00000000" w:rsidP="00000000" w:rsidRDefault="00000000" w:rsidRPr="00000000" w14:paraId="00000121">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Duración del semestre y horas asignadas</w:t>
      </w:r>
    </w:p>
    <w:p w:rsidR="00000000" w:rsidDel="00000000" w:rsidP="00000000" w:rsidRDefault="00000000" w:rsidRPr="00000000" w14:paraId="00000122">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 desarrolla en 18 semanas repartidas en tres fases. La construcción ocupa un sprint 0 de preparación más doce sprints de una semana. El equipo declara una capacidad de 15 horas semanales por persona, compatibles con trabajo y otras asignaturas, lo que da 30 horas por sprint y 390 horas de capacidad total en el semestre.</w:t>
      </w:r>
    </w:p>
    <w:p w:rsidR="00000000" w:rsidDel="00000000" w:rsidP="00000000" w:rsidRDefault="00000000" w:rsidRPr="00000000" w14:paraId="00000123">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alcance se estimó por tallas y sumaba 414 horas, es decir, no cabía. Se aplicó un recorte explícito de 41 horas, que sacó del alcance comprometido la aplicación de repartidor, el seguimiento de posición en tiempo real, la liquidación automática y los indicadores avanzados del backoffice. El alcance comprometido quedó en 373 horas contra 390 de capacidad, con 17 horas de holgura. Es poco, y por eso está declarado un orden de sacrificio para el caso de atraso que nunca toca el plan de cuidado, la predicción de quiebre ni el flujo de pago.</w:t>
      </w:r>
    </w:p>
    <w:p w:rsidR="00000000" w:rsidDel="00000000" w:rsidP="00000000" w:rsidRDefault="00000000" w:rsidRPr="00000000" w14:paraId="00000124">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Materiales requeridos</w:t>
      </w:r>
    </w:p>
    <w:p w:rsidR="00000000" w:rsidDel="00000000" w:rsidP="00000000" w:rsidRDefault="00000000" w:rsidRPr="00000000" w14:paraId="00000125">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Todo el software es de código abierto o de nivel gratuito: Python, FastAPI, PostgreSQL, Redis, Flutter, React, Docker y GitHub Actions. Se requiere acceso al ambiente de integración de Transbank, que es gratuito para desarrollo, y un despliegue en plataforma gestionada dentro de niveles gratuitos o de bajo costo. Para las pruebas de usabilidad se requieren tres usuarios reales, y para la validación del problema, diez cuidadores dispuestos a una entrevista de 45 minutos.</w:t>
      </w:r>
    </w:p>
    <w:p w:rsidR="00000000" w:rsidDel="00000000" w:rsidP="00000000" w:rsidRDefault="00000000" w:rsidRPr="00000000" w14:paraId="00000126">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Factores externos que facilitan el desarrollo</w:t>
      </w:r>
    </w:p>
    <w:p w:rsidR="00000000" w:rsidDel="00000000" w:rsidP="00000000" w:rsidRDefault="00000000" w:rsidRPr="00000000" w14:paraId="00000127">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diseño está cerrado como línea base antes de empezar a construir, con requisitos trazados, modelo de datos definido y prototipo navegable de 32 pantallas terminado. La decisión de desacoplar el despacho elimina la única dependencia externa crítica, porque el sistema entrega valor sin ningún comercio en convenio. Para el reclutamiento de entrevistados se contactarán en paralelo agrupaciones de familiares, programas municipales de personas mayores y la red profesional del equipo.</w:t>
      </w:r>
    </w:p>
    <w:p w:rsidR="00000000" w:rsidDel="00000000" w:rsidP="00000000" w:rsidRDefault="00000000" w:rsidRPr="00000000" w14:paraId="00000128">
      <w:pPr>
        <w:spacing w:after="12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Factores externos que lo dificultan, y cómo se resuelven</w:t>
      </w:r>
    </w:p>
    <w:tbl>
      <w:tblPr>
        <w:tblStyle w:val="Table10"/>
        <w:tblW w:w="129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00"/>
        <w:gridCol w:w="9975"/>
        <w:tblGridChange w:id="0">
          <w:tblGrid>
            <w:gridCol w:w="3000"/>
            <w:gridCol w:w="9975"/>
          </w:tblGrid>
        </w:tblGridChange>
      </w:tblGrid>
      <w:tr>
        <w:trPr>
          <w:cantSplit w:val="1"/>
          <w:trHeight w:val="405" w:hRule="atLeast"/>
          <w:tblHeader w:val="0"/>
        </w:trPr>
        <w:tc>
          <w:tcPr>
            <w:tcBorders>
              <w:top w:color="c8cfd6" w:space="0" w:sz="8" w:val="single"/>
              <w:left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29">
            <w:pPr>
              <w:spacing w:line="259.20000000000005"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Riesgo</w:t>
            </w:r>
          </w:p>
        </w:tc>
        <w:tc>
          <w:tcPr>
            <w:tcBorders>
              <w:top w:color="c8cfd6" w:space="0" w:sz="8" w:val="single"/>
              <w:bottom w:color="000000" w:space="0" w:sz="8" w:val="single"/>
              <w:right w:color="c8cfd6"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2A">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Mitigación</w:t>
            </w:r>
          </w:p>
        </w:tc>
      </w:tr>
      <w:tr>
        <w:trPr>
          <w:cantSplit w:val="0"/>
          <w:trHeight w:val="106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B">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Que un cuidador agotado no complete el plan de cuidado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2C">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 el riesgo de mayor criticidad del proyecto. Se valida con entrevistas antes del sprint 2. Si se refuta, existe un plan B ya diseñado que reduce la capa 1 a tres campos y traslada el peso del producto a la capa 2, con un costo menor a un sprint.</w:t>
            </w:r>
          </w:p>
        </w:tc>
      </w:tr>
      <w:tr>
        <w:trPr>
          <w:cantSplit w:val="0"/>
          <w:trHeight w:val="106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Que la captura diferida de Transbank no opere sobre débito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2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débito es medio de pago mayoritario en el segmento objetivo. Se verifica con una prueba de concepto en el sprint 0 contra el ambiente de integración. Si se confirma, la aplicación rechaza débito en el flujo con reparto y lo advierte en la interfaz.</w:t>
            </w:r>
          </w:p>
        </w:tc>
      </w:tr>
      <w:tr>
        <w:trPr>
          <w:cantSplit w:val="0"/>
          <w:trHeight w:val="84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Que no se consiga un comercio dispuesto a convenio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3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diseño ya lo neutraliza. Sin convenio, la familia exporta su lista de reposición y el sistema conserva su valor central. El entorno de demostración es entregable del sprint 6 y no del último.</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lograr reclutar diez cuidadores</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3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mitiga contactando tres canales en paralelo. Con seis entrevistas se puede tomar la decisión.</w:t>
            </w:r>
          </w:p>
        </w:tc>
      </w:tr>
      <w:tr>
        <w:trPr>
          <w:cantSplit w:val="0"/>
          <w:trHeight w:val="630" w:hRule="atLeast"/>
          <w:tblHeader w:val="0"/>
        </w:trPr>
        <w:tc>
          <w:tcPr>
            <w:tcBorders>
              <w:left w:color="c8cfd6" w:space="0" w:sz="8" w:val="single"/>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Ser un equipo de dos personas sin dedicación completa</w:t>
            </w:r>
          </w:p>
        </w:tc>
        <w:tc>
          <w:tcPr>
            <w:tcBorders>
              <w:bottom w:color="c8cfd6"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34">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mitiga con el reparto por ejes verticales descrito en la metodología, que evita el bloqueo mutuo entre integrantes.</w:t>
            </w:r>
          </w:p>
        </w:tc>
      </w:tr>
    </w:tbl>
    <w:p w:rsidR="00000000" w:rsidDel="00000000" w:rsidP="00000000" w:rsidRDefault="00000000" w:rsidRPr="00000000" w14:paraId="00000135">
      <w:pPr>
        <w:spacing w:after="20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136">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4tf95t7un5kn" w:id="17"/>
      <w:bookmarkEnd w:id="17"/>
      <w:r w:rsidDel="00000000" w:rsidR="00000000" w:rsidRPr="00000000">
        <w:rPr>
          <w:rFonts w:ascii="Calibri" w:cs="Calibri" w:eastAsia="Calibri" w:hAnsi="Calibri"/>
          <w:color w:val="0a253e"/>
          <w:sz w:val="25"/>
          <w:szCs w:val="25"/>
          <w:rtl w:val="0"/>
        </w:rPr>
        <w:t xml:space="preserve">2.5 Objetivos</w:t>
      </w:r>
    </w:p>
    <w:p w:rsidR="00000000" w:rsidDel="00000000" w:rsidP="00000000" w:rsidRDefault="00000000" w:rsidRPr="00000000" w14:paraId="00000137">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Objetivo general</w:t>
      </w:r>
    </w:p>
    <w:p w:rsidR="00000000" w:rsidDel="00000000" w:rsidP="00000000" w:rsidRDefault="00000000" w:rsidRPr="00000000" w14:paraId="00000138">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una plataforma informática que convierta el plan de cuidado de una persona mayor en situación de dependencia en una predicción de consumo de insumos, y que coordine la reposición y el pago compartido entre los familiares que sostienen ese cuidado, aplicando prácticas de ingeniería de software, modelamiento de datos y aseguramiento de calidad, en un piloto acotado a una comuna de la Región Metropolitana.</w:t>
      </w:r>
    </w:p>
    <w:p w:rsidR="00000000" w:rsidDel="00000000" w:rsidP="00000000" w:rsidRDefault="00000000" w:rsidRPr="00000000" w14:paraId="00000139">
      <w:pPr>
        <w:spacing w:after="10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Objetivos específicos</w:t>
      </w:r>
    </w:p>
    <w:p w:rsidR="00000000" w:rsidDel="00000000" w:rsidP="00000000" w:rsidRDefault="00000000" w:rsidRPr="00000000" w14:paraId="0000013A">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Modelar e implementar el plan de cuidado como un conjunto de secciones cifradas, compartible con un cuidador de relevo mediante un acceso temporal, acotado por sección y revocable, con registro de auditoría de todo acceso.</w:t>
      </w:r>
    </w:p>
    <w:p w:rsidR="00000000" w:rsidDel="00000000" w:rsidP="00000000" w:rsidRDefault="00000000" w:rsidRPr="00000000" w14:paraId="0000013B">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Implementar el cálculo de fecha de quiebre de cada insumo a partir del perfil de consumo declarado por el cuidador, y generar la lista de reposición y las alertas correspondientes.</w:t>
      </w:r>
    </w:p>
    <w:p w:rsidR="00000000" w:rsidDel="00000000" w:rsidP="00000000" w:rsidRDefault="00000000" w:rsidRPr="00000000" w14:paraId="0000013C">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Diseñar e implementar un modelo de datos multi-tenant con aislamiento verificable entre grupos familiares, comercios y operación, y con cifrado de los datos sensibles que permita su eliminación efectiva.</w:t>
      </w:r>
    </w:p>
    <w:p w:rsidR="00000000" w:rsidDel="00000000" w:rsidP="00000000" w:rsidRDefault="00000000" w:rsidRPr="00000000" w14:paraId="0000013D">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Construir el flujo de pedido con reparto del gasto entre varios familiares, mediante autorización diferida y captura por el monto real, garantizando que la suma de lo capturado sea exacta.</w:t>
      </w:r>
    </w:p>
    <w:p w:rsidR="00000000" w:rsidDel="00000000" w:rsidP="00000000" w:rsidRDefault="00000000" w:rsidRPr="00000000" w14:paraId="0000013E">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Validar con cuidadores reales las hipótesis de las que depende el proyecto, con criterios de falsación fijados por escrito antes de entrevistar, y recalcular la viabilidad económica con los valores medidos.</w:t>
      </w:r>
    </w:p>
    <w:p w:rsidR="00000000" w:rsidDel="00000000" w:rsidP="00000000" w:rsidRDefault="00000000" w:rsidRPr="00000000" w14:paraId="0000013F">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Verificar el cumplimiento de la Ley 21.719 sobre protección de datos personales en el tratamiento de la información de la persona cuidada, incluyendo consentimiento y derecho de eliminación.</w:t>
      </w:r>
    </w:p>
    <w:p w:rsidR="00000000" w:rsidDel="00000000" w:rsidP="00000000" w:rsidRDefault="00000000" w:rsidRPr="00000000" w14:paraId="00000140">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Establecer una estrategia de calidad con pruebas automatizadas de aislamiento, de reglas de arquitectura y del flujo de pago, ejecutadas en integración continua en cada cambio.</w:t>
      </w:r>
    </w:p>
    <w:p w:rsidR="00000000" w:rsidDel="00000000" w:rsidP="00000000" w:rsidRDefault="00000000" w:rsidRPr="00000000" w14:paraId="00000141">
      <w:pPr>
        <w:spacing w:after="100" w:line="360" w:lineRule="auto"/>
        <w:ind w:left="9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r w:rsidDel="00000000" w:rsidR="00000000" w:rsidRPr="00000000">
        <w:rPr>
          <w:sz w:val="24"/>
          <w:szCs w:val="24"/>
          <w:rtl w:val="0"/>
        </w:rPr>
        <w:t xml:space="preserve">  </w:t>
        <w:tab/>
      </w:r>
      <w:r w:rsidDel="00000000" w:rsidR="00000000" w:rsidRPr="00000000">
        <w:rPr>
          <w:rFonts w:ascii="Calibri" w:cs="Calibri" w:eastAsia="Calibri" w:hAnsi="Calibri"/>
          <w:sz w:val="24"/>
          <w:szCs w:val="24"/>
          <w:rtl w:val="0"/>
        </w:rPr>
        <w:t xml:space="preserve">Documentar las decisiones de arquitectura con sus alternativas descartadas y sus consecuencias, de modo que el proyecto sea mantenible por un equipo distinto.</w:t>
      </w:r>
    </w:p>
    <w:p w:rsidR="00000000" w:rsidDel="00000000" w:rsidP="00000000" w:rsidRDefault="00000000" w:rsidRPr="00000000" w14:paraId="00000142">
      <w:pPr>
        <w:spacing w:after="100" w:line="360" w:lineRule="auto"/>
        <w:ind w:left="940" w:hanging="36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3">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cwp7vbu41yd0" w:id="18"/>
      <w:bookmarkEnd w:id="18"/>
      <w:r w:rsidDel="00000000" w:rsidR="00000000" w:rsidRPr="00000000">
        <w:rPr>
          <w:rFonts w:ascii="Calibri" w:cs="Calibri" w:eastAsia="Calibri" w:hAnsi="Calibri"/>
          <w:color w:val="0a253e"/>
          <w:sz w:val="25"/>
          <w:szCs w:val="25"/>
          <w:rtl w:val="0"/>
        </w:rPr>
        <w:t xml:space="preserve">2.6 Metodología de trabajo</w:t>
      </w:r>
    </w:p>
    <w:p w:rsidR="00000000" w:rsidDel="00000000" w:rsidP="00000000" w:rsidRDefault="00000000" w:rsidRPr="00000000" w14:paraId="00000144">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utiliza Scrum adaptado a un equipo de dos personas, con sprints de una semana. El semestre se organiza en un sprint 0 de preparación y doce sprints de construcción. La elección de sprints cortos es deliberada: con quince horas semanales por persona, un sprint de dos semanas concentra demasiado riesgo antes de la primera revisión.</w:t>
      </w:r>
    </w:p>
    <w:p w:rsidR="00000000" w:rsidDel="00000000" w:rsidP="00000000" w:rsidRDefault="00000000" w:rsidRPr="00000000" w14:paraId="00000145">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sprint cierra con un entregable verificable y no con una demostración de avance. El criterio de terminado exige código integrado en la rama principal, pruebas en verde en el pipeline de integración continua y documentación actualizada.</w:t>
      </w:r>
    </w:p>
    <w:p w:rsidR="00000000" w:rsidDel="00000000" w:rsidP="00000000" w:rsidRDefault="00000000" w:rsidRPr="00000000" w14:paraId="00000146">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ceremonias son planificación al inicio de cada sprint, revisión y retrospectiva al cierre, y una reunión breve de sincronización a mitad de semana. Con dos personas la ceremonia diaria no aporta y se reemplaza por comunicación asíncrona sobre el tablero de GitHub Projects.</w:t>
      </w:r>
    </w:p>
    <w:p w:rsidR="00000000" w:rsidDel="00000000" w:rsidP="00000000" w:rsidRDefault="00000000" w:rsidRPr="00000000" w14:paraId="00000147">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Fase 1, de definición, cubre el problema, la arquitectura, el prototipo y la validación con cuidadores. La Fase 2, de construcción, comprende los doce sprints en el orden capa 1, capa 2 y capa 3, de modo que exista producto demostrable de punta a punta en el sprint 3 y no al final del semestre. La Fase 3, de cierre, cubre el endurecimiento, las pruebas de carga, el despliegue, el informe final y la defensa.</w:t>
      </w:r>
    </w:p>
    <w:p w:rsidR="00000000" w:rsidDel="00000000" w:rsidP="00000000" w:rsidRDefault="00000000" w:rsidRPr="00000000" w14:paraId="00000148">
      <w:pPr>
        <w:spacing w:after="6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Funciones, tareas y responsabilidades por integrante</w:t>
      </w:r>
    </w:p>
    <w:p w:rsidR="00000000" w:rsidDel="00000000" w:rsidP="00000000" w:rsidRDefault="00000000" w:rsidRPr="00000000" w14:paraId="00000149">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reparto del trabajo es por eje vertical y no por capa técnica. El error clásico en un equipo de dos es que uno construya todo el backend y el otro todo el frontend, con lo cual el segundo siempre espera un endpoint. Aquí cada integrante es responsable de sus módulos de extremo a extremo.</w:t>
      </w:r>
    </w:p>
    <w:tbl>
      <w:tblPr>
        <w:tblStyle w:val="Table11"/>
        <w:tblW w:w="130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30"/>
        <w:gridCol w:w="3015"/>
        <w:gridCol w:w="8205"/>
        <w:tblGridChange w:id="0">
          <w:tblGrid>
            <w:gridCol w:w="1830"/>
            <w:gridCol w:w="3015"/>
            <w:gridCol w:w="8205"/>
          </w:tblGrid>
        </w:tblGridChange>
      </w:tblGrid>
      <w:tr>
        <w:trPr>
          <w:cantSplit w:val="0"/>
          <w:trHeight w:val="405" w:hRule="atLeast"/>
          <w:tblHeader w:val="0"/>
        </w:trPr>
        <w:tc>
          <w:tcPr>
            <w:tcBorders>
              <w:top w:color="c8cfd6" w:space="0" w:sz="8" w:val="single"/>
              <w:left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4A">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Integrante</w:t>
            </w:r>
          </w:p>
        </w:tc>
        <w:tc>
          <w:tcPr>
            <w:tcBorders>
              <w:top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4B">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Rol</w:t>
            </w:r>
          </w:p>
        </w:tc>
        <w:tc>
          <w:tcPr>
            <w:tcBorders>
              <w:top w:color="c8cfd6" w:space="0" w:sz="8" w:val="single"/>
              <w:bottom w:color="000000" w:space="0" w:sz="8" w:val="single"/>
              <w:right w:color="c8cfd6"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4C">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Responsabilidades</w:t>
            </w:r>
          </w:p>
        </w:tc>
      </w:tr>
      <w:tr>
        <w:trPr>
          <w:cantSplit w:val="0"/>
          <w:trHeight w:val="127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Jorge Espinoza</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Product Owner y desarrollador del eje A, Cuidado y consumo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4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Módulos care_plan, consumption, catalog y replenishment. Definición y priorización del backlog. Protocolo de validación con cuidadores y su ejecución. Diseño de interacción y criterios de accesibilidad.</w:t>
            </w:r>
          </w:p>
        </w:tc>
      </w:tr>
      <w:tr>
        <w:trPr>
          <w:cantSplit w:val="0"/>
          <w:trHeight w:val="127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Martín Henríquez</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Scrum Master y desarrollador del eje B, Identidad, dinero y operación</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5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Módulos iam, care_circle, ordering, payments, settlement y backoffice. Integración con Transbank y su prueba de concepto. Pipeline de integración continua. Facilitación de ceremonias y seguimiento del tablero.</w:t>
            </w:r>
          </w:p>
        </w:tc>
      </w:tr>
      <w:tr>
        <w:trPr>
          <w:cantSplit w:val="0"/>
          <w:trHeight w:val="840" w:hRule="atLeast"/>
          <w:tblHeader w:val="0"/>
        </w:trPr>
        <w:tc>
          <w:tcPr>
            <w:tcBorders>
              <w:left w:color="c8cfd6" w:space="0" w:sz="8" w:val="single"/>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Trabajo conjunto</w:t>
            </w:r>
          </w:p>
        </w:tc>
        <w:tc>
          <w:tcPr>
            <w:tcBorders>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4">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Ambos integrantes</w:t>
            </w:r>
          </w:p>
        </w:tc>
        <w:tc>
          <w:tcPr>
            <w:tcBorders>
              <w:bottom w:color="c8cfd6"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5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Paquete compartido de la aplicación móvil en el sprint 4. Documento de arquitectura, informe final y defensa.</w:t>
            </w:r>
          </w:p>
        </w:tc>
      </w:tr>
    </w:tbl>
    <w:p w:rsidR="00000000" w:rsidDel="00000000" w:rsidP="00000000" w:rsidRDefault="00000000" w:rsidRPr="00000000" w14:paraId="00000156">
      <w:pPr>
        <w:spacing w:after="20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157">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Rigen tres reglas de coordinación. La primera, el contrato de API se acuerda y se integra antes que la implementación, de modo que quien consume trabaja contra un doble de prueba sin esperar al otro. La segunda, nadie edita módulos del eje ajeno, y si se necesita un cambio se solicita. La tercera, las migraciones de base de datos se revisan siempre entre los dos, porque es el único punto del repositorio donde dos ramas paralelas producen un conflicto que no se resuelve solo.</w:t>
      </w:r>
    </w:p>
    <w:p w:rsidR="00000000" w:rsidDel="00000000" w:rsidP="00000000" w:rsidRDefault="00000000" w:rsidRPr="00000000" w14:paraId="00000158">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avance se controla con el tablero de GitHub Projects, la revisión por pares obligatoria sobre cada cambio y el pipeline de integración continua como criterio objetivo de terminado. El alcance se revisa al cierre de cada sprint contra la capacidad declarada, y ante atraso se aplica el orden de sacrificio definido en el plan.</w:t>
      </w:r>
    </w:p>
    <w:p w:rsidR="00000000" w:rsidDel="00000000" w:rsidP="00000000" w:rsidRDefault="00000000" w:rsidRPr="00000000" w14:paraId="00000159">
      <w:pPr>
        <w:spacing w:after="140" w:line="36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5A">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hncxdk6l6skd" w:id="19"/>
      <w:bookmarkEnd w:id="19"/>
      <w:r w:rsidDel="00000000" w:rsidR="00000000" w:rsidRPr="00000000">
        <w:rPr>
          <w:rFonts w:ascii="Calibri" w:cs="Calibri" w:eastAsia="Calibri" w:hAnsi="Calibri"/>
          <w:color w:val="0a253e"/>
          <w:sz w:val="25"/>
          <w:szCs w:val="25"/>
          <w:rtl w:val="0"/>
        </w:rPr>
        <w:t xml:space="preserve">2.7 Plan de trabajo</w:t>
      </w:r>
    </w:p>
    <w:p w:rsidR="00000000" w:rsidDel="00000000" w:rsidP="00000000" w:rsidRDefault="00000000" w:rsidRPr="00000000" w14:paraId="0000015B">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plan comprende doce actividades distribuidas en las tres fases del semestre. El detalle completo, con recursos, facilitadores y obstaculizadores por actividad, está en la guía de definición del proyecto y en el documento de arquitectura.</w:t>
      </w:r>
    </w:p>
    <w:tbl>
      <w:tblPr>
        <w:tblStyle w:val="Table12"/>
        <w:tblW w:w="130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270"/>
        <w:gridCol w:w="3750"/>
        <w:gridCol w:w="2985"/>
        <w:tblGridChange w:id="0">
          <w:tblGrid>
            <w:gridCol w:w="6270"/>
            <w:gridCol w:w="3750"/>
            <w:gridCol w:w="2985"/>
          </w:tblGrid>
        </w:tblGridChange>
      </w:tblGrid>
      <w:tr>
        <w:trPr>
          <w:cantSplit w:val="0"/>
          <w:trHeight w:val="405" w:hRule="atLeast"/>
          <w:tblHeader w:val="0"/>
        </w:trPr>
        <w:tc>
          <w:tcPr>
            <w:tcBorders>
              <w:top w:color="c8cfd6" w:space="0" w:sz="8" w:val="single"/>
              <w:left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5C">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Actividad</w:t>
            </w:r>
          </w:p>
        </w:tc>
        <w:tc>
          <w:tcPr>
            <w:tcBorders>
              <w:top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5D">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Duración</w:t>
            </w:r>
          </w:p>
        </w:tc>
        <w:tc>
          <w:tcPr>
            <w:tcBorders>
              <w:top w:color="c8cfd6" w:space="0" w:sz="8" w:val="single"/>
              <w:bottom w:color="000000" w:space="0" w:sz="8" w:val="single"/>
              <w:right w:color="c8cfd6"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5E">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Responsable</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Definición del proyecto y arquitectura</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semanas (Fase 1)</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6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Ambos</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Validación del problema con cuidadores</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semana (semanas 3 a 4)</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64">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Jorge Espinoza</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Preparación técnica y prueba de concepto de pagos</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6">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semana (sprint 0)</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67">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Martín Henríquez</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8">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Modelo de datos y aislamiento multi-tenant</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9">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semanas (sprints 1 y 2)</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6A">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Martín Henríquez</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B">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Capa 1 · Plan de cuidado</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C">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semanas (sprints 2 y 3)</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6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Jorge Espinoza</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Aplicación móvil de la familia</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semana (sprint 4) y refuerzo en sprints 10 a 12</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7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Ambos</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Capa 2 · Consumo, predicción y reposición</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semanas (sprints 5 y 6)</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7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Jorge Espinoza</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4">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Capa 3 · Pedido y pago compartido</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semanas (sprints 7 a 9)</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76">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Martín Henríquez</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7">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Cumplimiento y operación</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8">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semanas (sprints 10 y 11)</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79">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Martín Henríquez</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A">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Pruebas de usabilidad y accesibilidad</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B">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semana (antes del sprint 10)</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7C">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Jorge Espinoza</w:t>
            </w:r>
          </w:p>
        </w:tc>
      </w:tr>
      <w:tr>
        <w:trPr>
          <w:cantSplit w:val="0"/>
          <w:trHeight w:val="40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Cierre, endurecimiento y despliegue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semana (sprint 12)</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7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Ambos</w:t>
            </w:r>
          </w:p>
        </w:tc>
      </w:tr>
      <w:tr>
        <w:trPr>
          <w:cantSplit w:val="0"/>
          <w:trHeight w:val="405" w:hRule="atLeast"/>
          <w:tblHeader w:val="0"/>
        </w:trPr>
        <w:tc>
          <w:tcPr>
            <w:tcBorders>
              <w:left w:color="c8cfd6" w:space="0" w:sz="8" w:val="single"/>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 final y defensa</w:t>
            </w:r>
          </w:p>
        </w:tc>
        <w:tc>
          <w:tcPr>
            <w:tcBorders>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semanas (Fase 3)</w:t>
            </w:r>
          </w:p>
        </w:tc>
        <w:tc>
          <w:tcPr>
            <w:tcBorders>
              <w:bottom w:color="c8cfd6"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8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Ambos</w:t>
            </w:r>
          </w:p>
        </w:tc>
      </w:tr>
    </w:tbl>
    <w:p w:rsidR="00000000" w:rsidDel="00000000" w:rsidP="00000000" w:rsidRDefault="00000000" w:rsidRPr="00000000" w14:paraId="00000183">
      <w:pPr>
        <w:spacing w:after="20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184">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eyc8jvnx1bqe" w:id="20"/>
      <w:bookmarkEnd w:id="20"/>
      <w:r w:rsidDel="00000000" w:rsidR="00000000" w:rsidRPr="00000000">
        <w:rPr>
          <w:rFonts w:ascii="Calibri" w:cs="Calibri" w:eastAsia="Calibri" w:hAnsi="Calibri"/>
          <w:color w:val="0a253e"/>
          <w:sz w:val="25"/>
          <w:szCs w:val="25"/>
          <w:rtl w:val="0"/>
        </w:rPr>
        <w:t xml:space="preserve">2.8 Evidencias comprometidas</w:t>
      </w:r>
    </w:p>
    <w:p w:rsidR="00000000" w:rsidDel="00000000" w:rsidP="00000000" w:rsidRDefault="00000000" w:rsidRPr="00000000" w14:paraId="00000185">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evidencias se agrupan en dos momentos. Las de avance permiten verificar el desarrollo durante el semestre y las finales dan cuenta del resultado del proyecto.</w:t>
      </w:r>
    </w:p>
    <w:tbl>
      <w:tblPr>
        <w:tblStyle w:val="Table13"/>
        <w:tblW w:w="130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75"/>
        <w:gridCol w:w="3390"/>
        <w:gridCol w:w="8340"/>
        <w:tblGridChange w:id="0">
          <w:tblGrid>
            <w:gridCol w:w="1275"/>
            <w:gridCol w:w="3390"/>
            <w:gridCol w:w="8340"/>
          </w:tblGrid>
        </w:tblGridChange>
      </w:tblGrid>
      <w:tr>
        <w:trPr>
          <w:cantSplit w:val="0"/>
          <w:trHeight w:val="405" w:hRule="atLeast"/>
          <w:tblHeader w:val="0"/>
        </w:trPr>
        <w:tc>
          <w:tcPr>
            <w:tcBorders>
              <w:top w:color="c8cfd6" w:space="0" w:sz="8" w:val="single"/>
              <w:left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86">
            <w:pPr>
              <w:spacing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Tipo</w:t>
            </w:r>
          </w:p>
        </w:tc>
        <w:tc>
          <w:tcPr>
            <w:tcBorders>
              <w:top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87">
            <w:pPr>
              <w:spacing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Evidencia</w:t>
            </w:r>
          </w:p>
        </w:tc>
        <w:tc>
          <w:tcPr>
            <w:tcBorders>
              <w:top w:color="c8cfd6" w:space="0" w:sz="8" w:val="single"/>
              <w:bottom w:color="000000" w:space="0" w:sz="8" w:val="single"/>
              <w:right w:color="c8cfd6"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88">
            <w:pPr>
              <w:spacing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r>
      <w:tr>
        <w:trPr>
          <w:cantSplit w:val="0"/>
          <w:trHeight w:val="106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9">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A">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Documento de arquitectura</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8B">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Línea base con 41 requisitos trazados a módulos, 13 diagramas, modelo de datos, contratos de API, estrategia de calidad y 24 decisiones fundamentadas.</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C">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Prototipo navegable de interfaz</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8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32 pantallas en siete recorridos, con criterios de accesibilidad declarados y verificados.</w:t>
            </w:r>
          </w:p>
        </w:tc>
      </w:tr>
      <w:tr>
        <w:trPr>
          <w:cantSplit w:val="0"/>
          <w:trHeight w:val="84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8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 de validación con cuidadores</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9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Diez entrevistas con siete hipótesis y criterios de falsación fijados por escrito antes de entrevistar, más el recálculo de la viabilidad económica.</w:t>
            </w:r>
          </w:p>
        </w:tc>
      </w:tr>
      <w:tr>
        <w:trPr>
          <w:cantSplit w:val="0"/>
          <w:trHeight w:val="84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Prueba de concepto de la pasarela de pago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94">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Verificación de autorización diferida, captura parcial, reversa y comportamiento del medio de pago débito.</w:t>
            </w:r>
          </w:p>
        </w:tc>
      </w:tr>
      <w:tr>
        <w:trPr>
          <w:cantSplit w:val="0"/>
          <w:trHeight w:val="84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6">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Repositorio con integración continua</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97">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Pipeline que ejecuta formato, estilo, tipado, escaneo de secretos, migraciones reversibles y suites de pruebas en cada cambio.</w:t>
            </w:r>
          </w:p>
        </w:tc>
      </w:tr>
      <w:tr>
        <w:trPr>
          <w:cantSplit w:val="0"/>
          <w:trHeight w:val="84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8">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9">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Modelo de datos implementado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9A">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Esquema en PostgreSQL con Row Level Security forzado sobre tres ejes de acceso, cifrado por persona cuidada y migraciones reversibles.</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B">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C">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Producto demostrable de la capa 1</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9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Flujo completo de plan de cuidado funcionando de punta a punta, entregable del sprint 3.</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9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Aplicación integrada en operación</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A0">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Aplicación móvil, vista web de comercio y backoffice desplegados en un entorno de demostración.</w:t>
            </w:r>
          </w:p>
        </w:tc>
      </w:tr>
      <w:tr>
        <w:trPr>
          <w:cantSplit w:val="0"/>
          <w:trHeight w:val="63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A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A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 final del proyecto</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A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Resultados, contraste entre lo planificado y lo alcanzado, resultados de las pruebas y conclusiones.</w:t>
            </w:r>
          </w:p>
        </w:tc>
      </w:tr>
      <w:tr>
        <w:trPr>
          <w:cantSplit w:val="0"/>
          <w:trHeight w:val="630" w:hRule="atLeast"/>
          <w:tblHeader w:val="0"/>
        </w:trPr>
        <w:tc>
          <w:tcPr>
            <w:tcBorders>
              <w:left w:color="c8cfd6" w:space="0" w:sz="8" w:val="single"/>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A4">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w:t>
            </w:r>
          </w:p>
        </w:tc>
        <w:tc>
          <w:tcPr>
            <w:tcBorders>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A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Defensa del proyecto</w:t>
            </w:r>
          </w:p>
        </w:tc>
        <w:tc>
          <w:tcPr>
            <w:tcBorders>
              <w:bottom w:color="c8cfd6"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A6">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Presentación ante la comisión con demostración funcional y justificación de las decisiones técnicas.</w:t>
            </w:r>
          </w:p>
        </w:tc>
      </w:tr>
    </w:tbl>
    <w:p w:rsidR="00000000" w:rsidDel="00000000" w:rsidP="00000000" w:rsidRDefault="00000000" w:rsidRPr="00000000" w14:paraId="000001A7">
      <w:pPr>
        <w:spacing w:line="36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A8">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1A9">
      <w:pPr>
        <w:pStyle w:val="Heading1"/>
        <w:keepNext w:val="0"/>
        <w:keepLines w:val="0"/>
        <w:spacing w:after="180" w:before="360" w:line="276" w:lineRule="auto"/>
        <w:jc w:val="center"/>
        <w:rPr>
          <w:rFonts w:ascii="Calibri" w:cs="Calibri" w:eastAsia="Calibri" w:hAnsi="Calibri"/>
          <w:color w:val="0a253e"/>
          <w:sz w:val="30"/>
          <w:szCs w:val="30"/>
        </w:rPr>
      </w:pPr>
      <w:bookmarkStart w:colFirst="0" w:colLast="0" w:name="_heading=h.j3pxl78j2enp" w:id="21"/>
      <w:bookmarkEnd w:id="21"/>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ohllb91uc6e8" w:id="22"/>
      <w:bookmarkEnd w:id="22"/>
      <w:r w:rsidDel="00000000" w:rsidR="00000000" w:rsidRPr="00000000">
        <w:rPr>
          <w:rFonts w:ascii="Calibri" w:cs="Calibri" w:eastAsia="Calibri" w:hAnsi="Calibri"/>
          <w:color w:val="0a253e"/>
          <w:sz w:val="30"/>
          <w:szCs w:val="30"/>
          <w:rtl w:val="0"/>
        </w:rPr>
        <w:t xml:space="preserve">3. Conclusions</w:t>
      </w:r>
    </w:p>
    <w:p w:rsidR="00000000" w:rsidDel="00000000" w:rsidP="00000000" w:rsidRDefault="00000000" w:rsidRPr="00000000" w14:paraId="000001AB">
      <w:pPr>
        <w:spacing w:after="140" w:line="360" w:lineRule="auto"/>
        <w:jc w:val="both"/>
        <w:rPr>
          <w:rFonts w:ascii="Calibri" w:cs="Calibri" w:eastAsia="Calibri" w:hAnsi="Calibri"/>
          <w:b w:val="1"/>
          <w:bCs w:val="1"/>
          <w:i w:val="1"/>
          <w:iCs w:val="1"/>
          <w:color w:val="444c56"/>
          <w:sz w:val="24"/>
          <w:szCs w:val="24"/>
        </w:rPr>
      </w:pPr>
      <w:r w:rsidDel="00000000" w:rsidR="00000000" w:rsidRPr="00000000">
        <w:rPr>
          <w:rFonts w:ascii="Calibri" w:cs="Calibri" w:eastAsia="Calibri" w:hAnsi="Calibri"/>
          <w:b w:val="1"/>
          <w:bCs w:val="1"/>
          <w:i w:val="1"/>
          <w:iCs w:val="1"/>
          <w:color w:val="444c56"/>
          <w:sz w:val="24"/>
          <w:szCs w:val="24"/>
          <w:rtl w:val="0"/>
        </w:rPr>
        <w:t xml:space="preserve">This section is written in English, as required by the course, and each team member states their own conclusions individually.</w:t>
      </w:r>
    </w:p>
    <w:p w:rsidR="00000000" w:rsidDel="00000000" w:rsidP="00000000" w:rsidRDefault="00000000" w:rsidRPr="00000000" w14:paraId="000001AC">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xk7pgbj3rwvk" w:id="23"/>
      <w:bookmarkEnd w:id="23"/>
      <w:r w:rsidDel="00000000" w:rsidR="00000000" w:rsidRPr="00000000">
        <w:rPr>
          <w:rtl w:val="0"/>
        </w:rPr>
      </w:r>
    </w:p>
    <w:p w:rsidR="00000000" w:rsidDel="00000000" w:rsidP="00000000" w:rsidRDefault="00000000" w:rsidRPr="00000000" w14:paraId="000001AD">
      <w:pPr>
        <w:pStyle w:val="Heading2"/>
        <w:keepNext w:val="0"/>
        <w:keepLines w:val="0"/>
        <w:spacing w:after="140" w:before="260" w:line="276" w:lineRule="auto"/>
        <w:rPr>
          <w:rFonts w:ascii="Calibri" w:cs="Calibri" w:eastAsia="Calibri" w:hAnsi="Calibri"/>
          <w:color w:val="0a253e"/>
          <w:sz w:val="25"/>
          <w:szCs w:val="25"/>
        </w:rPr>
      </w:pPr>
      <w:bookmarkStart w:colFirst="0" w:colLast="0" w:name="_heading=h.voo94xm0abvd" w:id="24"/>
      <w:bookmarkEnd w:id="24"/>
      <w:r w:rsidDel="00000000" w:rsidR="00000000" w:rsidRPr="00000000">
        <w:rPr>
          <w:rFonts w:ascii="Calibri" w:cs="Calibri" w:eastAsia="Calibri" w:hAnsi="Calibri"/>
          <w:color w:val="0a253e"/>
          <w:sz w:val="25"/>
          <w:szCs w:val="25"/>
          <w:rtl w:val="0"/>
        </w:rPr>
        <w:t xml:space="preserve">3.1 Jorge Espinoza</w:t>
      </w:r>
    </w:p>
    <w:p w:rsidR="00000000" w:rsidDel="00000000" w:rsidP="00000000" w:rsidRDefault="00000000" w:rsidRPr="00000000" w14:paraId="000001AE">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Working on the definition of MATU has changed how I understand the relationship between a problem and its technical solution. I came into this project believing that the hard part would be the software, and the design work showed me the opposite: the hard part was deciding what the product actually is. The project went through three restructurings before it stabilised, and the decisive one came from an uncomfortable finding, namely that the differentiating asset was relegated to a second phase while the replicable component sat at the centre.</w:t>
      </w:r>
    </w:p>
    <w:p w:rsidR="00000000" w:rsidDel="00000000" w:rsidP="00000000" w:rsidRDefault="00000000" w:rsidRPr="00000000" w14:paraId="000001AF">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most valuable lesson for me has been the discipline of writing down what is not yet known. The architecture document declares seven open gaps that cannot be closed by writing more documentation: primary evidence of the problem, the real behaviour of the payment gateway, a commercial agreement, willingness to pay, the assumptions behind the break-even point, the cost of acquisition and a legal consultation. Declaring them was harder than hiding them, and it is what makes the rest of the document credible.</w:t>
      </w:r>
    </w:p>
    <w:p w:rsidR="00000000" w:rsidDel="00000000" w:rsidP="00000000" w:rsidRDefault="00000000" w:rsidRPr="00000000" w14:paraId="000001B0">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My previous background is in clinical psychology, and this project has let me place that experience at the service of engineering rather than keeping the two apart. Understanding the caregiver's burden from the inside allowed me to define a domain model that a purely technical reading would not have produced. At the same time, the project has forced me to work with tools I had not used at this level of demand, such as forced row-level security, envelope encryption and integer money arithmetic. That combination is exactly the professional position I want to build.</w:t>
      </w:r>
    </w:p>
    <w:p w:rsidR="00000000" w:rsidDel="00000000" w:rsidP="00000000" w:rsidRDefault="00000000" w:rsidRPr="00000000" w14:paraId="000001B1">
      <w:pPr>
        <w:pStyle w:val="Heading2"/>
        <w:keepNext w:val="0"/>
        <w:keepLines w:val="0"/>
        <w:spacing w:after="140" w:before="260" w:line="276" w:lineRule="auto"/>
        <w:jc w:val="left"/>
        <w:rPr>
          <w:rFonts w:ascii="Calibri" w:cs="Calibri" w:eastAsia="Calibri" w:hAnsi="Calibri"/>
          <w:color w:val="0a253e"/>
          <w:sz w:val="25"/>
          <w:szCs w:val="25"/>
        </w:rPr>
      </w:pPr>
      <w:bookmarkStart w:colFirst="0" w:colLast="0" w:name="_heading=h.u5nx05exw78o" w:id="25"/>
      <w:bookmarkEnd w:id="25"/>
      <w:r w:rsidDel="00000000" w:rsidR="00000000" w:rsidRPr="00000000">
        <w:rPr>
          <w:rtl w:val="0"/>
        </w:rPr>
      </w:r>
    </w:p>
    <w:p w:rsidR="00000000" w:rsidDel="00000000" w:rsidP="00000000" w:rsidRDefault="00000000" w:rsidRPr="00000000" w14:paraId="000001B2">
      <w:pPr>
        <w:pStyle w:val="Heading2"/>
        <w:keepNext w:val="0"/>
        <w:keepLines w:val="0"/>
        <w:spacing w:after="140" w:before="260" w:line="276" w:lineRule="auto"/>
        <w:jc w:val="left"/>
        <w:rPr>
          <w:rFonts w:ascii="Calibri" w:cs="Calibri" w:eastAsia="Calibri" w:hAnsi="Calibri"/>
          <w:color w:val="0a253e"/>
          <w:sz w:val="25"/>
          <w:szCs w:val="25"/>
        </w:rPr>
      </w:pPr>
      <w:bookmarkStart w:colFirst="0" w:colLast="0" w:name="_heading=h.m4rpcay54739" w:id="26"/>
      <w:bookmarkEnd w:id="26"/>
      <w:r w:rsidDel="00000000" w:rsidR="00000000" w:rsidRPr="00000000">
        <w:rPr>
          <w:rFonts w:ascii="Calibri" w:cs="Calibri" w:eastAsia="Calibri" w:hAnsi="Calibri"/>
          <w:color w:val="0a253e"/>
          <w:sz w:val="25"/>
          <w:szCs w:val="25"/>
          <w:rtl w:val="0"/>
        </w:rPr>
        <w:t xml:space="preserve">3.2 Martín Henríquez</w:t>
      </w:r>
    </w:p>
    <w:p w:rsidR="00000000" w:rsidDel="00000000" w:rsidP="00000000" w:rsidRDefault="00000000" w:rsidRPr="00000000" w14:paraId="000001B3">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first phase has shown me that the value of a methodological framework lies in the constraints it imposes rather than in the ceremonies it prescribes. Declaring a capacity of fifteen hours per person per week forced us to accept that the estimated scope did not fit, and to cut it before starting instead of discovering the problem halfway through the semester. Cutting scope on paper is uncomfortable, but it is far cheaper than cutting it under pressure in sprint eight.</w:t>
      </w:r>
    </w:p>
    <w:p w:rsidR="00000000" w:rsidDel="00000000" w:rsidP="00000000" w:rsidRDefault="00000000" w:rsidRPr="00000000" w14:paraId="000001B4">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 Scrum Master of a two-person team I have learned that the main risk is not technical difficulty but mutual blocking. Splitting the work along vertical axes rather than by technical layer, and agreeing the API contract before the implementation, are decisions that protect the schedule more than any tool. The three coordination rules we defined exist precisely because a team of two has no slack to absorb a dependency that was not anticipated.</w:t>
      </w:r>
    </w:p>
    <w:p w:rsidR="00000000" w:rsidDel="00000000" w:rsidP="00000000" w:rsidRDefault="00000000" w:rsidRPr="00000000" w14:paraId="000001B5">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project also puts me in front of the technical challenges I want to develop. Orchestrating a shared payment over a gateway that does not support splitting natively, and verifying that behaviour against a real integration environment before committing to it, is the kind of problem that connects project management with hands-on engineering. That connection is what I want to consolidate on my way to working as an IT project manager.</w:t>
      </w:r>
    </w:p>
    <w:p w:rsidR="00000000" w:rsidDel="00000000" w:rsidP="00000000" w:rsidRDefault="00000000" w:rsidRPr="00000000" w14:paraId="000001B6">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3bmr8znd8tad" w:id="27"/>
      <w:bookmarkEnd w:id="27"/>
      <w:r w:rsidDel="00000000" w:rsidR="00000000" w:rsidRPr="00000000">
        <w:rPr>
          <w:rtl w:val="0"/>
        </w:rPr>
      </w:r>
    </w:p>
    <w:p w:rsidR="00000000" w:rsidDel="00000000" w:rsidP="00000000" w:rsidRDefault="00000000" w:rsidRPr="00000000" w14:paraId="000001B7">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hjhz7jqy2etf" w:id="28"/>
      <w:bookmarkEnd w:id="28"/>
      <w:r w:rsidDel="00000000" w:rsidR="00000000" w:rsidRPr="00000000">
        <w:rPr>
          <w:rFonts w:ascii="Calibri" w:cs="Calibri" w:eastAsia="Calibri" w:hAnsi="Calibri"/>
          <w:color w:val="0a253e"/>
          <w:sz w:val="30"/>
          <w:szCs w:val="30"/>
          <w:rtl w:val="0"/>
        </w:rPr>
        <w:t xml:space="preserve">4. Reflection</w:t>
      </w:r>
    </w:p>
    <w:p w:rsidR="00000000" w:rsidDel="00000000" w:rsidP="00000000" w:rsidRDefault="00000000" w:rsidRPr="00000000" w14:paraId="000001B8">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most important thing this phase taught us is that a well-written document can be wrong in a way that is invisible from the inside. Our architecture went through three rounds of critical review, and each round found defects that we had read over many times without noticing: an isolation model that did not cover three of the eight system roles, a test strategy that could pass without asserting anything, and an arithmetic error of a factor of ten in the cost of the payment gateway. None of those were careless mistakes. They were second-order consequences, which is the kind of error that a linear reading does not catch.</w:t>
      </w:r>
    </w:p>
    <w:p w:rsidR="00000000" w:rsidDel="00000000" w:rsidP="00000000" w:rsidRDefault="00000000" w:rsidRPr="00000000" w14:paraId="000001B9">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second lesson concerns the difference between a project that is desirable and a project that is viable. It is comparatively easy to argue that a problem is real and that a solution would help. It is much harder to show that the numbers close, that the families can be reached without spending more than the margin, and that someone will actually pay. We built the validation protocol around that distinction, with falsification criteria written down before interviewing so that the results cannot be interpreted in our favour afterwards.</w:t>
      </w:r>
    </w:p>
    <w:p w:rsidR="00000000" w:rsidDel="00000000" w:rsidP="00000000" w:rsidRDefault="00000000" w:rsidRPr="00000000" w14:paraId="000001BA">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Finally, we learned to distinguish between what we designed and what we have built. At the close of this phase the project has a baseline architecture, a navigable prototype and a work plan, and it has no code, no interviews carried out and no commercial agreement. Stating that plainly costs nothing and protects everything: a document that presents itself as complete when it is not loses its credibility at the first follow-up question. The remaining gaps are not weaknesses of the design, they are the work of the phase that follows.</w:t>
      </w:r>
    </w:p>
    <w:p w:rsidR="00000000" w:rsidDel="00000000" w:rsidP="00000000" w:rsidRDefault="00000000" w:rsidRPr="00000000" w14:paraId="000001BB">
      <w:pPr>
        <w:spacing w:line="360" w:lineRule="auto"/>
        <w:jc w:val="center"/>
        <w:rPr>
          <w:b w:val="1"/>
          <w:bCs w:val="1"/>
        </w:rPr>
      </w:pPr>
      <w:r w:rsidDel="00000000" w:rsidR="00000000" w:rsidRPr="00000000">
        <w:rPr>
          <w:rtl w:val="0"/>
        </w:rPr>
      </w:r>
    </w:p>
    <w:p w:rsidR="00000000" w:rsidDel="00000000" w:rsidP="00000000" w:rsidRDefault="00000000" w:rsidRPr="00000000" w14:paraId="000001BC">
      <w:pPr>
        <w:pStyle w:val="Heading1"/>
        <w:keepNext w:val="0"/>
        <w:keepLines w:val="0"/>
        <w:spacing w:after="180" w:before="360" w:line="276" w:lineRule="auto"/>
        <w:jc w:val="center"/>
        <w:rPr>
          <w:rFonts w:ascii="Calibri" w:cs="Calibri" w:eastAsia="Calibri" w:hAnsi="Calibri"/>
          <w:sz w:val="24"/>
          <w:szCs w:val="24"/>
        </w:rPr>
      </w:pPr>
      <w:bookmarkStart w:colFirst="0" w:colLast="0" w:name="_heading=h.i1olvso7hggg" w:id="29"/>
      <w:bookmarkEnd w:id="29"/>
      <w:r w:rsidDel="00000000" w:rsidR="00000000" w:rsidRPr="00000000">
        <w:br w:type="page"/>
      </w:r>
      <w:r w:rsidDel="00000000" w:rsidR="00000000" w:rsidRPr="00000000">
        <w:rPr>
          <w:rtl w:val="0"/>
        </w:rPr>
      </w:r>
    </w:p>
    <w:p w:rsidR="00000000" w:rsidDel="00000000" w:rsidP="00000000" w:rsidRDefault="00000000" w:rsidRPr="00000000" w14:paraId="000001BD">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47ji1mi0ofk9" w:id="30"/>
      <w:bookmarkEnd w:id="30"/>
      <w:r w:rsidDel="00000000" w:rsidR="00000000" w:rsidRPr="00000000">
        <w:rPr>
          <w:rFonts w:ascii="Calibri" w:cs="Calibri" w:eastAsia="Calibri" w:hAnsi="Calibri"/>
          <w:color w:val="0a253e"/>
          <w:sz w:val="30"/>
          <w:szCs w:val="30"/>
          <w:rtl w:val="0"/>
        </w:rPr>
        <w:t xml:space="preserve">5. Bibliografía</w:t>
      </w:r>
    </w:p>
    <w:p w:rsidR="00000000" w:rsidDel="00000000" w:rsidP="00000000" w:rsidRDefault="00000000" w:rsidRPr="00000000" w14:paraId="000001BE">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Ministerio de Desarrollo Social y Familia. (2023).</w:t>
      </w:r>
      <w:r w:rsidDel="00000000" w:rsidR="00000000" w:rsidRPr="00000000">
        <w:rPr>
          <w:rFonts w:ascii="Calibri" w:cs="Calibri" w:eastAsia="Calibri" w:hAnsi="Calibri"/>
          <w:sz w:val="24"/>
          <w:szCs w:val="24"/>
          <w:rtl w:val="0"/>
        </w:rPr>
        <w:t xml:space="preserve"> Estudio Nacional de la Discapacidad y Dependencia, ENDIDE 2022. Santiago, Chile.</w:t>
      </w:r>
    </w:p>
    <w:p w:rsidR="00000000" w:rsidDel="00000000" w:rsidP="00000000" w:rsidRDefault="00000000" w:rsidRPr="00000000" w14:paraId="000001BF">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Ministerio de Salud. (2025).</w:t>
      </w:r>
      <w:r w:rsidDel="00000000" w:rsidR="00000000" w:rsidRPr="00000000">
        <w:rPr>
          <w:rFonts w:ascii="Calibri" w:cs="Calibri" w:eastAsia="Calibri" w:hAnsi="Calibri"/>
          <w:sz w:val="24"/>
          <w:szCs w:val="24"/>
          <w:rtl w:val="0"/>
        </w:rPr>
        <w:t xml:space="preserve"> Plan Nacional de Demencia 2025-2035. Santiago, Chile.</w:t>
      </w:r>
    </w:p>
    <w:p w:rsidR="00000000" w:rsidDel="00000000" w:rsidP="00000000" w:rsidRDefault="00000000" w:rsidRPr="00000000" w14:paraId="000001C0">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Biblioteca del Congreso Nacional de Chile. (2024).</w:t>
      </w:r>
      <w:r w:rsidDel="00000000" w:rsidR="00000000" w:rsidRPr="00000000">
        <w:rPr>
          <w:rFonts w:ascii="Calibri" w:cs="Calibri" w:eastAsia="Calibri" w:hAnsi="Calibri"/>
          <w:sz w:val="24"/>
          <w:szCs w:val="24"/>
          <w:rtl w:val="0"/>
        </w:rPr>
        <w:t xml:space="preserve"> Ley 21.719 sobre protección y tratamiento de datos personales. Publicada el 13 de diciembre de 2024, con plena vigencia el 1 de diciembre de 2026.</w:t>
      </w:r>
    </w:p>
    <w:p w:rsidR="00000000" w:rsidDel="00000000" w:rsidP="00000000" w:rsidRDefault="00000000" w:rsidRPr="00000000" w14:paraId="000001C1">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Ministerio de Salud. (2025).</w:t>
      </w:r>
      <w:r w:rsidDel="00000000" w:rsidR="00000000" w:rsidRPr="00000000">
        <w:rPr>
          <w:rFonts w:ascii="Calibri" w:cs="Calibri" w:eastAsia="Calibri" w:hAnsi="Calibri"/>
          <w:sz w:val="24"/>
          <w:szCs w:val="24"/>
          <w:rtl w:val="0"/>
        </w:rPr>
        <w:t xml:space="preserve"> Sistema Nacional de Receta Electrónica. Santiago, Chile.</w:t>
      </w:r>
    </w:p>
    <w:p w:rsidR="00000000" w:rsidDel="00000000" w:rsidP="00000000" w:rsidRDefault="00000000" w:rsidRPr="00000000" w14:paraId="000001C2">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Transbank Developers. (2026).</w:t>
      </w:r>
      <w:r w:rsidDel="00000000" w:rsidR="00000000" w:rsidRPr="00000000">
        <w:rPr>
          <w:rFonts w:ascii="Calibri" w:cs="Calibri" w:eastAsia="Calibri" w:hAnsi="Calibri"/>
          <w:sz w:val="24"/>
          <w:szCs w:val="24"/>
          <w:rtl w:val="0"/>
        </w:rPr>
        <w:t xml:space="preserve"> Documentación de Webpay Plus y OneClick, modalidad diferida, captura y reversa. Recuperado de https://www.transbankdevelopers.cl</w:t>
      </w:r>
    </w:p>
    <w:p w:rsidR="00000000" w:rsidDel="00000000" w:rsidP="00000000" w:rsidRDefault="00000000" w:rsidRPr="00000000" w14:paraId="000001C3">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Espinoza, J. y Henríquez, M. (2026). MATU.</w:t>
      </w:r>
      <w:r w:rsidDel="00000000" w:rsidR="00000000" w:rsidRPr="00000000">
        <w:rPr>
          <w:rFonts w:ascii="Calibri" w:cs="Calibri" w:eastAsia="Calibri" w:hAnsi="Calibri"/>
          <w:sz w:val="24"/>
          <w:szCs w:val="24"/>
          <w:rtl w:val="0"/>
        </w:rPr>
        <w:t xml:space="preserve"> Documento de arquitectura, versión 1.0. Duoc UC, Escuela de Informática y Telecomunicaciones.</w:t>
      </w:r>
    </w:p>
    <w:p w:rsidR="00000000" w:rsidDel="00000000" w:rsidP="00000000" w:rsidRDefault="00000000" w:rsidRPr="00000000" w14:paraId="000001C4">
      <w:pPr>
        <w:spacing w:after="140" w:line="360" w:lineRule="auto"/>
        <w:ind w:left="1440" w:hanging="72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Espinoza, J. y Henríquez, M. (2026). MATU.</w:t>
      </w:r>
      <w:r w:rsidDel="00000000" w:rsidR="00000000" w:rsidRPr="00000000">
        <w:rPr>
          <w:rFonts w:ascii="Calibri" w:cs="Calibri" w:eastAsia="Calibri" w:hAnsi="Calibri"/>
          <w:sz w:val="24"/>
          <w:szCs w:val="24"/>
          <w:rtl w:val="0"/>
        </w:rPr>
        <w:t xml:space="preserve"> Protocolo de validación con cuidadores, versión 1.0. Duoc UC, Escuela de Informática y Telecomunicaciones.</w:t>
      </w:r>
    </w:p>
    <w:p w:rsidR="00000000" w:rsidDel="00000000" w:rsidP="00000000" w:rsidRDefault="00000000" w:rsidRPr="00000000" w14:paraId="000001C5">
      <w:pPr>
        <w:spacing w:line="36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C6">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1C7">
      <w:pPr>
        <w:pStyle w:val="Heading1"/>
        <w:keepNext w:val="0"/>
        <w:keepLines w:val="0"/>
        <w:spacing w:after="180" w:before="360" w:line="276" w:lineRule="auto"/>
        <w:jc w:val="center"/>
        <w:rPr>
          <w:rFonts w:ascii="Calibri" w:cs="Calibri" w:eastAsia="Calibri" w:hAnsi="Calibri"/>
          <w:color w:val="0a253e"/>
          <w:sz w:val="30"/>
          <w:szCs w:val="30"/>
        </w:rPr>
      </w:pPr>
      <w:bookmarkStart w:colFirst="0" w:colLast="0" w:name="_heading=h.gxql7ic1g42d" w:id="31"/>
      <w:bookmarkEnd w:id="31"/>
      <w:r w:rsidDel="00000000" w:rsidR="00000000" w:rsidRPr="00000000">
        <w:br w:type="page"/>
      </w:r>
      <w:r w:rsidDel="00000000" w:rsidR="00000000" w:rsidRPr="00000000">
        <w:rPr>
          <w:rtl w:val="0"/>
        </w:rPr>
      </w:r>
    </w:p>
    <w:p w:rsidR="00000000" w:rsidDel="00000000" w:rsidP="00000000" w:rsidRDefault="00000000" w:rsidRPr="00000000" w14:paraId="000001C8">
      <w:pPr>
        <w:pStyle w:val="Heading1"/>
        <w:keepNext w:val="0"/>
        <w:keepLines w:val="0"/>
        <w:spacing w:after="180" w:before="360" w:line="276" w:lineRule="auto"/>
        <w:rPr>
          <w:rFonts w:ascii="Calibri" w:cs="Calibri" w:eastAsia="Calibri" w:hAnsi="Calibri"/>
          <w:color w:val="0a253e"/>
          <w:sz w:val="30"/>
          <w:szCs w:val="30"/>
        </w:rPr>
      </w:pPr>
      <w:bookmarkStart w:colFirst="0" w:colLast="0" w:name="_heading=h.wa7lahvve2x1" w:id="32"/>
      <w:bookmarkEnd w:id="32"/>
      <w:r w:rsidDel="00000000" w:rsidR="00000000" w:rsidRPr="00000000">
        <w:rPr>
          <w:rFonts w:ascii="Calibri" w:cs="Calibri" w:eastAsia="Calibri" w:hAnsi="Calibri"/>
          <w:color w:val="0a253e"/>
          <w:sz w:val="30"/>
          <w:szCs w:val="30"/>
          <w:rtl w:val="0"/>
        </w:rPr>
        <w:t xml:space="preserve">6. Anexos</w:t>
      </w:r>
    </w:p>
    <w:p w:rsidR="00000000" w:rsidDel="00000000" w:rsidP="00000000" w:rsidRDefault="00000000" w:rsidRPr="00000000" w14:paraId="000001C9">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anexos están publicados en el repositorio del proyecto, en </w:t>
      </w:r>
      <w:hyperlink r:id="rId9">
        <w:r w:rsidDel="00000000" w:rsidR="00000000" w:rsidRPr="00000000">
          <w:rPr>
            <w:rFonts w:ascii="Calibri" w:cs="Calibri" w:eastAsia="Calibri" w:hAnsi="Calibri"/>
            <w:color w:val="1155cc"/>
            <w:sz w:val="24"/>
            <w:szCs w:val="24"/>
            <w:u w:val="single"/>
            <w:rtl w:val="0"/>
          </w:rPr>
          <w:t xml:space="preserve">https://github.com/MartinHenriquez131/MATU,</w:t>
        </w:r>
      </w:hyperlink>
      <w:r w:rsidDel="00000000" w:rsidR="00000000" w:rsidRPr="00000000">
        <w:rPr>
          <w:rFonts w:ascii="Calibri" w:cs="Calibri" w:eastAsia="Calibri" w:hAnsi="Calibri"/>
          <w:sz w:val="24"/>
          <w:szCs w:val="24"/>
          <w:rtl w:val="0"/>
        </w:rPr>
        <w:t xml:space="preserve"> y la tabla siguiente indica la ruta exacta de cada uno dentro del repositorio.</w:t>
      </w:r>
    </w:p>
    <w:p w:rsidR="00000000" w:rsidDel="00000000" w:rsidP="00000000" w:rsidRDefault="00000000" w:rsidRPr="00000000" w14:paraId="000001CA">
      <w:pPr>
        <w:spacing w:after="1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GitHub no previsualiza archivos .html ni .docx: hay que descargarlos y abrirlos. El documento de arquitectura en .md sí se lee directo en el navegador, con sus diagramas.</w:t>
      </w:r>
    </w:p>
    <w:tbl>
      <w:tblPr>
        <w:tblStyle w:val="Table14"/>
        <w:tblW w:w="1287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85"/>
        <w:gridCol w:w="4320"/>
        <w:gridCol w:w="7365"/>
        <w:tblGridChange w:id="0">
          <w:tblGrid>
            <w:gridCol w:w="1185"/>
            <w:gridCol w:w="4320"/>
            <w:gridCol w:w="7365"/>
          </w:tblGrid>
        </w:tblGridChange>
      </w:tblGrid>
      <w:tr>
        <w:trPr>
          <w:cantSplit w:val="0"/>
          <w:trHeight w:val="630" w:hRule="atLeast"/>
          <w:tblHeader w:val="0"/>
        </w:trPr>
        <w:tc>
          <w:tcPr>
            <w:tcBorders>
              <w:top w:color="c8cfd6" w:space="0" w:sz="8" w:val="single"/>
              <w:left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CB">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Anexo</w:t>
            </w:r>
          </w:p>
        </w:tc>
        <w:tc>
          <w:tcPr>
            <w:tcBorders>
              <w:top w:color="c8cfd6" w:space="0" w:sz="8" w:val="single"/>
              <w:bottom w:color="000000" w:space="0" w:sz="8" w:val="single"/>
              <w:right w:color="000000"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CC">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Documento y ubicación en el repositorio</w:t>
            </w:r>
          </w:p>
        </w:tc>
        <w:tc>
          <w:tcPr>
            <w:tcBorders>
              <w:top w:color="c8cfd6" w:space="0" w:sz="8" w:val="single"/>
              <w:bottom w:color="000000" w:space="0" w:sz="8" w:val="single"/>
              <w:right w:color="c8cfd6" w:space="0" w:sz="8" w:val="single"/>
            </w:tcBorders>
            <w:shd w:fill="edf2f7" w:val="clear"/>
            <w:tcMar>
              <w:top w:w="100.0" w:type="dxa"/>
              <w:left w:w="120.0" w:type="dxa"/>
              <w:bottom w:w="100.0" w:type="dxa"/>
              <w:right w:w="120.0" w:type="dxa"/>
            </w:tcMar>
            <w:vAlign w:val="top"/>
          </w:tcPr>
          <w:p w:rsidR="00000000" w:rsidDel="00000000" w:rsidP="00000000" w:rsidRDefault="00000000" w:rsidRPr="00000000" w14:paraId="000001CD">
            <w:pPr>
              <w:spacing w:line="259.20000000000005"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Contenido</w:t>
            </w:r>
          </w:p>
        </w:tc>
      </w:tr>
      <w:tr>
        <w:trPr>
          <w:cantSplit w:val="0"/>
          <w:trHeight w:val="171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CE">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Anexo A</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CF">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Documento de arquitectura MATU, versión 1.0</w:t>
            </w:r>
          </w:p>
          <w:p w:rsidR="00000000" w:rsidDel="00000000" w:rsidP="00000000" w:rsidRDefault="00000000" w:rsidRPr="00000000" w14:paraId="000001D0">
            <w:pPr>
              <w:spacing w:line="240" w:lineRule="auto"/>
              <w:rPr>
                <w:rFonts w:ascii="Calibri" w:cs="Calibri" w:eastAsia="Calibri" w:hAnsi="Calibri"/>
                <w:color w:val="444c56"/>
                <w:sz w:val="18"/>
                <w:szCs w:val="18"/>
              </w:rPr>
            </w:pPr>
            <w:r w:rsidDel="00000000" w:rsidR="00000000" w:rsidRPr="00000000">
              <w:rPr>
                <w:rFonts w:ascii="Calibri" w:cs="Calibri" w:eastAsia="Calibri" w:hAnsi="Calibri"/>
                <w:color w:val="444c56"/>
                <w:sz w:val="18"/>
                <w:szCs w:val="18"/>
                <w:rtl w:val="0"/>
              </w:rPr>
              <w:t xml:space="preserve">docs/arquitectura.md · docs/arquitectura.html</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D1">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Contiene los 41 requisitos funcionales trazados a módulos, los 13 diagramas, el modelo de datos, los contratos de API, la estrategia de calidad y las 24 decisiones de arquitectura fundamentadas. La versión .md se lee directamente en GitHub, con los diagramas renderizados.</w:t>
            </w:r>
          </w:p>
        </w:tc>
      </w:tr>
      <w:tr>
        <w:trPr>
          <w:cantSplit w:val="0"/>
          <w:trHeight w:val="840"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D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Anexo B</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D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Prototipo navegable de interfaz</w:t>
            </w:r>
          </w:p>
          <w:p w:rsidR="00000000" w:rsidDel="00000000" w:rsidP="00000000" w:rsidRDefault="00000000" w:rsidRPr="00000000" w14:paraId="000001D4">
            <w:pPr>
              <w:spacing w:line="240" w:lineRule="auto"/>
              <w:rPr>
                <w:rFonts w:ascii="Calibri" w:cs="Calibri" w:eastAsia="Calibri" w:hAnsi="Calibri"/>
                <w:color w:val="444c56"/>
                <w:sz w:val="18"/>
                <w:szCs w:val="18"/>
              </w:rPr>
            </w:pPr>
            <w:r w:rsidDel="00000000" w:rsidR="00000000" w:rsidRPr="00000000">
              <w:rPr>
                <w:rFonts w:ascii="Calibri" w:cs="Calibri" w:eastAsia="Calibri" w:hAnsi="Calibri"/>
                <w:color w:val="444c56"/>
                <w:sz w:val="18"/>
                <w:szCs w:val="18"/>
                <w:rtl w:val="0"/>
              </w:rPr>
              <w:t xml:space="preserve">docs/prototipo.html</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D5">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32 pantallas organizadas en siete recorridos, con los criterios de accesibilidad declarados y verificados.</w:t>
            </w:r>
          </w:p>
        </w:tc>
      </w:tr>
      <w:tr>
        <w:trPr>
          <w:cantSplit w:val="0"/>
          <w:trHeight w:val="1065" w:hRule="atLeast"/>
          <w:tblHeader w:val="0"/>
        </w:trPr>
        <w:tc>
          <w:tcPr>
            <w:tcBorders>
              <w:left w:color="c8cfd6"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D6">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Anexo C</w:t>
            </w:r>
          </w:p>
        </w:tc>
        <w:tc>
          <w:tcPr>
            <w:tcBorders>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D7">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Protocolo de validación con cuidadores</w:t>
            </w:r>
          </w:p>
          <w:p w:rsidR="00000000" w:rsidDel="00000000" w:rsidP="00000000" w:rsidRDefault="00000000" w:rsidRPr="00000000" w14:paraId="000001D8">
            <w:pPr>
              <w:spacing w:line="240" w:lineRule="auto"/>
              <w:rPr>
                <w:rFonts w:ascii="Calibri" w:cs="Calibri" w:eastAsia="Calibri" w:hAnsi="Calibri"/>
                <w:color w:val="444c56"/>
                <w:sz w:val="18"/>
                <w:szCs w:val="18"/>
              </w:rPr>
            </w:pPr>
            <w:r w:rsidDel="00000000" w:rsidR="00000000" w:rsidRPr="00000000">
              <w:rPr>
                <w:rFonts w:ascii="Calibri" w:cs="Calibri" w:eastAsia="Calibri" w:hAnsi="Calibri"/>
                <w:color w:val="444c56"/>
                <w:sz w:val="18"/>
                <w:szCs w:val="18"/>
                <w:rtl w:val="0"/>
              </w:rPr>
              <w:t xml:space="preserve">docs/protocolo-entrevistas.md</w:t>
            </w:r>
          </w:p>
        </w:tc>
        <w:tc>
          <w:tcPr>
            <w:tcBorders>
              <w:bottom w:color="000000"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D9">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Siete hipótesis con criterios de falsación, tres mediciones para la unidad económica, guión de 36 preguntas y guión de conversación con un comercio.</w:t>
            </w:r>
          </w:p>
        </w:tc>
      </w:tr>
      <w:tr>
        <w:trPr>
          <w:cantSplit w:val="0"/>
          <w:trHeight w:val="825" w:hRule="atLeast"/>
          <w:tblHeader w:val="0"/>
        </w:trPr>
        <w:tc>
          <w:tcPr>
            <w:tcBorders>
              <w:left w:color="c8cfd6" w:space="0" w:sz="8" w:val="single"/>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DA">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Anexo D</w:t>
            </w:r>
          </w:p>
        </w:tc>
        <w:tc>
          <w:tcPr>
            <w:tcBorders>
              <w:bottom w:color="c8cfd6"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DB">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Guía de definición de Proyecto APT</w:t>
            </w:r>
          </w:p>
          <w:p w:rsidR="00000000" w:rsidDel="00000000" w:rsidP="00000000" w:rsidRDefault="00000000" w:rsidRPr="00000000" w14:paraId="000001DC">
            <w:pPr>
              <w:spacing w:line="240" w:lineRule="auto"/>
              <w:rPr>
                <w:rFonts w:ascii="Calibri" w:cs="Calibri" w:eastAsia="Calibri" w:hAnsi="Calibri"/>
                <w:color w:val="444c56"/>
                <w:sz w:val="18"/>
                <w:szCs w:val="18"/>
              </w:rPr>
            </w:pPr>
            <w:r w:rsidDel="00000000" w:rsidR="00000000" w:rsidRPr="00000000">
              <w:rPr>
                <w:rFonts w:ascii="Calibri" w:cs="Calibri" w:eastAsia="Calibri" w:hAnsi="Calibri"/>
                <w:color w:val="444c56"/>
                <w:sz w:val="18"/>
                <w:szCs w:val="18"/>
                <w:rtl w:val="0"/>
              </w:rPr>
              <w:t xml:space="preserve">Fase 1/</w:t>
            </w:r>
          </w:p>
        </w:tc>
        <w:tc>
          <w:tcPr>
            <w:tcBorders>
              <w:bottom w:color="c8cfd6" w:space="0" w:sz="8" w:val="single"/>
              <w:right w:color="c8cfd6" w:space="0" w:sz="8" w:val="single"/>
            </w:tcBorders>
            <w:tcMar>
              <w:top w:w="100.0" w:type="dxa"/>
              <w:left w:w="120.0" w:type="dxa"/>
              <w:bottom w:w="100.0" w:type="dxa"/>
              <w:right w:w="120.0" w:type="dxa"/>
            </w:tcMar>
            <w:vAlign w:val="top"/>
          </w:tcPr>
          <w:p w:rsidR="00000000" w:rsidDel="00000000" w:rsidP="00000000" w:rsidRDefault="00000000" w:rsidRPr="00000000" w14:paraId="000001D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Formulario de la asignatura completado en sus dos partes, en español e inglés.</w:t>
            </w:r>
          </w:p>
        </w:tc>
      </w:tr>
    </w:tbl>
    <w:p w:rsidR="00000000" w:rsidDel="00000000" w:rsidP="00000000" w:rsidRDefault="00000000" w:rsidRPr="00000000" w14:paraId="000001DE">
      <w:pPr>
        <w:spacing w:line="36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p w:rsidR="00000000" w:rsidDel="00000000" w:rsidP="00000000" w:rsidRDefault="00000000" w:rsidRPr="00000000" w14:paraId="000001DF">
      <w:pPr>
        <w:spacing w:line="36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E0">
      <w:pPr>
        <w:spacing w:line="360" w:lineRule="auto"/>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E1">
      <w:pPr>
        <w:spacing w:line="360" w:lineRule="auto"/>
        <w:jc w:val="center"/>
        <w:rPr/>
      </w:pPr>
      <w:r w:rsidDel="00000000" w:rsidR="00000000" w:rsidRPr="00000000">
        <w:rPr>
          <w:rFonts w:ascii="Calibri" w:cs="Calibri" w:eastAsia="Calibri" w:hAnsi="Calibri"/>
          <w:b w:val="1"/>
          <w:bCs w:val="1"/>
          <w:sz w:val="24"/>
          <w:szCs w:val="24"/>
          <w:rtl w:val="0"/>
        </w:rPr>
        <w:t xml:space="preserve">Escuela de Informática y Telecomunicaciones · Sede San Joaquín</w:t>
      </w:r>
      <w:r w:rsidDel="00000000" w:rsidR="00000000" w:rsidRPr="00000000">
        <w:rPr>
          <w:rtl w:val="0"/>
        </w:rPr>
      </w:r>
    </w:p>
    <w:sectPr>
      <w:headerReference r:id="rId10" w:type="default"/>
      <w:footerReference r:id="rId11" w:type="default"/>
      <w:footerReference r:id="rId12" w:type="first"/>
      <w:pgSz w:h="12240" w:w="15840" w:orient="landscape"/>
      <w:pgMar w:bottom="1418" w:top="1276"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904875</wp:posOffset>
              </wp:positionH>
              <wp:positionV relativeFrom="paragraph">
                <wp:posOffset>-205595</wp:posOffset>
              </wp:positionV>
              <wp:extent cx="7353300" cy="434196"/>
              <wp:effectExtent b="0" l="0" r="0" t="0"/>
              <wp:wrapSquare wrapText="bothSides" distB="0" distT="0" distL="0" distR="0"/>
              <wp:docPr id="41" name=""/>
              <a:graphic>
                <a:graphicData uri="http://schemas.microsoft.com/office/word/2010/wordprocessingGroup">
                  <wpg:wgp>
                    <wpg:cNvGrpSpPr/>
                    <wpg:grpSpPr>
                      <a:xfrm>
                        <a:off x="2374200" y="3619975"/>
                        <a:ext cx="7353300" cy="434196"/>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904875</wp:posOffset>
              </wp:positionH>
              <wp:positionV relativeFrom="paragraph">
                <wp:posOffset>-205595</wp:posOffset>
              </wp:positionV>
              <wp:extent cx="7353300" cy="434196"/>
              <wp:effectExtent b="0" l="0" r="0" t="0"/>
              <wp:wrapSquare wrapText="bothSides" distB="0" distT="0" distL="0" distR="0"/>
              <wp:docPr id="4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7353300" cy="434196"/>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C">
    <w:pP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904875</wp:posOffset>
              </wp:positionH>
              <wp:positionV relativeFrom="paragraph">
                <wp:posOffset>-228599</wp:posOffset>
              </wp:positionV>
              <wp:extent cx="7353300" cy="434196"/>
              <wp:effectExtent b="0" l="0" r="0" t="0"/>
              <wp:wrapSquare wrapText="bothSides" distB="0" distT="0" distL="0" distR="0"/>
              <wp:docPr id="42" name=""/>
              <a:graphic>
                <a:graphicData uri="http://schemas.microsoft.com/office/word/2010/wordprocessingGroup">
                  <wpg:wgp>
                    <wpg:cNvGrpSpPr/>
                    <wpg:grpSpPr>
                      <a:xfrm>
                        <a:off x="2374200" y="3619975"/>
                        <a:ext cx="7353300" cy="434196"/>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904875</wp:posOffset>
              </wp:positionH>
              <wp:positionV relativeFrom="paragraph">
                <wp:posOffset>-228599</wp:posOffset>
              </wp:positionV>
              <wp:extent cx="7353300" cy="434196"/>
              <wp:effectExtent b="0" l="0" r="0" t="0"/>
              <wp:wrapSquare wrapText="bothSides" distB="0" distT="0" distL="0" distR="0"/>
              <wp:docPr id="4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353300" cy="434196"/>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2">
      <w:pPr>
        <w:jc w:val="both"/>
        <w:rPr>
          <w:color w:val="595959"/>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color w:val="595959"/>
          <w:sz w:val="18"/>
          <w:szCs w:val="18"/>
          <w:rtl w:val="0"/>
        </w:rPr>
        <w:t xml:space="preserve">Los Proyectos APT, ya sea propuesto por estudiantes o por las Escuelas, deben cumplir con los siguientes criterios:</w:t>
      </w:r>
      <w:r w:rsidDel="00000000" w:rsidR="00000000" w:rsidRPr="00000000">
        <w:rPr>
          <w:rtl w:val="0"/>
        </w:rPr>
      </w:r>
    </w:p>
    <w:p w:rsidR="00000000" w:rsidDel="00000000" w:rsidP="00000000" w:rsidRDefault="00000000" w:rsidRPr="00000000" w14:paraId="000001E3">
      <w:pPr>
        <w:jc w:val="both"/>
        <w:rPr>
          <w:color w:val="595959"/>
          <w:sz w:val="24"/>
          <w:szCs w:val="24"/>
        </w:rPr>
      </w:pP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Integración de competencias</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rsidR="00000000" w:rsidDel="00000000" w:rsidP="00000000" w:rsidRDefault="00000000" w:rsidRPr="00000000" w14:paraId="000001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Situación real o simulada</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Puede ser una situación real o simulada a la que el estudiante podría enfrentarse eventualmente en el campo laboral. </w:t>
      </w:r>
    </w:p>
    <w:p w:rsidR="00000000" w:rsidDel="00000000" w:rsidP="00000000" w:rsidRDefault="00000000" w:rsidRPr="00000000" w14:paraId="000001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Factibilidad</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 ser un proyecto posible de realizar, considerando los siguientes aspectos:</w:t>
      </w:r>
    </w:p>
    <w:p w:rsidR="00000000" w:rsidDel="00000000" w:rsidP="00000000" w:rsidRDefault="00000000" w:rsidRPr="00000000" w14:paraId="000001E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el tiempo estipulado para esta asignatura (en 1 semestre y 20 créditos); </w:t>
      </w:r>
    </w:p>
    <w:p w:rsidR="00000000" w:rsidDel="00000000" w:rsidP="00000000" w:rsidRDefault="00000000" w:rsidRPr="00000000" w14:paraId="000001E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materiales que se requieren; </w:t>
      </w:r>
    </w:p>
    <w:p w:rsidR="00000000" w:rsidDel="00000000" w:rsidP="00000000" w:rsidRDefault="00000000" w:rsidRPr="00000000" w14:paraId="000001E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18"/>
          <w:szCs w:val="18"/>
          <w:highlight w:val="white"/>
          <w:u w:val="none"/>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factores externos que podrían facilitar o dificultar su implementación.</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yperlink" Target="https://github.com/MartinHenriquez131/MATU"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UINRF/GRfwwLIzedzDD2l+dEVQ==">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