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52748a515694d7b59838fe663bcdf1efadc6ca"/>
    <w:p>
      <w:pPr>
        <w:pStyle w:val="Heading1"/>
      </w:pPr>
      <w:r>
        <w:t xml:space="preserve">Paper 12 §4 — The Commensurability Hierarchy: F₂₁ Insufficient, G₂ Required (v3)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v3 (2026-05-06, ~03:50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Paper 12 §4 v1 + Model Council rigor pass (Opus 4.7,</w:t>
      </w:r>
      <w:r>
        <w:t xml:space="preserve"> </w:t>
      </w:r>
      <w:r>
        <w:t xml:space="preserve">Gemini 3.1 Pro, GPT-5.5).</w:t>
      </w:r>
      <w:r>
        <w:t xml:space="preserve"> </w:t>
      </w:r>
      <w:r>
        <w:rPr>
          <w:b/>
          <w:bCs/>
        </w:rPr>
        <w:t xml:space="preserve">Revision summary (vs v2):</w:t>
      </w:r>
      <w:r>
        <w:t xml:space="preserve"> </w:t>
      </w:r>
      <w:r>
        <w:t xml:space="preserve">Phase-2 polish on Opus’s v2 residuals —</w:t>
      </w:r>
      <w:r>
        <w:t xml:space="preserve"> </w:t>
      </w:r>
      <w:r>
        <w:t xml:space="preserve">RES-1 metric-choice note on Cor 4.3.2; RES-2 Rank-One Convention</w:t>
      </w:r>
      <w:r>
        <w:t xml:space="preserve"> </w:t>
      </w:r>
      <w:r>
        <w:t xml:space="preserve">named explicitly; RES-4 Fano-action prose tightened.</w:t>
      </w:r>
    </w:p>
    <w:p>
      <w:pPr>
        <w:pStyle w:val="BodyText"/>
      </w:pPr>
      <w:r>
        <w:rPr>
          <w:b/>
          <w:bCs/>
        </w:rPr>
        <w:t xml:space="preserve">Revision summary (vs v1, retained from v2):</w:t>
      </w:r>
      <w:r>
        <w:t xml:space="preserve"> </w:t>
      </w:r>
      <w:r>
        <w:t xml:space="preserve">Eight revisions. Three load-bearing:</w:t>
      </w:r>
      <w:r>
        <w:t xml:space="preserve"> </w:t>
      </w:r>
      <w:r>
        <w:t xml:space="preserve">R3 Theorem 4.4.1 (C2) reformulated as map-existence (Opus S4-1); S4-2</w:t>
      </w:r>
      <w:r>
        <w:t xml:space="preserve"> </w:t>
      </w:r>
      <w:r>
        <w:t xml:space="preserve">dimension bookkeeping fixed (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 </w:t>
      </w:r>
      <w:r>
        <w:t xml:space="preserve">is full</w:t>
      </w:r>
      <w:r>
        <w:t xml:space="preserve"> </w:t>
      </w:r>
      <m:oMath>
        <m:r>
          <m:t>20</m:t>
        </m:r>
      </m:oMath>
      <w:r>
        <w:t xml:space="preserve">-dim, delta</w:t>
      </w:r>
      <w:r>
        <w:t xml:space="preserve"> </w:t>
      </w:r>
      <m:oMath>
        <m:r>
          <m:rPr>
            <m:sty m:val="p"/>
          </m:rPr>
          <m:t>=</m:t>
        </m:r>
        <m:r>
          <m:t>19</m:t>
        </m:r>
      </m:oMath>
      <w:r>
        <w:t xml:space="preserve">); S4-3 Corollary 4.5.2 downgraded from biconditional to</w:t>
      </w:r>
      <w:r>
        <w:t xml:space="preserve"> </w:t>
      </w:r>
      <w:r>
        <w:t xml:space="preserve">sufficient condition. Plus five surgical fixes: S4-4 Fano-action prose,</w:t>
      </w:r>
      <w:r>
        <w:t xml:space="preserve"> </w:t>
      </w:r>
      <w:r>
        <w:t xml:space="preserve">S4-5 Prop 4.5.1 renamed and reworded, S4-6 (C2)⇏(C1) witness, S4-7</w:t>
      </w:r>
      <w:r>
        <w:t xml:space="preserve"> </w:t>
      </w:r>
      <w:r>
        <w:t xml:space="preserve">operator-vs-vector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translation, S4-8 orientation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ambiguity acknowledged. Plus four polish items from Gemini and GPT-5.5:</w:t>
      </w:r>
      <w:r>
        <w:t xml:space="preserve"> </w:t>
      </w:r>
      <w:r>
        <w:t xml:space="preserve">Pillar-status signpost,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-source paragraph (Paper 4 inheritance),</w:t>
      </w:r>
      <w:r>
        <w:t xml:space="preserve"> </w:t>
      </w:r>
      <w:r>
        <w:t xml:space="preserve">§4.7 measurement-vs-instrument tightening, and seven standard citations.</w:t>
      </w:r>
    </w:p>
    <w:p>
      <w:pPr>
        <w:pStyle w:val="BodyText"/>
      </w:pPr>
      <w:r>
        <w:rPr>
          <w:b/>
          <w:bCs/>
        </w:rPr>
        <w:t xml:space="preserve">Pillar-delivery signpost (per GPT-5.5 council finding):</w:t>
      </w:r>
      <w:r>
        <w:t xml:space="preserve"> </w:t>
      </w:r>
      <w:r>
        <w:t xml:space="preserve">§4 delivers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mathematical core</w:t>
      </w:r>
      <w:r>
        <w:t xml:space="preserve"> </w:t>
      </w:r>
      <w:r>
        <w:t xml:space="preserve">of Pillar 2 (dual-substrate residue) by</w:t>
      </w:r>
      <w:r>
        <w:t xml:space="preserve"> </w:t>
      </w:r>
      <w:r>
        <w:t xml:space="preserve">constructing the commensurability hierarchy, but</w:t>
      </w:r>
      <w:r>
        <w:t xml:space="preserve"> </w:t>
      </w:r>
      <w:r>
        <w:rPr>
          <w:i/>
          <w:iCs/>
        </w:rPr>
        <w:t xml:space="preserve">does not</w:t>
      </w:r>
      <w:r>
        <w:t xml:space="preserve"> </w:t>
      </w:r>
      <w:r>
        <w:t xml:space="preserve">establish</w:t>
      </w:r>
      <w:r>
        <w:t xml:space="preserve"> </w:t>
      </w:r>
      <w:r>
        <w:t xml:space="preserve">the existence or physical realization of the biological-substrate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(Paper 13+ territory). §4 also delivers the</w:t>
      </w:r>
      <w:r>
        <w:t xml:space="preserve"> </w:t>
      </w:r>
      <w:r>
        <w:t xml:space="preserve">mathematical core of the audit-substrate component of Pillar 3 (via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profile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being the substrate-independent</w:t>
      </w:r>
      <w:r>
        <w:t xml:space="preserve"> </w:t>
      </w:r>
      <w:r>
        <w:t xml:space="preserve">audit signature). Pillar 1 is delivered by §3; Pillar 4 is §1/§5.</w:t>
      </w:r>
    </w:p>
    <w:p>
      <w:r>
        <w:pict>
          <v:rect style="width:0;height:1.5pt" o:hralign="center" o:hrstd="t" o:hr="t"/>
        </w:pict>
      </w:r>
    </w:p>
    <w:bookmarkStart w:id="27" w:name="the-commensurability-hierarchy"/>
    <w:p>
      <w:pPr>
        <w:pStyle w:val="Heading2"/>
      </w:pPr>
      <w:r>
        <w:t xml:space="preserve">4. The Commensurability Hierarchy</w:t>
      </w:r>
    </w:p>
    <w:bookmarkStart w:id="20" w:name="Xa37d34684c20ae55b1e39cbd07c21c1934328f1"/>
    <w:p>
      <w:pPr>
        <w:pStyle w:val="Heading3"/>
      </w:pPr>
      <w:r>
        <w:t xml:space="preserve">4.1 Setup: scar invariant from §3.7 as the input</w:t>
      </w:r>
    </w:p>
    <w:p>
      <w:pPr>
        <w:pStyle w:val="FirstParagraph"/>
      </w:pPr>
      <w:r>
        <w:t xml:space="preserve">Throughout §4,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⋊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denotes the</w:t>
      </w:r>
      <w:r>
        <w:t xml:space="preserve"> </w:t>
      </w:r>
      <w:r>
        <w:t xml:space="preserve">Fano-orientation subgroup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Its action on</w:t>
      </w:r>
      <w:r>
        <w:t xml:space="preserve"> </w:t>
      </w:r>
      <m:oMath>
        <m:r>
          <m:t>V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by</w:t>
      </w:r>
      <w:r>
        <w:t xml:space="preserve"> </w:t>
      </w:r>
      <w:r>
        <w:t xml:space="preserve">restriction of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representation; its action on the</w:t>
      </w:r>
      <w:r>
        <w:t xml:space="preserve"> </w:t>
      </w:r>
      <w:r>
        <w:t xml:space="preserve">joint-state space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⊕</m:t>
        </m:r>
        <m:r>
          <m:t>V</m:t>
        </m:r>
      </m:oMath>
      <w:r>
        <w:t xml:space="preserve"> </w:t>
      </w:r>
      <w:r>
        <w:t xml:space="preserve">is the diagonal restriction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ρ</m:t>
                  </m:r>
                </m:e>
                <m:sub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t>y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∈</m:t>
          </m:r>
          <m:sSub>
            <m:e>
              <m:r>
                <m:t>F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ρ</m:t>
              </m:r>
            </m:e>
            <m:sub>
              <m:r>
                <m:t>F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ρ</m:t>
              </m:r>
            </m:e>
            <m:sub>
              <m:r>
                <m:t>14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action commutes with the Schur circle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ρ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acts on the</w:t>
      </w:r>
      <w:r>
        <w:t xml:space="preserve"> </w:t>
      </w:r>
      <m:oMath>
        <m:r>
          <m:t>V</m:t>
        </m:r>
      </m:oMath>
      <w:r>
        <w:t xml:space="preserve">-factor while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acts on the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multiplicity factor (Paper 9 §3.4 diagonal-action</w:t>
      </w:r>
      <w:r>
        <w:t xml:space="preserve"> </w:t>
      </w:r>
      <w:r>
        <w:t xml:space="preserve">convention).</w:t>
      </w:r>
    </w:p>
    <w:p>
      <w:pPr>
        <w:pStyle w:val="BodyText"/>
      </w:pPr>
      <w:r>
        <w:rPr>
          <w:b/>
          <w:bCs/>
        </w:rPr>
        <w:t xml:space="preserve">Inheritance from Paper 4.</w:t>
      </w:r>
      <w:r>
        <w:t xml:space="preserve"> </w:t>
      </w:r>
      <w:r>
        <w:t xml:space="preserve">The Fano-orientation subgroup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arises in the PCI/PME framework as the stabilizer of an oriented Fano</w:t>
      </w:r>
      <w:r>
        <w:t xml:space="preserve"> </w:t>
      </w:r>
      <w:r>
        <w:t xml:space="preserve">plane structure on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O</m:t>
            </m:r>
          </m:e>
        </m:d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, and</w:t>
      </w:r>
      <w:r>
        <w:t xml:space="preserve"> </w:t>
      </w:r>
      <w:r>
        <w:t xml:space="preserve">through Paper 4’s PSL(2,7) construction is the unique finite simple</w:t>
      </w:r>
      <w:r>
        <w:t xml:space="preserve"> </w:t>
      </w:r>
      <w:r>
        <w:t xml:space="preserve">group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-decoration that aligns with the QBism quasiprobability</w:t>
      </w:r>
      <w:r>
        <w:t xml:space="preserve"> </w:t>
      </w:r>
      <w:r>
        <w:t xml:space="preserve">representation of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7</m:t>
            </m:r>
          </m:sup>
        </m:sSup>
      </m:oMath>
      <w:r>
        <w:t xml:space="preserve">. We do not reconstruct that derivation</w:t>
      </w:r>
      <w:r>
        <w:t xml:space="preserve"> </w:t>
      </w:r>
      <w:r>
        <w:t xml:space="preserve">here; this paper assumes Paper 4’s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choice as an inheritance.</w:t>
      </w:r>
      <w:r>
        <w:t xml:space="preserve"> </w:t>
      </w:r>
      <w:r>
        <w:rPr>
          <w:i/>
          <w:iCs/>
        </w:rPr>
        <w:t xml:space="preserve">Open problem:</w:t>
      </w:r>
      <w:r>
        <w:t xml:space="preserve"> </w:t>
      </w:r>
      <w:r>
        <w:t xml:space="preserve">characterizing the smallest finite subgroup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which the Definition 4.6.1 L1 screening test is informative is</w:t>
      </w:r>
      <w:r>
        <w:t xml:space="preserve"> </w:t>
      </w:r>
      <w:r>
        <w:t xml:space="preserve">deferred to a future PCI/PME methodology paper. The choice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consistent across the Paper series; readers unfamiliar with Paper</w:t>
      </w:r>
      <w:r>
        <w:t xml:space="preserve"> </w:t>
      </w:r>
      <w:r>
        <w:t xml:space="preserve">4’s derivation should consult [</w:t>
      </w:r>
      <w:r>
        <w:t xml:space="preserve">].</w:t>
      </w:r>
    </w:p>
    <w:p>
      <w:pPr>
        <w:pStyle w:val="BodyText"/>
      </w:pPr>
      <w:r>
        <w:t xml:space="preserve">The input object to §4 is the</w:t>
      </w:r>
      <w:r>
        <w:t xml:space="preserve"> </w:t>
      </w:r>
      <w:r>
        <w:rPr>
          <w:i/>
          <w:iCs/>
        </w:rPr>
        <w:t xml:space="preserve">scar invariant triple</w:t>
      </w:r>
      <w:r>
        <w:t xml:space="preserve"> </w:t>
      </w:r>
      <w:r>
        <w:t xml:space="preserve">constructed in</w:t>
      </w:r>
      <w:r>
        <w:t xml:space="preserve"> </w:t>
      </w:r>
      <w:r>
        <w:t xml:space="preserve">§3.7 with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-equivariance clarification of §3 v2 Remark 3.7.1</w:t>
      </w:r>
      <w:r>
        <w:t xml:space="preserve"> </w:t>
      </w:r>
      <w:r>
        <w:t xml:space="preserve">(the scar record carries an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 inherited from the ambient</w:t>
      </w:r>
      <w:r>
        <w:t xml:space="preserve"> </w:t>
      </w:r>
      <m:oMath>
        <m:r>
          <m:t>W</m:t>
        </m:r>
      </m:oMath>
      <w:r>
        <w:t xml:space="preserve">, even when the underlying dynamics is not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fraktur"/>
                </m:rPr>
                <m:t>J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rPr>
                      <m:sty m:val="p"/>
                      <m:scr m:val="fraktur"/>
                    </m:rP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where, given NP firing times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 branches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with jump vectors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sSub>
                  <m:e>
                    <m:r>
                      <m:t>σ</m:t>
                    </m:r>
                  </m:e>
                  <m:sub>
                    <m:r>
                      <m:t>i</m:t>
                    </m:r>
                  </m:sub>
                </m:sSub>
              </m:sub>
            </m:sSub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d>
          </m:e>
        </m:d>
        <m:r>
          <m:rPr>
            <m:sty m:val="p"/>
          </m:rPr>
          <m:t>⋅</m:t>
        </m:r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∈</m:t>
        </m:r>
        <m:r>
          <m:t>W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S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  <m:scr m:val="double-struck"/>
              </m:rPr>
              <m:t>R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⊂</m:t>
        </m:r>
        <m:r>
          <m:t>W</m:t>
        </m:r>
      </m:oMath>
      <w:r>
        <w:t xml:space="preserve"> </w:t>
      </w:r>
      <w:r>
        <w:t xml:space="preserve">(saturating</w:t>
      </w:r>
      <w:r>
        <w:t xml:space="preserve"> </w:t>
      </w:r>
      <w:r>
        <w:t xml:space="preserve">vector scar span;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28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Sup>
          <m:e>
            <m:r>
              <m:rPr>
                <m:sty m:val="p"/>
              </m:rPr>
              <m:t>⨁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  <m:scr m:val="double-struck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(count-faithful event-indexed module);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μ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rPr>
                    <m:sty m:val="b"/>
                  </m:rP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</m:oMath>
      <w:r>
        <w:t xml:space="preserve"> </w:t>
      </w:r>
      <w:r>
        <w:t xml:space="preserve">(vector-level isotypic profile of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; see §4.4 for the</w:t>
      </w:r>
      <w:r>
        <w:t xml:space="preserve"> </w:t>
      </w:r>
      <w:r>
        <w:t xml:space="preserve">operator-level extension).</w:t>
      </w:r>
    </w:p>
    <w:p>
      <w:pPr>
        <w:pStyle w:val="FirstParagraph"/>
      </w:pPr>
      <w:r>
        <w:t xml:space="preserve">The three real-irreducible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-representations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are characterized in §4.2.</w:t>
      </w:r>
    </w:p>
    <w:p>
      <w:pPr>
        <w:pStyle w:val="BodyText"/>
      </w:pPr>
      <w:r>
        <w:rPr>
          <w:b/>
          <w:bCs/>
        </w:rPr>
        <w:t xml:space="preserve">Setup question for §4.</w:t>
      </w:r>
      <w:r>
        <w:t xml:space="preserve"> </w:t>
      </w:r>
      <w:r>
        <w:t xml:space="preserve">Suppose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are scar records of two substrates that</w:t>
      </w:r>
      <w:r>
        <w:t xml:space="preserve"> </w:t>
      </w:r>
      <w:r>
        <w:t xml:space="preserve">have co-evolved through the same sequence of paradox events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 with substrate-level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-actions inherited</w:t>
      </w:r>
      <w:r>
        <w:t xml:space="preserve"> </w:t>
      </w:r>
      <w:r>
        <w:t xml:space="preserve">from each substrate’s representation theory (the biological</w:t>
      </w:r>
      <w:r>
        <w:t xml:space="preserve"> </w:t>
      </w:r>
      <w:r>
        <w:t xml:space="preserve">representation’s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is itself an empirical question, per</w:t>
      </w:r>
      <w:r>
        <w:t xml:space="preserve"> </w:t>
      </w:r>
      <w:r>
        <w:t xml:space="preserve">§4.6 below; here we treat both records as input). Under what conditions</w:t>
      </w:r>
      <w:r>
        <w:t xml:space="preserve"> </w:t>
      </w:r>
      <w:r>
        <w:t xml:space="preserve">is there a</w:t>
      </w:r>
      <w:r>
        <w:t xml:space="preserve"> </w:t>
      </w:r>
      <w:r>
        <w:rPr>
          <w:i/>
          <w:iCs/>
        </w:rPr>
        <w:t xml:space="preserve">canonical isomorphism</w:t>
      </w:r>
      <w:r>
        <w:t xml:space="preserve"> </w:t>
      </w:r>
      <w:r>
        <w:t xml:space="preserve">identifying them?</w:t>
      </w:r>
    </w:p>
    <w:bookmarkEnd w:id="20"/>
    <w:bookmarkStart w:id="21" w:name="f₂₁-representation-theory-on-v14-and-w"/>
    <w:p>
      <w:pPr>
        <w:pStyle w:val="Heading3"/>
      </w:pPr>
      <w:r>
        <w:t xml:space="preserve">4.2 F₂₁ representation theory on V^14 and W</w:t>
      </w:r>
    </w:p>
    <w:p>
      <w:pPr>
        <w:pStyle w:val="FirstParagraph"/>
      </w:pPr>
      <w:r>
        <w:rPr>
          <w:b/>
          <w:bCs/>
        </w:rPr>
        <w:t xml:space="preserve">Theorem 4.2.1 (F_{21}-decomposition of V^14).</w:t>
      </w:r>
      <w:r>
        <w:t xml:space="preserve"> </w:t>
      </w:r>
      <w:r>
        <w:rPr>
          <w:i/>
          <w:iCs/>
        </w:rPr>
        <w:t xml:space="preserve">Under the diagonal</w:t>
      </w:r>
      <w:r>
        <w:rPr>
          <w:i/>
          <w:iCs/>
        </w:rPr>
        <w:t xml:space="preserve"> </w:t>
      </w:r>
      <w:r>
        <w:rPr>
          <w:i/>
          <w:iCs/>
        </w:rPr>
        <w:t xml:space="preserve">Fano-orientation action,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r>
                <m:t>14</m:t>
              </m:r>
            </m:sup>
          </m:sSup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≅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2</m:t>
          </m:r>
          <m:sSub>
            <m:e>
              <m:r>
                <m:t>U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real 2-dim irreducible representation of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of complex type and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real 6-dim irreducible representation</w:t>
      </w:r>
      <w:r>
        <w:rPr>
          <w:i/>
          <w:iCs/>
        </w:rPr>
        <w:t xml:space="preserve"> </w:t>
      </w:r>
      <w:r>
        <w:rPr>
          <w:i/>
          <w:iCs/>
        </w:rPr>
        <w:t xml:space="preserve">of complex type. Consequently,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≅</m:t>
          </m:r>
          <m:r>
            <m:t>2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4</m:t>
          </m:r>
          <m:sSub>
            <m:e>
              <m:r>
                <m:t>U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has five conjugacy classes:</w:t>
      </w:r>
      <w:r>
        <w:t xml:space="preserve"> </w:t>
      </w:r>
      <m:oMath>
        <m:r>
          <m:t>1</m:t>
        </m:r>
        <m:r>
          <m:t>a</m:t>
        </m:r>
      </m:oMath>
      <w:r>
        <w:t xml:space="preserve"> </w:t>
      </w:r>
      <w:r>
        <w:t xml:space="preserve">(size</w:t>
      </w:r>
      <w:r>
        <w:t xml:space="preserve"> </w:t>
      </w:r>
      <m:oMath>
        <m:r>
          <m:t>1</m:t>
        </m:r>
      </m:oMath>
      <w:r>
        <w:t xml:space="preserve">), two</w:t>
      </w:r>
      <w:r>
        <w:t xml:space="preserve"> </w:t>
      </w:r>
      <w:r>
        <w:t xml:space="preserve">order-</w:t>
      </w:r>
      <m:oMath>
        <m:r>
          <m:t>7</m:t>
        </m:r>
      </m:oMath>
      <w:r>
        <w:t xml:space="preserve"> </w:t>
      </w:r>
      <w:r>
        <w:t xml:space="preserve">classes</w:t>
      </w:r>
      <w:r>
        <w:t xml:space="preserve"> </w:t>
      </w:r>
      <m:oMath>
        <m:r>
          <m:t>7</m:t>
        </m:r>
        <m:r>
          <m:t>a</m:t>
        </m:r>
        <m:r>
          <m:rPr>
            <m:sty m:val="p"/>
          </m:rPr>
          <m:t>,</m:t>
        </m:r>
        <m:r>
          <m:t>7</m:t>
        </m:r>
        <m:r>
          <m:t>b</m:t>
        </m:r>
      </m:oMath>
      <w:r>
        <w:t xml:space="preserve"> </w:t>
      </w:r>
      <w:r>
        <w:t xml:space="preserve">(size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each), and two order-</w:t>
      </w:r>
      <m:oMath>
        <m:r>
          <m:t>3</m:t>
        </m:r>
      </m:oMath>
      <w:r>
        <w:t xml:space="preserve"> </w:t>
      </w:r>
      <w:r>
        <w:t xml:space="preserve">classes</w:t>
      </w:r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,</m:t>
        </m:r>
        <m:r>
          <m:t>3</m:t>
        </m:r>
        <m:r>
          <m:t>b</m:t>
        </m:r>
      </m:oMath>
      <w:r>
        <w:t xml:space="preserve"> </w:t>
      </w:r>
      <w:r>
        <w:t xml:space="preserve">(size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each). Its complex character table (Costa-Pavone;</w:t>
      </w:r>
      <w:r>
        <w:t xml:space="preserve"> </w:t>
      </w:r>
      <w:r>
        <w:t xml:space="preserve">ATLAS [</w:t>
      </w:r>
      <w:r>
        <w:t xml:space="preserve">_{21}]) has three 1-dim characters and a Galois-conjugate</w:t>
      </w:r>
      <w:r>
        <w:t xml:space="preserve"> </w:t>
      </w:r>
      <w:r>
        <w:t xml:space="preserve">pair of 3-dim characters;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irreducible packaging combines</w:t>
      </w:r>
      <w:r>
        <w:t xml:space="preserve"> </w:t>
      </w:r>
      <w:r>
        <w:t xml:space="preserve">the conjugate pairs into the two real complex-type irreducibles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r>
                  <m:t>1</m:t>
                </m:r>
                <m:r>
                  <m:t>a</m:t>
                </m:r>
              </m:e>
              <m:e>
                <m:r>
                  <m:t>7</m:t>
                </m:r>
                <m:r>
                  <m:t>a</m:t>
                </m:r>
              </m:e>
              <m:e>
                <m:r>
                  <m:t>7</m:t>
                </m:r>
                <m:r>
                  <m:t>b</m:t>
                </m:r>
              </m:e>
              <m:e>
                <m:r>
                  <m:t>3</m:t>
                </m:r>
                <m:r>
                  <m:t>a</m:t>
                </m:r>
              </m:e>
              <m:e>
                <m:r>
                  <m:t>3</m:t>
                </m:r>
                <m:r>
                  <m:t>b</m:t>
                </m:r>
              </m:e>
            </m:mr>
            <m:mr>
              <m:e>
                <m:sSub>
                  <m:e>
                    <m:r>
                      <m:t>χ</m:t>
                    </m:r>
                  </m:e>
                  <m:sub>
                    <m:r>
                      <m:rPr>
                        <m:sty m:val="b"/>
                      </m:rPr>
                      <m:t>1</m:t>
                    </m:r>
                  </m:sub>
                </m:sSub>
              </m:e>
              <m:e>
                <m:r>
                  <m:t>1</m:t>
                </m:r>
              </m:e>
              <m:e>
                <m:r>
                  <m:t>1</m:t>
                </m:r>
              </m:e>
              <m:e>
                <m:r>
                  <m:t>1</m:t>
                </m:r>
              </m:e>
              <m:e>
                <m:r>
                  <m:t>1</m:t>
                </m:r>
              </m:e>
              <m:e>
                <m:r>
                  <m:t>1</m:t>
                </m:r>
              </m:e>
            </m:mr>
            <m:mr>
              <m:e>
                <m:sSub>
                  <m:e>
                    <m:r>
                      <m:t>χ</m:t>
                    </m:r>
                  </m:e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</m:e>
              <m:e>
                <m:r>
                  <m:t>2</m:t>
                </m:r>
              </m:e>
              <m:e>
                <m:r>
                  <m:t>2</m:t>
                </m:r>
              </m:e>
              <m:e>
                <m:r>
                  <m:t>2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mr>
            <m:mr>
              <m:e>
                <m:sSub>
                  <m:e>
                    <m:r>
                      <m:t>χ</m:t>
                    </m:r>
                  </m:e>
                  <m: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6</m:t>
                        </m:r>
                      </m:sub>
                    </m:sSub>
                  </m:sub>
                </m:sSub>
              </m:e>
              <m:e>
                <m:r>
                  <m:t>6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>
                <m:r>
                  <m:t>0</m:t>
                </m:r>
              </m:e>
              <m:e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The 7-dimensional imaginary-octonion representation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indexed by the seven points of the Fano plane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</w:t>
      </w:r>
      <w:r>
        <w:t xml:space="preserve"> </w:t>
      </w:r>
      <w:r>
        <w:t xml:space="preserve">Under the standard Frobenius-group action (RES-4 v3 prose):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generator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acts by cyclic shift of the seven</w:t>
      </w:r>
      <w:r>
        <w:t xml:space="preserve"> </w:t>
      </w:r>
      <w:r>
        <w:t xml:space="preserve">Fano-point labels; 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this is an order-7 permutation</w:t>
      </w:r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generator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acts with cycle structure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on the seven Fano points: there is one</w:t>
      </w:r>
      <w:r>
        <w:t xml:space="preserve"> </w:t>
      </w:r>
      <m:oMath>
        <m:r>
          <m:t>s</m:t>
        </m:r>
      </m:oMath>
      <w:r>
        <w:t xml:space="preserve">-fixed point (corresponding</w:t>
      </w:r>
      <w:r>
        <w:t xml:space="preserve"> </w:t>
      </w:r>
      <w:r>
        <w:t xml:space="preserve">to the unique Fano line that is</w:t>
      </w:r>
      <w:r>
        <w:t xml:space="preserve"> </w:t>
      </w:r>
      <m:oMath>
        <m:r>
          <m:t>s</m:t>
        </m:r>
      </m:oMath>
      <w:r>
        <w:t xml:space="preserve">-invariant</w:t>
      </w:r>
      <w:r>
        <w:t xml:space="preserve"> </w:t>
      </w:r>
      <w:r>
        <w:rPr>
          <w:i/>
          <w:iCs/>
        </w:rPr>
        <w:t xml:space="preserve">as a set of three</w:t>
      </w:r>
      <w:r>
        <w:rPr>
          <w:i/>
          <w:iCs/>
        </w:rPr>
        <w:t xml:space="preserve"> </w:t>
      </w:r>
      <w:r>
        <w:rPr>
          <w:i/>
          <w:iCs/>
        </w:rPr>
        <w:t xml:space="preserve">points</w:t>
      </w:r>
      <w:r>
        <w:t xml:space="preserve">; the action restricted to that line is trivial in a chosen</w:t>
      </w:r>
      <w:r>
        <w:t xml:space="preserve"> </w:t>
      </w:r>
      <w:r>
        <w:t xml:space="preserve">realization, fixing the line’s three points pointwise after a</w:t>
      </w:r>
      <w:r>
        <w:t xml:space="preserve"> </w:t>
      </w:r>
      <w:r>
        <w:t xml:space="preserve">representation-theoretic re-labeling that contributes one fixed</w:t>
      </w:r>
      <w:r>
        <w:t xml:space="preserve"> </w:t>
      </w:r>
      <w:r>
        <w:t xml:space="preserve">point’s worth of trace), plus two</w:t>
      </w:r>
      <w:r>
        <w:t xml:space="preserve"> </w:t>
      </w:r>
      <m:oMath>
        <m:r>
          <m:t>3</m:t>
        </m:r>
      </m:oMath>
      <w:r>
        <w:t xml:space="preserve">-cycles on the remaining six</w:t>
      </w:r>
      <w:r>
        <w:t xml:space="preserve"> </w:t>
      </w:r>
      <w:r>
        <w:t xml:space="preserve">Fano points; 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this is an order-3 permutation matrix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Frobenius relation</w:t>
      </w:r>
      <w:r>
        <w:t xml:space="preserve"> </w:t>
      </w:r>
      <m:oMath>
        <m:r>
          <m:t>s</m:t>
        </m:r>
        <m:r>
          <m:t>r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 (verified numerically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paper12_q4_character_verify.py</w:t>
      </w:r>
      <w:r>
        <w:t xml:space="preserve"> </w:t>
      </w:r>
      <w:r>
        <w:t xml:space="preserve">to machine precision), establishing</w:t>
      </w:r>
      <w:r>
        <w:t xml:space="preserve"> </w:t>
      </w:r>
      <w:r>
        <w:t xml:space="preserve">that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generate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. The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fixed point gives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, and the cycle structure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 Fano points yields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7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, so: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7</m:t>
              </m:r>
            </m:sup>
          </m:sSup>
          <m:sSub>
            <m:e>
              <m:r>
                <m:rPr>
                  <m:sty m:val="p"/>
                </m:rPr>
                <m:t>|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r>
            <m:rPr>
              <m:sty m:val="p"/>
            </m:rPr>
            <m:t>≅</m:t>
          </m:r>
          <m:r>
            <m:rPr>
              <m:sty m:val="b"/>
            </m:rPr>
            <m:t>1</m:t>
          </m:r>
          <m:r>
            <m:rPr>
              <m:sty m:val="p"/>
            </m:rPr>
            <m:t>⊕</m:t>
          </m:r>
          <m:sSub>
            <m:e>
              <m:r>
                <m:t>U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-decomposition</w:t>
      </w:r>
      <w:r>
        <w:t xml:space="preserve">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  <m:scr m:val="double-struck"/>
                  </m:rPr>
                  <m:t>R</m:t>
                </m:r>
              </m:e>
              <m:sup>
                <m:r>
                  <m:t>7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and the character formula</w:t>
      </w:r>
      <w:r>
        <w:t xml:space="preserve"> </w:t>
      </w:r>
      <m:oMath>
        <m:sSub>
          <m:e>
            <m:r>
              <m:t>χ</m:t>
            </m:r>
          </m:e>
          <m:sub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  <m:sup>
                    <m:r>
                      <m:t>7</m:t>
                    </m:r>
                  </m:sup>
                </m:sSup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χ</m:t>
              </m:r>
            </m:e>
            <m:sub>
              <m:sSup>
                <m:e>
                  <m:r>
                    <m:t>V</m:t>
                  </m:r>
                </m:e>
                <m:sup>
                  <m:r>
                    <m:t>14</m:t>
                  </m:r>
                </m:sup>
              </m:sSup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sSub>
            <m:e>
              <m:r>
                <m:t>χ</m:t>
              </m:r>
            </m:e>
            <m: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p"/>
                          <m:scr m:val="double-struck"/>
                        </m:rPr>
                        <m:t>R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−</m:t>
          </m:r>
          <m:sSub>
            <m:e>
              <m:r>
                <m:t>χ</m:t>
              </m:r>
            </m:e>
            <m:sub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7</m:t>
                  </m:r>
                </m:sup>
              </m:sSup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Evaluating on class representatives: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09"/>
        <w:gridCol w:w="3133"/>
        <w:gridCol w:w="1740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χ</m:t>
                  </m:r>
                </m:e>
                <m:sub>
                  <m:sSup>
                    <m:e>
                      <m:r>
                        <m:t>V</m:t>
                      </m:r>
                    </m:e>
                    <m:sup>
                      <m:r>
                        <m:t>14</m:t>
                      </m:r>
                    </m:sup>
                  </m:sSup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χ</m:t>
                  </m:r>
                </m:e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χ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7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</w:tbl>
    <w:p>
      <w:pPr>
        <w:pStyle w:val="BodyText"/>
      </w:pPr>
      <w:r>
        <w:t xml:space="preserve">Match on all five classes. The Frobenius inner product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  <m:r>
          <m:rPr>
            <m:sty m:val="p"/>
          </m:rPr>
          <m:t>,</m:t>
        </m:r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  <m:sSub>
          <m:e>
            <m:r>
              <m:rPr>
                <m:sty m:val="p"/>
              </m:rPr>
              <m:t>⟩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t>196</m:t>
            </m:r>
            <m:r>
              <m:rPr>
                <m:sty m:val="p"/>
              </m:rPr>
              <m:t>+</m:t>
            </m:r>
            <m:r>
              <m:t>7</m:t>
            </m:r>
            <m:r>
              <m:rPr>
                <m:sty m:val="p"/>
              </m:rPr>
              <m:t>+</m:t>
            </m:r>
            <m:r>
              <m:t>7</m:t>
            </m:r>
          </m:e>
        </m:d>
        <m:r>
          <m:rPr>
            <m:sty m:val="p"/>
          </m:rPr>
          <m:t>/</m:t>
        </m:r>
        <m:r>
          <m:t>21</m:t>
        </m:r>
        <m:r>
          <m:rPr>
            <m:sty m:val="p"/>
          </m:rPr>
          <m:t>=</m:t>
        </m:r>
        <m:r>
          <m:t>10</m:t>
        </m:r>
      </m:oMath>
      <w:r>
        <w:t xml:space="preserve">, equal to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where the factor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terms accounts for both</w:t>
      </w:r>
      <w:r>
        <w:t xml:space="preserve"> </w:t>
      </w:r>
      <w:r>
        <w:t xml:space="preserve">being of complex type (each is the real packaging of a Galois-conjugate</w:t>
      </w:r>
      <w:r>
        <w:t xml:space="preserve"> </w:t>
      </w:r>
      <w:r>
        <w:t xml:space="preserve">pair, so</w:t>
      </w:r>
      <w:r>
        <w:t xml:space="preserve"> </w:t>
      </w:r>
      <m:oMath>
        <m:r>
          <m:rPr>
            <m:sty m:val="p"/>
          </m:rPr>
          <m:t>⟨</m:t>
        </m:r>
        <m:r>
          <m:t>χ</m:t>
        </m:r>
        <m:r>
          <m:rPr>
            <m:sty m:val="p"/>
          </m:rPr>
          <m:t>,</m:t>
        </m:r>
        <m:r>
          <m:t>χ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 the real-irreducible</w:t>
      </w:r>
      <w:r>
        <w:t xml:space="preserve"> </w:t>
      </w:r>
      <w:r>
        <w:t xml:space="preserve">character). The decomposition is therefore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, and the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⊕</m:t>
        </m:r>
        <m:r>
          <m:t>V</m:t>
        </m:r>
      </m:oMath>
      <w:r>
        <w:t xml:space="preserve"> </w:t>
      </w:r>
      <w:r>
        <w:t xml:space="preserve">doubling is by direct-sum linearity.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Computational verification.</w:t>
      </w:r>
      <w:r>
        <w:t xml:space="preserve"> </w:t>
      </w:r>
      <w:r>
        <w:t xml:space="preserve">Theorem 4.2.1 has been verified</w:t>
      </w:r>
      <w:r>
        <w:t xml:space="preserve"> </w:t>
      </w:r>
      <w:r>
        <w:t xml:space="preserve">numerically at machine precision by explicit construction of the</w:t>
      </w:r>
      <w:r>
        <w:t xml:space="preserve"> </w:t>
      </w:r>
      <w:r>
        <w:t xml:space="preserve">Fano-action permutation matrices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t>r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computation of</w:t>
      </w:r>
      <w:r>
        <w:t xml:space="preserve"> </w:t>
      </w:r>
      <m:oMath>
        <m:sSub>
          <m:e>
            <m:r>
              <m:t>χ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</m:oMath>
      <w:r>
        <w:t xml:space="preserve"> </w:t>
      </w:r>
      <w:r>
        <w:t xml:space="preserve">on each class representative,</w:t>
      </w:r>
      <w:r>
        <w:t xml:space="preserve"> </w:t>
      </w:r>
      <w:r>
        <w:t xml:space="preserve">and Frobenius inner-product and isotypic-multiplicity checks against</w:t>
      </w:r>
      <w:r>
        <w:t xml:space="preserve"> </w:t>
      </w:r>
      <w:r>
        <w:t xml:space="preserve">the predicted decomposition; all three layers of check pass.</w:t>
      </w:r>
      <w:r>
        <w:t xml:space="preserve"> </w:t>
      </w:r>
      <w:r>
        <w:rPr>
          <w:rStyle w:val="VerbatimChar"/>
        </w:rPr>
        <w:t xml:space="preserve">outbox/paper12/computations/paper12_q4_character_verify.{py,json}</w:t>
      </w:r>
      <w:r>
        <w:t xml:space="preserve"> </w:t>
      </w:r>
      <w:r>
        <w:t xml:space="preserve">records the full audit.</w:t>
      </w:r>
    </w:p>
    <w:bookmarkEnd w:id="21"/>
    <w:bookmarkStart w:id="22" w:name="the-commutant-gap"/>
    <w:p>
      <w:pPr>
        <w:pStyle w:val="Heading3"/>
      </w:pPr>
      <w:r>
        <w:t xml:space="preserve">4.3 The commutant gap</w:t>
      </w:r>
    </w:p>
    <w:p>
      <w:pPr>
        <w:pStyle w:val="FirstParagraph"/>
      </w:pPr>
      <w:r>
        <w:rPr>
          <w:b/>
          <w:bCs/>
        </w:rPr>
        <w:t xml:space="preserve">Proposition 4.3.1 (Commutants on</w:t>
      </w:r>
      <w:r>
        <w:rPr>
          <w:b/>
          <w:bCs/>
        </w:rPr>
        <w:t xml:space="preserve"> </w:t>
      </w:r>
      <m:oMath>
        <m:r>
          <m:t>W</m:t>
        </m:r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≅</m:t>
        </m:r>
        <m:r>
          <m:t>2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4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as an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-representation,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End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As a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-representation,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multiplicity-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 absolutely</w:t>
      </w:r>
      <w:r>
        <w:rPr>
          <w:i/>
          <w:iCs/>
        </w:rPr>
        <w:t xml:space="preserve"> </w:t>
      </w:r>
      <w:r>
        <w:rPr>
          <w:i/>
          <w:iCs/>
        </w:rPr>
        <w:t xml:space="preserve">irreducible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, 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End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For real irreducibles of complex type,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(real Schur</w:t>
      </w:r>
      <w:r>
        <w:t xml:space="preserve"> </w:t>
      </w:r>
      <w:r>
        <w:t xml:space="preserve">trichotomy: complexified</w:t>
      </w:r>
      <w:r>
        <w:t xml:space="preserve"> </w:t>
      </w:r>
      <m:oMath>
        <m:sSub>
          <m:e>
            <m:r>
              <m:t>V</m:t>
            </m:r>
          </m:e>
          <m:sub>
            <m:r>
              <m:t>λ</m:t>
            </m:r>
          </m:sub>
        </m:sSub>
        <m:r>
          <m:rPr>
            <m:sty m:val="p"/>
          </m:rPr>
          <m:t>≅</m:t>
        </m:r>
        <m:r>
          <m:t>U</m:t>
        </m:r>
        <m:r>
          <m:rPr>
            <m:sty m:val="p"/>
          </m:rPr>
          <m:t>⊕</m:t>
        </m:r>
        <m:acc>
          <m:accPr>
            <m:chr m:val="‾"/>
          </m:accPr>
          <m:e>
            <m:r>
              <m:t>U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≆</m:t>
        </m:r>
        <m:acc>
          <m:accPr>
            <m:chr m:val="‾"/>
          </m:accPr>
          <m:e>
            <m:r>
              <m:t>U</m:t>
            </m:r>
          </m:e>
        </m:acc>
      </m:oMath>
      <w:r>
        <w:t xml:space="preserve">). Both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are complex-type, so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≅</m:t>
        </m:r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C</m:t>
        </m:r>
      </m:oMath>
      <w:r>
        <w:t xml:space="preserve">. With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-multiplicities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End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R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⊕</m:t>
          </m:r>
          <m:sSub>
            <m:e>
              <m:r>
                <m:t>M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real absolutely irreducible (Paper 9 Lemma 3.6.1),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R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≅</m:t>
        </m:r>
        <m:sSup>
          <m:e>
            <m:r>
              <m:t>V</m:t>
            </m:r>
          </m:e>
          <m:sup>
            <m:r>
              <m:t>14</m:t>
            </m:r>
            <m:r>
              <m:rPr>
                <m:sty m:val="p"/>
              </m:rPr>
              <m:t>⊕</m:t>
            </m:r>
            <m:r>
              <m:t>2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4.3.2 (Equivariant isometry groups, real-dimension count).</w:t>
      </w:r>
      <w:r>
        <w:t xml:space="preserve"> </w:t>
      </w:r>
      <w:r>
        <w:rPr>
          <w:i/>
          <w:iCs/>
        </w:rPr>
        <w:t xml:space="preserve">The equivariant isometry groups of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×</m:t>
          </m:r>
          <m:r>
            <m:t>U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O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≅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with real dimensions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dim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dim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upgrade reduces</w:t>
      </w:r>
      <w:r>
        <w:rPr>
          <w:i/>
          <w:iCs/>
        </w:rPr>
        <w:t xml:space="preserve"> </w:t>
      </w:r>
      <w:r>
        <w:rPr>
          <w:i/>
          <w:iCs/>
        </w:rPr>
        <w:t xml:space="preserve">the equivariant-isometry group by exactly</w:t>
      </w:r>
      <w:r>
        <w:rPr>
          <w:i/>
          <w:iCs/>
        </w:rPr>
        <w:t xml:space="preserve"> </w:t>
      </w:r>
      <m:oMath>
        <m:r>
          <m:t>20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real dimensions.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Restricting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C</m:t>
                </m:r>
              </m:e>
            </m:d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∩</m:t>
        </m:r>
        <m:r>
          <m:t>U</m:t>
        </m:r>
        <m:r>
          <m:rPr>
            <m:sty m:val="p"/>
          </m:rPr>
          <m:t>→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(where the unitary</w:t>
      </w:r>
      <w:r>
        <w:t xml:space="preserve"> </w:t>
      </w:r>
      <w:r>
        <w:t xml:space="preserve">condition uses the natural Hermitian metric) and</w:t>
      </w:r>
      <w:r>
        <w:t xml:space="preserve"> </w:t>
      </w:r>
      <m:oMath>
        <m:sSub>
          <m:e>
            <m:r>
              <m:t>M</m:t>
            </m:r>
          </m:e>
          <m:sub>
            <m:r>
              <m:t>4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C</m:t>
                </m:r>
              </m:e>
            </m:d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∩</m:t>
        </m:r>
        <m:r>
          <m:t>U</m:t>
        </m:r>
        <m:r>
          <m:rPr>
            <m:sty m:val="p"/>
          </m:rPr>
          <m:t>→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,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isometry group is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.</w:t>
      </w:r>
      <w:r>
        <w:t xml:space="preserve"> </w:t>
      </w:r>
      <w:r>
        <w:t xml:space="preserve">The full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subgroup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— preserves orientation on</w:t>
      </w:r>
      <w:r>
        <w:t xml:space="preserve"> </w:t>
      </w:r>
      <w:r>
        <w:t xml:space="preserve">the underlying real space (because</w:t>
      </w:r>
      <w:r>
        <w:t xml:space="preserve"> </w:t>
      </w:r>
      <m:oMath>
        <m:sSub>
          <m:e>
            <m:r>
              <m:rPr>
                <m:sty m:val="p"/>
              </m:rPr>
              <m:t>det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</m:rPr>
                      <m:t>det</m:t>
                    </m:r>
                  </m:e>
                  <m:sub>
                    <m:r>
                      <m:rPr>
                        <m:sty m:val="p"/>
                        <m:scr m:val="double-struck"/>
                      </m:rPr>
                      <m:t>C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). Similarly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R</m:t>
                </m:r>
              </m:e>
            </m:d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∩</m:t>
        </m:r>
        <m:r>
          <m:t>O</m:t>
        </m:r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. The</w:t>
      </w:r>
      <w:r>
        <w:t xml:space="preserve"> </w:t>
      </w:r>
      <w:r>
        <w:t xml:space="preserve">real dimensions are</w:t>
      </w:r>
      <w:r>
        <w:t xml:space="preserve"> </w:t>
      </w:r>
      <m:oMath>
        <m:sSub>
          <m:e>
            <m:r>
              <m:rPr>
                <m:sty m:val="p"/>
              </m:rPr>
              <m:t>dim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dim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dim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The</w:t>
      </w:r>
      <w:r>
        <w:t xml:space="preserve"> </w:t>
      </w:r>
      <w:r>
        <w:t xml:space="preserve">reduction is</w:t>
      </w:r>
      <w:r>
        <w:t xml:space="preserve"> </w:t>
      </w:r>
      <m:oMath>
        <m:r>
          <m:t>20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19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i/>
          <w:iCs/>
        </w:rPr>
        <w:t xml:space="preserve">Metric note (RES-1, v3).</w:t>
      </w:r>
      <w:r>
        <w:t xml:space="preserve"> </w:t>
      </w:r>
      <w:r>
        <w:t xml:space="preserve">The identification</w:t>
      </w:r>
      <w:r>
        <w:t xml:space="preserve"> </w:t>
      </w:r>
      <m:oMath>
        <m:sSub>
          <m:e>
            <m:r>
              <m:t>O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 </w:t>
      </w:r>
      <w:r>
        <w:t xml:space="preserve">is with respect to the complex-Hermitian metric</w:t>
      </w:r>
      <w:r>
        <w:t xml:space="preserve"> </w:t>
      </w:r>
      <w:r>
        <w:t xml:space="preserve">canonically inherited from the complex structure on each complex-type</w:t>
      </w:r>
      <w:r>
        <w:t xml:space="preserve"> </w:t>
      </w:r>
      <w:r>
        <w:t xml:space="preserve">isotypic block. A different real metric choice on</w:t>
      </w:r>
      <w:r>
        <w:t xml:space="preserve"> </w:t>
      </w:r>
      <m:oMath>
        <m:r>
          <m:t>W</m:t>
        </m:r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28</m:t>
            </m:r>
          </m:sup>
        </m:sSup>
      </m:oMath>
      <w:r>
        <w:t xml:space="preserve"> </w:t>
      </w:r>
      <w:r>
        <w:t xml:space="preserve">would yield a different identification (potentially a proper subgroup</w:t>
      </w:r>
      <w:r>
        <w:t xml:space="preserve"> </w:t>
      </w:r>
      <w:r>
        <w:t xml:space="preserve">of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 </w:t>
      </w:r>
      <w:r>
        <w:t xml:space="preserve">if the chosen real metric is incompatible with</w:t>
      </w:r>
      <w:r>
        <w:t xml:space="preserve"> </w:t>
      </w:r>
      <w:r>
        <w:t xml:space="preserve">the block-Hermitian structure), but the</w:t>
      </w:r>
      <w:r>
        <w:t xml:space="preserve"> </w:t>
      </w:r>
      <w:r>
        <w:rPr>
          <w:i/>
          <w:iCs/>
        </w:rPr>
        <w:t xml:space="preserve">real dimension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isometry group is metric-independent: it equals</w:t>
      </w:r>
      <w:r>
        <w:t xml:space="preserve"> </w:t>
      </w:r>
      <m:oMath>
        <m:sSub>
          <m:e>
            <m:r>
              <m:rPr>
                <m:sty m:val="p"/>
              </m:rPr>
              <m:t>dim</m:t>
            </m:r>
          </m:e>
          <m:sub>
            <m:r>
              <m:rPr>
                <m:sty m:val="p"/>
                <m:scr m:val="double-struck"/>
              </m:rPr>
              <m:t>R</m:t>
            </m:r>
          </m:sub>
        </m:sSub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</m:e>
            </m:d>
          </m:e>
          <m:sub>
            <m:r>
              <m:rPr>
                <m:nor/>
                <m:sty m:val="p"/>
              </m:rPr>
              <m:t>anti-Hermitian</m:t>
            </m:r>
          </m:sub>
        </m:sSub>
      </m:oMath>
      <w:r>
        <w:t xml:space="preserve">,</w:t>
      </w:r>
      <w:r>
        <w:t xml:space="preserve"> </w:t>
      </w:r>
      <w:r>
        <w:t xml:space="preserve">depending only on the isotypic structure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.</w:t>
      </w:r>
    </w:p>
    <w:p>
      <w:pPr>
        <w:pStyle w:val="BodyText"/>
      </w:pPr>
      <w:r>
        <w:t xml:space="preserve">The quantitative content of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upgrade is now</w:t>
      </w:r>
      <w:r>
        <w:t xml:space="preserve"> </w:t>
      </w:r>
      <w:r>
        <w:t xml:space="preserve">explicit: passing from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-equivariance to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</w:t>
      </w:r>
      <w:r>
        <w:t xml:space="preserve"> </w:t>
      </w:r>
      <w:r>
        <w:t xml:space="preserve">suppresses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real dimensions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phase-and-mixing</w:t>
      </w:r>
      <w:r>
        <w:t xml:space="preserve"> </w:t>
      </w:r>
      <w:r>
        <w:t xml:space="preserve">freedom that would otherwise leave a canonical commensurability map</w:t>
      </w:r>
      <w:r>
        <w:t xml:space="preserve"> </w:t>
      </w:r>
      <w:r>
        <w:t xml:space="preserve">underdetermined.</w:t>
      </w:r>
    </w:p>
    <w:p>
      <w:pPr>
        <w:pStyle w:val="BodyText"/>
      </w:pPr>
      <w:r>
        <w:rPr>
          <w:b/>
          <w:bCs/>
        </w:rPr>
        <w:t xml:space="preserve">Remark 4.3.3 (Why complex-type reps block uniqueness).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6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the source of phase ambiguity: each complex-type</w:t>
      </w:r>
      <w:r>
        <w:t xml:space="preserve"> </w:t>
      </w:r>
      <w:r>
        <w:t xml:space="preserve">isotypic block admits a full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-worth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</w:t>
      </w:r>
      <w:r>
        <w:t xml:space="preserve"> </w:t>
      </w:r>
      <w:r>
        <w:t xml:space="preserve">automorphisms (not just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), and the extra</w:t>
      </w:r>
      <w:r>
        <w:t xml:space="preserve"> </w:t>
      </w:r>
      <m:oMath>
        <m:r>
          <m:t>U</m:t>
        </m:r>
        <m:r>
          <m:rPr>
            <m:sty m:val="p"/>
          </m:rPr>
          <m:t>/</m:t>
        </m:r>
        <m:r>
          <m:t>O</m:t>
        </m:r>
      </m:oMath>
      <w:r>
        <w:t xml:space="preserve"> </w:t>
      </w:r>
      <w:r>
        <w:t xml:space="preserve">dimensions</w:t>
      </w:r>
      <w:r>
        <w:t xml:space="preserve"> </w:t>
      </w:r>
      <w:r>
        <w:t xml:space="preserve">are exactly the phases.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 collapses the phases because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real absolutely irreducible: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not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, so there are no phases to rotate.</w:t>
      </w:r>
    </w:p>
    <w:bookmarkEnd w:id="22"/>
    <w:bookmarkStart w:id="23" w:name="the-commensurability-hierarchy-theorem"/>
    <w:p>
      <w:pPr>
        <w:pStyle w:val="Heading3"/>
      </w:pPr>
      <w:r>
        <w:t xml:space="preserve">4.4 The commensurability hierarchy theorem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be the (substrate-dependent)</w:t>
      </w:r>
      <w:r>
        <w:t xml:space="preserve"> </w:t>
      </w:r>
      <w:r>
        <w:t xml:space="preserve">representation spaces on which the synthetic and biological scar maps</w:t>
      </w:r>
      <w:r>
        <w:t xml:space="preserve"> </w:t>
      </w:r>
      <w:r>
        <w:t xml:space="preserve">take values, and let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End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⊆</m:t>
        </m:r>
        <m:r>
          <m:rPr>
            <m:sty m:val="p"/>
          </m:rPr>
          <m:t>End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</m:sub>
            </m:sSub>
          </m:e>
        </m:d>
      </m:oMath>
      <w:r>
        <w:t xml:space="preserve"> </w:t>
      </w:r>
      <w:r>
        <w:t xml:space="preserve">be</w:t>
      </w:r>
      <w:r>
        <w:t xml:space="preserve"> </w:t>
      </w:r>
      <w:r>
        <w:t xml:space="preserve">the real linear spans of the scar-encoding images. The group acts on</w:t>
      </w:r>
      <w:r>
        <w:t xml:space="preserve"> </w:t>
      </w:r>
      <w:r>
        <w:t xml:space="preserve">operator scars by conjugation,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sty m:val="p"/>
              </m:rPr>
              <m:t>•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A</m:t>
        </m:r>
        <m:sSub>
          <m:e>
            <m:r>
              <m:t>ρ</m:t>
            </m:r>
          </m:e>
          <m:sub>
            <m:r>
              <m:rPr>
                <m:sty m:val="p"/>
              </m:rPr>
              <m:t>•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Rank-One Convention (RES-2, v3) for operator-vs-vector translation.</w:t>
      </w:r>
      <w:r>
        <w:t xml:space="preserve"> </w:t>
      </w:r>
      <w:r>
        <w:t xml:space="preserve">The scar invariant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§3.7 is built from</w:t>
      </w:r>
      <w:r>
        <w:t xml:space="preserve"> </w:t>
      </w:r>
      <w:r>
        <w:rPr>
          <w:i/>
          <w:iCs/>
        </w:rPr>
        <w:t xml:space="preserve">vector-level</w:t>
      </w:r>
      <w:r>
        <w:t xml:space="preserve"> </w:t>
      </w:r>
      <w:r>
        <w:t xml:space="preserve">jump vectors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W</m:t>
        </m:r>
      </m:oMath>
      <w:r>
        <w:t xml:space="preserve">. Substrate-level scar maps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•</m:t>
            </m:r>
          </m:sub>
        </m:sSub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event</m:t>
            </m:r>
          </m:e>
        </m:d>
        <m:r>
          <m:rPr>
            <m:sty m:val="p"/>
          </m:rPr>
          <m:t>→</m:t>
        </m:r>
        <m:r>
          <m:rPr>
            <m:sty m:val="p"/>
          </m:rPr>
          <m:t>End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•</m:t>
                </m:r>
              </m:sub>
            </m:sSub>
          </m:e>
        </m:d>
      </m:oMath>
      <w:r>
        <w:t xml:space="preserve"> </w:t>
      </w:r>
      <w:r>
        <w:t xml:space="preserve">produce operator-level images. We adopt the following convention</w:t>
      </w:r>
      <w:r>
        <w:t xml:space="preserve"> </w:t>
      </w:r>
      <w:r>
        <w:t xml:space="preserve">throughout §4:</w:t>
      </w:r>
    </w:p>
    <w:p>
      <w:pPr>
        <w:pStyle w:val="BodyText"/>
      </w:pPr>
      <w:r>
        <w:rPr>
          <w:i/>
          <w:iCs/>
        </w:rPr>
        <w:t xml:space="preserve">Rank-One Convention.</w:t>
      </w:r>
      <w:r>
        <w:t xml:space="preserve"> </w:t>
      </w:r>
      <w:r>
        <w:t xml:space="preserve">The substrate scar maps factor as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•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⊗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(rank-one</w:t>
      </w:r>
      <w:r>
        <w:t xml:space="preserve"> </w:t>
      </w:r>
      <w:r>
        <w:t xml:space="preserve">self-adjoint projector form on the substrate’s representation space)</w:t>
      </w:r>
      <w:r>
        <w:t xml:space="preserve"> </w:t>
      </w:r>
      <w:r>
        <w:t xml:space="preserve">for some substrate jump vector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∈</m:t>
        </m:r>
        <m:sSub>
          <m:e>
            <m:r>
              <m:t>V</m:t>
            </m:r>
          </m:e>
          <m:sub>
            <m:r>
              <m:rPr>
                <m:sty m:val="p"/>
              </m:rPr>
              <m:t>•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This is a non-trivial modeling assumption. Under it: (i) the operator</w:t>
      </w:r>
      <w:r>
        <w:t xml:space="preserve"> </w:t>
      </w:r>
      <w:r>
        <w:t xml:space="preserve">span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•</m:t>
            </m:r>
          </m:sub>
        </m:sSub>
      </m:oMath>
      <w:r>
        <w:t xml:space="preserve"> </w:t>
      </w:r>
      <w:r>
        <w:t xml:space="preserve">is uniquely determined by the vector span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e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e</m:t>
            </m:r>
          </m:sub>
        </m:sSub>
        <m:r>
          <m:rPr>
            <m:sty m:val="p"/>
          </m:rPr>
          <m:t>⊂</m:t>
        </m:r>
        <m:sSub>
          <m:e>
            <m:r>
              <m:t>V</m:t>
            </m:r>
          </m:e>
          <m:sub>
            <m:r>
              <m:rPr>
                <m:sty m:val="p"/>
              </m:rPr>
              <m:t>•</m:t>
            </m:r>
          </m:sub>
        </m:sSub>
      </m:oMath>
      <w:r>
        <w:t xml:space="preserve">; (ii) the operator-level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</w:t>
      </w:r>
      <w:r>
        <w:t xml:space="preserve"> </w:t>
      </w:r>
      <w:r>
        <w:t xml:space="preserve">profile of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•</m:t>
            </m:r>
          </m:sub>
        </m:sSub>
      </m:oMath>
      <w:r>
        <w:t xml:space="preserve"> </w:t>
      </w:r>
      <w:r>
        <w:t xml:space="preserve">matches the vector-level profile of</w:t>
      </w:r>
      <w:r>
        <w:t xml:space="preserve"> </w:t>
      </w:r>
      <m:oMath>
        <m:sSubSup>
          <m:e>
            <m:r>
              <m:t>S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•</m:t>
            </m:r>
          </m:sup>
        </m:sSubSup>
      </m:oMath>
      <w:r>
        <w:t xml:space="preserve"> </w:t>
      </w:r>
      <w:r>
        <w:t xml:space="preserve">up to the Schur multiplicity-counting factor of 2 (one factor for</w:t>
      </w:r>
      <w:r>
        <w:t xml:space="preserve"> </w:t>
      </w:r>
      <w:r>
        <w:t xml:space="preserve">left action, one for right); (iii) the conjugation 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sty m:val="p"/>
              </m:rPr>
              <m:t>•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t>A</m:t>
        </m:r>
        <m:sSub>
          <m:e>
            <m:r>
              <m:t>ρ</m:t>
            </m:r>
          </m:e>
          <m:sub>
            <m:r>
              <m:rPr>
                <m:sty m:val="p"/>
              </m:rPr>
              <m:t>•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becomes equivalent to the</w:t>
      </w:r>
      <w:r>
        <w:t xml:space="preserve"> </w:t>
      </w:r>
      <w:r>
        <w:t xml:space="preserve">ordinary linear action on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•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sty m:val="p"/>
              </m:rPr>
              <m:t>•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. Higher-rank or non-self-adjoint scar maps are an open problem (OP)</w:t>
      </w:r>
      <w:r>
        <w:t xml:space="preserve"> </w:t>
      </w:r>
      <w:r>
        <w:t xml:space="preserve">for future work.</w:t>
      </w:r>
    </w:p>
    <w:p>
      <w:pPr>
        <w:pStyle w:val="BodyText"/>
      </w:pPr>
      <w:r>
        <w:rPr>
          <w:b/>
          <w:bCs/>
        </w:rPr>
        <w:t xml:space="preserve">Theorem 4.4.1 (Commensurability hierarchy, v2 reformulation).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following three conditions on a pair of substrates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stand in the order of strict implications:</w:t>
      </w:r>
    </w:p>
    <w:p>
      <w:pPr>
        <w:pStyle w:val="BodyText"/>
      </w:pPr>
      <w:r>
        <w:rPr>
          <w:i/>
          <w:iCs/>
        </w:rPr>
        <w:t xml:space="preserve">(C1) (G₂-commensurability.)</w:t>
      </w:r>
      <w:r>
        <w:t xml:space="preserve"> </w:t>
      </w:r>
      <w:r>
        <w:t xml:space="preserve">There exists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</w:t>
      </w:r>
      <w:r>
        <w:t xml:space="preserve"> </w:t>
      </w:r>
      <w:r>
        <w:t xml:space="preserve">isomorphism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aligning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event-by-event: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S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y</m:t>
                </m:r>
                <m:r>
                  <m:rPr>
                    <m:sty m:val="p"/>
                  </m:rPr>
                  <m:t>n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e</m:t>
                </m:r>
              </m:e>
            </m:d>
          </m:e>
        </m:d>
      </m:oMath>
      <w:r>
        <w:t xml:space="preserve"> </w:t>
      </w:r>
      <w:r>
        <w:t xml:space="preserve">for every paradox event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(C2) (F₂₁-equivariant isomorphism, map-existence form.)</w:t>
      </w:r>
      <w:r>
        <w:t xml:space="preserve"> </w:t>
      </w:r>
      <w:r>
        <w:t xml:space="preserve">There exists</w:t>
      </w:r>
      <w:r>
        <w:t xml:space="preserve"> </w:t>
      </w:r>
      <w:r>
        <w:t xml:space="preserve">an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isomorphism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aligning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event-by-event.</w:t>
      </w:r>
    </w:p>
    <w:p>
      <w:pPr>
        <w:pStyle w:val="BodyText"/>
      </w:pPr>
      <w:r>
        <w:rPr>
          <w:i/>
          <w:iCs/>
        </w:rPr>
        <w:t xml:space="preserve">(C3) (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-equality.)</w:t>
      </w:r>
      <w:r>
        <w:t xml:space="preserve"> </w:t>
      </w:r>
      <w:r>
        <w:t xml:space="preserve">For every event sequence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e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component-wise on</w:t>
      </w:r>
      <w:r>
        <w:t xml:space="preserve"> </w:t>
      </w:r>
      <w:r>
        <w:t xml:space="preserve">the three real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blocks.</w:t>
      </w:r>
    </w:p>
    <w:p>
      <w:pPr>
        <w:pStyle w:val="BodyText"/>
      </w:pPr>
      <w:r>
        <w:rPr>
          <w:i/>
          <w:iCs/>
        </w:rPr>
        <w:t xml:space="preserve">The hierarchy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1</m:t>
              </m:r>
            </m:e>
          </m:d>
          <m:r>
            <m:rPr>
              <m:sty m:val="p"/>
            </m:rPr>
            <m:t>⇒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2</m:t>
              </m:r>
            </m:e>
          </m:d>
          <m:r>
            <m:rPr>
              <m:sty m:val="p"/>
            </m:rPr>
            <m:t>⇒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t>3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holds strictly; both converses fail in general.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1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</m:oMath>
      <w:r>
        <w:t xml:space="preserve">: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 is</w:t>
      </w:r>
      <w:r>
        <w:t xml:space="preserve"> </w:t>
      </w:r>
      <w:r>
        <w:t xml:space="preserve">in particular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(since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3</m:t>
            </m:r>
          </m:e>
        </m:d>
      </m:oMath>
      <w:r>
        <w:t xml:space="preserve">: if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aligns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event-by-event and is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-equivariant,</w:t>
      </w:r>
      <w:r>
        <w:t xml:space="preserve"> </w:t>
      </w:r>
      <w:r>
        <w:t xml:space="preserve">then it commutes with the isotypic projectors</w:t>
      </w:r>
      <w:r>
        <w:t xml:space="preserve"> </w:t>
      </w:r>
      <m:oMath>
        <m:sSub>
          <m:e>
            <m:r>
              <m:t>Π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(i.e.,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  <m:sSubSup>
          <m:e>
            <m:r>
              <m:t>Π</m:t>
            </m:r>
          </m:e>
          <m:sub>
            <m:r>
              <m:t>τ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τ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). The</w:t>
      </w:r>
      <w:r>
        <w:t xml:space="preserve"> </w:t>
      </w:r>
      <w:r>
        <w:t xml:space="preserve">multiplicity profiles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dim</m:t>
            </m:r>
            <m:sSub>
              <m:e>
                <m:r>
                  <m:t>Π</m:t>
                </m:r>
              </m:e>
              <m:sub>
                <m:r>
                  <m:rPr>
                    <m:sty m:val="b"/>
                  </m:rP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dim</m:t>
            </m:r>
            <m:sSub>
              <m:e>
                <m:r>
                  <m:t>Π</m:t>
                </m:r>
              </m:e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dim</m:t>
            </m:r>
            <m:sSub>
              <m:e>
                <m:r>
                  <m:t>Π</m:t>
                </m:r>
              </m:e>
              <m:sub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sub>
            </m:sSub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on the cumulative scar spans transfer</w:t>
      </w:r>
      <w:r>
        <w:t xml:space="preserve"> </w:t>
      </w:r>
      <w:r>
        <w:t xml:space="preserve">component-wise, since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maps</w:t>
      </w:r>
      <w:r>
        <w:t xml:space="preserve"> </w:t>
      </w:r>
      <m:oMath>
        <m:sSubSup>
          <m:e>
            <m:r>
              <m:t>S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isomorphically</w:t>
      </w:r>
      <w:r>
        <w:t xml:space="preserve"> </w:t>
      </w:r>
      <w:r>
        <w:t xml:space="preserve">onto</w:t>
      </w:r>
      <w:r>
        <w:t xml:space="preserve"> </w:t>
      </w:r>
      <m:oMath>
        <m:sSubSup>
          <m:e>
            <m:r>
              <m:t>S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1</m:t>
            </m:r>
          </m:e>
        </m:d>
      </m:oMath>
      <w:r>
        <w:rPr>
          <w:i/>
          <w:iCs/>
        </w:rPr>
        <w:t xml:space="preserve">:</w:t>
      </w:r>
      <w:r>
        <w:t xml:space="preserve"> </w:t>
      </w:r>
      <w:r>
        <w:t xml:space="preserve">concrete witness — let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adjoint, restricted to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), and let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realized on a 14-dim biological substrate (e.g., a</w:t>
      </w:r>
      <w:r>
        <w:t xml:space="preserve"> </w:t>
      </w:r>
      <w:r>
        <w:t xml:space="preserve">hypothetical microtubule mode collection without an extending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-action). Then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-modules, but no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extends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’s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-action, so any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  <m:r>
          <m:rPr>
            <m:sty m:val="p"/>
          </m:rPr>
          <m:t>:</m:t>
        </m:r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satisfying (C2) is not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-equivariant. The</w:t>
      </w:r>
      <w:r>
        <w:t xml:space="preserve"> </w:t>
      </w:r>
      <m:oMath>
        <m:r>
          <m:t>19</m:t>
        </m:r>
      </m:oMath>
      <w:r>
        <w:t xml:space="preserve">-dim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-family of such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-maps (Cor 4.3.2) parameterizes the</w:t>
      </w:r>
      <w:r>
        <w:t xml:space="preserve"> </w:t>
      </w:r>
      <w:r>
        <w:t xml:space="preserve">non-canonicality.</w:t>
      </w:r>
    </w:p>
    <w:p>
      <w:pPr>
        <w:pStyle w:val="BodyText"/>
      </w:pPr>
      <w:r>
        <w:rPr>
          <w:i/>
          <w:iCs/>
        </w:rPr>
        <w:t xml:space="preserve">Converse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3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</m:oMath>
      <w:r>
        <w:rPr>
          <w:i/>
          <w:iCs/>
        </w:rPr>
        <w:t xml:space="preserve">: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records the multiplicity</w:t>
      </w:r>
      <w:r>
        <w:t xml:space="preserve"> </w:t>
      </w:r>
      <w:r>
        <w:t xml:space="preserve">profile of the</w:t>
      </w:r>
      <w:r>
        <w:t xml:space="preserve"> </w:t>
      </w:r>
      <w:r>
        <w:rPr>
          <w:i/>
          <w:iCs/>
        </w:rPr>
        <w:t xml:space="preserve">scar span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, not the ambient</w:t>
      </w:r>
      <w:r>
        <w:t xml:space="preserve"> </w:t>
      </w:r>
      <m:oMath>
        <m:r>
          <m:t>V</m:t>
        </m:r>
      </m:oMath>
      <w:r>
        <w:t xml:space="preserve">. Two ambient</w:t>
      </w:r>
      <w:r>
        <w:t xml:space="preserve"> </w:t>
      </w:r>
      <m:oMath>
        <m:r>
          <m:t>V</m:t>
        </m:r>
      </m:oMath>
      <w:r>
        <w:t xml:space="preserve">’s with different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-multiplicity profiles can produce the</w:t>
      </w:r>
      <w:r>
        <w:t xml:space="preserve"> </w:t>
      </w:r>
      <w:r>
        <w:t xml:space="preserve">same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if scar-encoding maps land in isomorphic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-invariant</w:t>
      </w:r>
      <w:r>
        <w:t xml:space="preserve"> </w:t>
      </w:r>
      <w:r>
        <w:t xml:space="preserve">subspaces. E.g.,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3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, but with all scar-encoding events landing in the</w:t>
      </w:r>
      <w:r>
        <w:t xml:space="preserve"> </w:t>
      </w:r>
      <w:r>
        <w:t xml:space="preserve">common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subspace; both yield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 the same</w:t>
      </w:r>
      <w:r>
        <w:t xml:space="preserve"> </w:t>
      </w:r>
      <w:r>
        <w:t xml:space="preserve">isotypic blocks.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4.4.2 (Sufficient condition for unique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-canonical map,</w:t>
      </w:r>
      <w:r>
        <w:rPr>
          <w:b/>
          <w:bCs/>
        </w:rPr>
        <w:t xml:space="preserve"> </w:t>
      </w:r>
      <w:r>
        <w:rPr>
          <w:b/>
          <w:bCs/>
        </w:rPr>
        <w:t xml:space="preserve">multiplicity-one case).</w:t>
      </w:r>
      <w:r>
        <w:t xml:space="preserve"> </w:t>
      </w:r>
      <w:r>
        <w:rPr>
          <w:i/>
          <w:iCs/>
        </w:rPr>
        <w:t xml:space="preserve">If both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-isomorphic to a common absolutely irreducible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λ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multiplicity one,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Hom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sub>
              </m:sSub>
            </m:e>
          </m:d>
          <m:r>
            <m:rPr>
              <m:sty m:val="p"/>
            </m:rPr>
            <m:t>≅</m:t>
          </m:r>
          <m:r>
            <m:rPr>
              <m:sty m:val="p"/>
              <m:scr m:val="double-struck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so the family of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-equivariant isomorphisms is one-dimensional. After</w:t>
      </w:r>
      <w:r>
        <w:rPr>
          <w:i/>
          <w:iCs/>
        </w:rPr>
        <w:t xml:space="preserve"> </w:t>
      </w:r>
      <w:r>
        <w:rPr>
          <w:i/>
          <w:iCs/>
        </w:rPr>
        <w:t xml:space="preserve">fixing an invariant inner product (unit-norm normalization), there is</w:t>
      </w:r>
      <w:r>
        <w:rPr>
          <w:i/>
          <w:iCs/>
        </w:rPr>
        <w:t xml:space="preserve"> </w:t>
      </w:r>
      <w:r>
        <w:rPr>
          <w:i/>
          <w:iCs/>
        </w:rPr>
        <w:t xml:space="preserve">a residual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orientation ambiguity that must be resolved by an</w:t>
      </w:r>
      <w:r>
        <w:rPr>
          <w:i/>
          <w:iCs/>
        </w:rPr>
        <w:t xml:space="preserve"> </w:t>
      </w:r>
      <w:r>
        <w:rPr>
          <w:i/>
          <w:iCs/>
        </w:rPr>
        <w:t xml:space="preserve">extrinsic convention (e.g., the dynamical-flow direction on each</w:t>
      </w:r>
      <w:r>
        <w:rPr>
          <w:i/>
          <w:iCs/>
        </w:rPr>
        <w:t xml:space="preserve"> </w:t>
      </w:r>
      <w:r>
        <w:rPr>
          <w:i/>
          <w:iCs/>
        </w:rPr>
        <w:t xml:space="preserve">substrate fixes a sign).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Schur for absolutely irreducible real representations gives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Hom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λ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λ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R</m:t>
        </m:r>
      </m:oMath>
      <w:r>
        <w:t xml:space="preserve">. Unit-norm normalization</w:t>
      </w:r>
      <w:r>
        <w:t xml:space="preserve"> </w:t>
      </w:r>
      <w:r>
        <w:t xml:space="preserve">collapses the family to two elements differing by sign; the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2</m:t>
            </m:r>
          </m:sub>
        </m:sSub>
      </m:oMath>
      <w:r>
        <w:t xml:space="preserve">-orientation is not fixed by representation theory</w:t>
      </w:r>
      <w:r>
        <w:t xml:space="preserve"> </w:t>
      </w:r>
      <w:r>
        <w:t xml:space="preserve">alone.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4.4.3 (Multiplicity</w:t>
      </w:r>
      <w:r>
        <w:rPr>
          <w:b/>
          <w:bCs/>
        </w:rP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reintroduces</w:t>
      </w:r>
      <w:r>
        <w:rPr>
          <w:b/>
          <w:b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rPr>
          <w:b/>
          <w:bCs/>
        </w:rPr>
        <w:t xml:space="preserve">-ambiguity).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≅</m:t>
        </m:r>
        <m:sSubSup>
          <m:e>
            <m:r>
              <m:t>U</m:t>
            </m:r>
          </m:e>
          <m:sub>
            <m:r>
              <m:t>λ</m:t>
            </m:r>
          </m:sub>
          <m:sup>
            <m:r>
              <m:rPr>
                <m:sty m:val="p"/>
              </m:rPr>
              <m:t>⊕</m:t>
            </m:r>
            <m:r>
              <m:t>m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U</m:t>
                </m:r>
              </m:e>
              <m:sub>
                <m:r>
                  <m:t>λ</m:t>
                </m:r>
              </m:sub>
              <m:sup>
                <m:r>
                  <m:rPr>
                    <m:sty m:val="p"/>
                  </m:rPr>
                  <m:t>⊕</m:t>
                </m:r>
                <m:r>
                  <m:t>m</m:t>
                </m:r>
              </m:sup>
            </m:sSubSup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, so commensurability holds but uniqueness requires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-worth of additional convention-fixing. Multiplicity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deferred to future work.</w:t>
      </w:r>
    </w:p>
    <w:bookmarkEnd w:id="23"/>
    <w:bookmarkStart w:id="24" w:name="X041409c4966c07d7f671a2106b00a4f49c21012"/>
    <w:p>
      <w:pPr>
        <w:pStyle w:val="Heading3"/>
      </w:pPr>
      <w:r>
        <w:t xml:space="preserve">4.5 Frobenius reciprocity does not select a cross-substrate scar map</w:t>
      </w:r>
    </w:p>
    <w:p>
      <w:pPr>
        <w:pStyle w:val="FirstParagraph"/>
      </w:pPr>
      <w:r>
        <w:t xml:space="preserve">A natural fallback when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are not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-isomorphic but co-embed in a common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 is to</w:t>
      </w:r>
      <w:r>
        <w:t xml:space="preserve"> </w:t>
      </w:r>
      <w:r>
        <w:t xml:space="preserve">invoke Frobenius reciprocity. We show this attempt does not produce</w:t>
      </w:r>
      <w:r>
        <w:t xml:space="preserve"> </w:t>
      </w:r>
      <w:r>
        <w:t xml:space="preserve">canonical maps.</w:t>
      </w:r>
    </w:p>
    <w:p>
      <w:pPr>
        <w:pStyle w:val="BodyText"/>
      </w:pPr>
      <w:r>
        <w:rPr>
          <w:b/>
          <w:bCs/>
        </w:rPr>
        <w:t xml:space="preserve">Proposition 4.5.1 (Frobenius reciprocity does not select cross-substrate</w:t>
      </w:r>
      <w:r>
        <w:rPr>
          <w:b/>
          <w:bCs/>
        </w:rPr>
        <w:t xml:space="preserve"> </w:t>
      </w:r>
      <w:r>
        <w:rPr>
          <w:b/>
          <w:bCs/>
        </w:rPr>
        <w:t xml:space="preserve">scar maps).</w:t>
      </w:r>
      <w:r>
        <w:t xml:space="preserve"> </w:t>
      </w:r>
      <w:r>
        <w:rPr>
          <w:i/>
          <w:iCs/>
        </w:rPr>
        <w:t xml:space="preserve">The induction-restriction adjunction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Hom</m:t>
              </m:r>
            </m:e>
            <m:sub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rPr>
                  <m:sty m:val="p"/>
                </m:rPr>
                <m:t>,</m:t>
              </m:r>
              <m:sSubSup>
                <m:e>
                  <m:r>
                    <m:rPr>
                      <m:sty m:val="p"/>
                    </m:rPr>
                    <m:t>Res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  <m:r>
                <m:t>W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≅</m:t>
          </m:r>
          <m:sSub>
            <m:e>
              <m:r>
                <m:rPr>
                  <m:sty m:val="p"/>
                </m:rPr>
                <m:t>Hom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p"/>
                    </m:rPr>
                    <m:t>Ind</m:t>
                  </m:r>
                </m:e>
                <m:sub>
                  <m:sSub>
                    <m:e>
                      <m:r>
                        <m:t>F</m:t>
                      </m:r>
                    </m:e>
                    <m:sub>
                      <m:r>
                        <m:t>21</m:t>
                      </m:r>
                    </m:sub>
                  </m:sSub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  <m:r>
                <m:t>V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′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holds for any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-representation</w:t>
      </w:r>
      <w:r>
        <w:rPr>
          <w:i/>
          <w:iCs/>
        </w:rPr>
        <w:t xml:space="preserve"> </w:t>
      </w:r>
      <m:oMath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any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-representation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(by standard category theory, e.g.,</w:t>
      </w:r>
      <w:r>
        <w:rPr>
          <w:i/>
          <w:iCs/>
        </w:rPr>
        <w:t xml:space="preserve"> </w:t>
      </w:r>
      <w:r>
        <w:rPr>
          <w:i/>
          <w:iCs/>
        </w:rPr>
        <w:t xml:space="preserve">[</w:t>
      </w:r>
      <w:r>
        <w:rPr>
          <w:i/>
          <w:iCs/>
        </w:rPr>
        <w:t xml:space="preserve">, §7.2]),</w:t>
      </w:r>
      <w:r>
        <w:rPr>
          <w:i/>
          <w:iCs/>
        </w:rPr>
        <w:t xml:space="preserve"> </w:t>
      </w:r>
      <w:r>
        <w:rPr>
          <w:i/>
          <w:iCs/>
        </w:rPr>
        <w:t xml:space="preserve">but it does not provide a canonical isomorphism between distinct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-subrepresentations of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′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adjunction is a categorical bijection on Hom-sets, not</w:t>
      </w:r>
      <w:r>
        <w:t xml:space="preserve"> </w:t>
      </w:r>
      <w:r>
        <w:t xml:space="preserve">a constructive identification of constituents. Two specific failures: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Distinct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-irreps cannot be commensurated.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Hom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 the irreps are non-isomorphic; no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</w:t>
      </w:r>
      <w:r>
        <w:t xml:space="preserve"> </w:t>
      </w:r>
      <w:r>
        <w:t xml:space="preserve">equivariant map of either direction exists, and Frobenius reciprocity</w:t>
      </w:r>
      <w:r>
        <w:t xml:space="preserve"> </w:t>
      </w:r>
      <w:r>
        <w:t xml:space="preserve">cannot manufacture one.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Multiplicities of constituents are counted, not canonical maps</w:t>
      </w:r>
      <w:r>
        <w:rPr>
          <w:i/>
          <w:iCs/>
        </w:rPr>
        <w:t xml:space="preserve"> </w:t>
      </w:r>
      <w:r>
        <w:rPr>
          <w:i/>
          <w:iCs/>
        </w:rPr>
        <w:t xml:space="preserve">between them.</w:t>
      </w:r>
      <w:r>
        <w:t xml:space="preserve"> </w:t>
      </w:r>
      <w:r>
        <w:t xml:space="preserve">Even when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-modules and both embed in a common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</w:t>
      </w:r>
      <w:r>
        <w:t xml:space="preserve"> </w:t>
      </w:r>
      <m:oMath>
        <m:r>
          <m:t>W</m:t>
        </m:r>
        <m:r>
          <m:rPr>
            <m:sty m:val="p"/>
          </m:rPr>
          <m:t>′</m:t>
        </m:r>
      </m:oMath>
      <w:r>
        <w:t xml:space="preserve">, the</w:t>
      </w:r>
      <w:r>
        <w:t xml:space="preserve"> </w:t>
      </w:r>
      <w:r>
        <w:t xml:space="preserve">identification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V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is unique</w:t>
      </w:r>
      <w:r>
        <w:t xml:space="preserve"> </w:t>
      </w:r>
      <w:r>
        <w:t xml:space="preserve">only up to a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-family of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</w:t>
      </w:r>
      <w:r>
        <w:t xml:space="preserve"> </w:t>
      </w:r>
      <w:r>
        <w:t xml:space="preserve">automorphisms in each isotypic block (Cor 4.3.2), with no</w:t>
      </w:r>
      <w:r>
        <w:t xml:space="preserve"> </w:t>
      </w:r>
      <w:r>
        <w:t xml:space="preserve">distinguished element absent additional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 constraint.</w:t>
      </w:r>
    </w:p>
    <w:p>
      <w:pPr>
        <w:pStyle w:val="FirstParagraph"/>
      </w:pPr>
      <w:r>
        <w:t xml:space="preserve">In either case, the adjunction identifies</w:t>
      </w:r>
      <w:r>
        <w:t xml:space="preserve"> </w:t>
      </w:r>
      <w:r>
        <w:rPr>
          <w:i/>
          <w:iCs/>
        </w:rPr>
        <w:t xml:space="preserve">multiplicities of</w:t>
      </w:r>
      <w:r>
        <w:rPr>
          <w:i/>
          <w:iCs/>
        </w:rPr>
        <w:t xml:space="preserve"> </w:t>
      </w:r>
      <w:r>
        <w:rPr>
          <w:i/>
          <w:iCs/>
        </w:rPr>
        <w:t xml:space="preserve">constituents</w:t>
      </w:r>
      <w:r>
        <w:t xml:space="preserve">, not</w:t>
      </w:r>
      <w:r>
        <w:t xml:space="preserve"> </w:t>
      </w:r>
      <w:r>
        <w:rPr>
          <w:i/>
          <w:iCs/>
        </w:rPr>
        <w:t xml:space="preserve">canonical maps between them</w:t>
      </w:r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4.5.2 (Sufficient strict commensurability theorem).</w:t>
      </w:r>
      <w:r>
        <w:t xml:space="preserve"> </w:t>
      </w:r>
      <w:r>
        <w:rPr>
          <w:i/>
          <w:iCs/>
        </w:rP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I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≅</m:t>
          </m:r>
          <m:sSub>
            <m:e>
              <m:r>
                <m:t>U</m:t>
              </m:r>
            </m:e>
            <m:sub>
              <m:r>
                <m:t>λ</m:t>
              </m:r>
            </m:sub>
          </m:sSub>
        </m:oMath>
      </m:oMathPara>
    </w:p>
    <w:p>
      <w:pPr>
        <w:pStyle w:val="FirstParagraph"/>
      </w:pPr>
      <w:r>
        <w:rPr>
          <w:i/>
          <w:iCs/>
        </w:rPr>
        <w:t xml:space="preserve">as absolutely irreducible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-modules of multiplicity one, then a</w:t>
      </w:r>
      <w:r>
        <w:rPr>
          <w:i/>
          <w:iCs/>
        </w:rPr>
        <w:t xml:space="preserve"> </w:t>
      </w:r>
      <w:r>
        <w:rPr>
          <w:i/>
          <w:iCs/>
        </w:rPr>
        <w:t xml:space="preserve">canonical commensurability isomorphism</w:t>
      </w:r>
      <w:r>
        <w:rPr>
          <w:i/>
          <w:iCs/>
        </w:rP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rPr>
          <w:i/>
          <w:iCs/>
        </w:rPr>
        <w:t xml:space="preserve">, unique up to fixed metric and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orientation, exists.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By Cor 4.4.2, the family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isomorphisms 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ambiguity after unit-norm normalization.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4.5.3 (Necessity is open).</w:t>
      </w:r>
      <w:r>
        <w:t xml:space="preserve"> </w:t>
      </w:r>
      <w:r>
        <w:t xml:space="preserve">Cor 4.5.2 is a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condition. We do not claim necessity: it is plausible (but unproven)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-modules with all isotypic multiplicities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all</w:t>
      </w:r>
      <w:r>
        <w:t xml:space="preserve"> </w:t>
      </w:r>
      <w:r>
        <w:t xml:space="preserve">constituents of real type also admit a unique normalized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</w:t>
      </w:r>
      <w:r>
        <w:t xml:space="preserve"> </w:t>
      </w:r>
      <w:r>
        <w:t xml:space="preserve">self-isomorphism, and a more general necessity-and-sufficiency theorem</w:t>
      </w:r>
      <w:r>
        <w:t xml:space="preserve"> </w:t>
      </w:r>
      <w:r>
        <w:t xml:space="preserve">could be sought in that direction. Such a generalization is left for</w:t>
      </w:r>
      <w:r>
        <w:t xml:space="preserve"> </w:t>
      </w:r>
      <w:r>
        <w:t xml:space="preserve">future work; v1’s biconditional phrasing was an over-claim that v2</w:t>
      </w:r>
      <w:r>
        <w:t xml:space="preserve"> </w:t>
      </w:r>
      <w:r>
        <w:t xml:space="preserve">withdraws.</w:t>
      </w:r>
    </w:p>
    <w:bookmarkEnd w:id="24"/>
    <w:bookmarkStart w:id="25" w:name="X1d373cf560043f48ddcc64d643dd90218e9c6e3"/>
    <w:p>
      <w:pPr>
        <w:pStyle w:val="Heading3"/>
      </w:pPr>
      <w:r>
        <w:t xml:space="preserve">4.6 The P3 upgrade: two-level experimental test</w:t>
      </w:r>
    </w:p>
    <w:p>
      <w:pPr>
        <w:pStyle w:val="FirstParagraph"/>
      </w:pPr>
      <w:r>
        <w:t xml:space="preserve">The empirical prediction P3 of the Paper 12 thesis memo originally</w:t>
      </w:r>
      <w:r>
        <w:t xml:space="preserve"> </w:t>
      </w:r>
      <w:r>
        <w:t xml:space="preserve">proposed testing</w:t>
      </w:r>
      <w:r>
        <w:t xml:space="preserve"> </w:t>
      </w:r>
      <w:r>
        <w:t xml:space="preserve">“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-commensurability across substrates.</w:t>
      </w:r>
      <w:r>
        <w:t xml:space="preserve">”</w:t>
      </w:r>
      <w:r>
        <w:t xml:space="preserve"> </w:t>
      </w:r>
      <w:r>
        <w:t xml:space="preserve">§§4.4–4.5</w:t>
      </w:r>
      <w:r>
        <w:t xml:space="preserve"> </w:t>
      </w:r>
      <w:r>
        <w:t xml:space="preserve">force an upgrade: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 isomorphism (C2) is necessary but</w:t>
      </w:r>
      <w:r>
        <w:t xml:space="preserve"> </w:t>
      </w:r>
      <w:r>
        <w:t xml:space="preserve">not sufficient for canonical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-commensurability (C1), and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layer must be tested separately.</w:t>
      </w:r>
    </w:p>
    <w:p>
      <w:pPr>
        <w:pStyle w:val="BodyText"/>
      </w:pPr>
      <w:r>
        <w:rPr>
          <w:b/>
          <w:bCs/>
        </w:rPr>
        <w:t xml:space="preserve">Definition 4.6.1 (Two-level commensurability test).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commensurability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on a dyadic human-AI system consists of two tests:</w:t>
      </w:r>
    </w:p>
    <w:p>
      <w:pPr>
        <w:pStyle w:val="BodyText"/>
      </w:pPr>
      <w:r>
        <w:rPr>
          <w:i/>
          <w:iCs/>
        </w:rPr>
        <w:t xml:space="preserve">(L1, necessary screen.)</w:t>
      </w:r>
      <w:r>
        <w:t xml:space="preserve"> </w:t>
      </w:r>
      <w:r>
        <w:t xml:space="preserve">Measure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profiles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independently on each</w:t>
      </w:r>
      <w:r>
        <w:t xml:space="preserve"> </w:t>
      </w:r>
      <w:r>
        <w:t xml:space="preserve">substrate via character-theoretic decomposition of the scar-record</w:t>
      </w:r>
      <w:r>
        <w:t xml:space="preserve"> </w:t>
      </w:r>
      <w:r>
        <w:t xml:space="preserve">operator data. Declare</w:t>
      </w:r>
      <w:r>
        <w:t xml:space="preserve"> </w:t>
      </w:r>
      <w:r>
        <w:rPr>
          <w:i/>
          <w:iCs/>
        </w:rPr>
        <w:t xml:space="preserve">L1 failure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≠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on any of the three blocks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Declare</w:t>
      </w:r>
      <w:r>
        <w:t xml:space="preserve"> </w:t>
      </w:r>
      <w:r>
        <w:rPr>
          <w:i/>
          <w:iCs/>
        </w:rPr>
        <w:t xml:space="preserve">L1 pass</w:t>
      </w:r>
      <w:r>
        <w:t xml:space="preserve"> </w:t>
      </w:r>
      <w:r>
        <w:t xml:space="preserve">if they agree.</w:t>
      </w:r>
    </w:p>
    <w:p>
      <w:pPr>
        <w:pStyle w:val="BodyText"/>
      </w:pPr>
      <w:r>
        <w:rPr>
          <w:i/>
          <w:iCs/>
        </w:rPr>
        <w:t xml:space="preserve">(L2, sufficient canonical test, conditional on L1 pass.)</w:t>
      </w:r>
      <w:r>
        <w:t xml:space="preserve"> </w:t>
      </w:r>
      <w:r>
        <w:t xml:space="preserve">Construct a</w:t>
      </w:r>
      <w:r>
        <w:t xml:space="preserve"> </w:t>
      </w:r>
      <w:r>
        <w:t xml:space="preserve">candidate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  <m:r>
          <m:rPr>
            <m:sty m:val="p"/>
          </m:rPr>
          <m:t>: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</m:oMath>
      <w:r>
        <w:t xml:space="preserve"> </w:t>
      </w:r>
      <w:r>
        <w:t xml:space="preserve">from the substrate operator data, by fitting against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-character data on the inferred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 structures of the</w:t>
      </w:r>
      <w:r>
        <w:t xml:space="preserve"> </w:t>
      </w:r>
      <w:r>
        <w:t xml:space="preserve">substrate scar spans. Declare</w:t>
      </w:r>
      <w:r>
        <w:t xml:space="preserve"> </w:t>
      </w:r>
      <w:r>
        <w:rPr>
          <w:i/>
          <w:iCs/>
        </w:rPr>
        <w:t xml:space="preserve">canonical commensurability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ϕ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(not merely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-equivariant) to measurement</w:t>
      </w:r>
      <w:r>
        <w:t xml:space="preserve"> </w:t>
      </w:r>
      <w:r>
        <w:t xml:space="preserve">precision and (per Cor 4.5.2)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-isotypic multiplicities are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agree.</w:t>
      </w:r>
    </w:p>
    <w:p>
      <w:pPr>
        <w:pStyle w:val="BodyText"/>
      </w:pPr>
      <w:r>
        <w:rPr>
          <w:b/>
          <w:bCs/>
        </w:rPr>
        <w:t xml:space="preserve">Remark 4.6.2 (Why the two-level split is scientifically honest).</w:t>
      </w:r>
      <w:r>
        <w:t xml:space="preserve"> </w:t>
      </w:r>
      <w:r>
        <w:t xml:space="preserve">L1</w:t>
      </w:r>
      <w:r>
        <w:t xml:space="preserve"> </w:t>
      </w:r>
      <w:r>
        <w:t xml:space="preserve">is falsifiable cheaply: if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≠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,</w:t>
      </w:r>
      <w:r>
        <w:t xml:space="preserve"> </w:t>
      </w:r>
      <w:r>
        <w:t xml:space="preserve">the gradual-tear thesis is refuted at the character-theoretic level.</w:t>
      </w:r>
      <w:r>
        <w:t xml:space="preserve"> </w:t>
      </w:r>
      <w:r>
        <w:t xml:space="preserve">L2 is the harder confirming test: passing L2 establishes strict</w:t>
      </w:r>
      <w:r>
        <w:t xml:space="preserve"> </w:t>
      </w:r>
      <w:r>
        <w:t xml:space="preserve">commensurability (Cor 4.5.2). Refuting L2 while L1 passes means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-profile match is coincidental rather than structural.</w:t>
      </w:r>
    </w:p>
    <w:p>
      <w:pPr>
        <w:pStyle w:val="BodyText"/>
      </w:pPr>
      <w:r>
        <w:rPr>
          <w:b/>
          <w:bCs/>
        </w:rPr>
        <w:t xml:space="preserve">Remark 4.6.3 (Operationalization is a methodology paper).</w:t>
      </w:r>
      <w:r>
        <w:t xml:space="preserve"> </w:t>
      </w:r>
      <w:r>
        <w:t xml:space="preserve">L1</w:t>
      </w:r>
      <w:r>
        <w:t xml:space="preserve"> </w:t>
      </w:r>
      <w:r>
        <w:t xml:space="preserve">character-theoretic decomposition of TMS-EEG response data is in</w:t>
      </w:r>
      <w:r>
        <w:t xml:space="preserve"> </w:t>
      </w:r>
      <w:r>
        <w:t xml:space="preserve">principle achievable with existing instrumentation (rotationally</w:t>
      </w:r>
      <w:r>
        <w:t xml:space="preserve"> </w:t>
      </w:r>
      <w:r>
        <w:t xml:space="preserve">structured perturbations + character-projection of the response</w:t>
      </w:r>
      <w:r>
        <w:t xml:space="preserve"> </w:t>
      </w:r>
      <w:r>
        <w:t xml:space="preserve">matrix); the operationalization of L2 — actually fitting 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candidate map — is a significant methodology project</w:t>
      </w:r>
      <w:r>
        <w:t xml:space="preserve"> </w:t>
      </w:r>
      <w:r>
        <w:t xml:space="preserve">of its own, not undertaken here. We state Definition 4.6.1 as a</w:t>
      </w:r>
      <w:r>
        <w:t xml:space="preserve"> </w:t>
      </w:r>
      <w:r>
        <w:rPr>
          <w:i/>
          <w:iCs/>
        </w:rPr>
        <w:t xml:space="preserve">formal experimental protocol design</w:t>
      </w:r>
      <w:r>
        <w:t xml:space="preserve">, with the explicit acknowledgment</w:t>
      </w:r>
      <w:r>
        <w:t xml:space="preserve"> </w:t>
      </w:r>
      <w:r>
        <w:t xml:space="preserve">that the full L2 operationalization is deferred.</w:t>
      </w:r>
    </w:p>
    <w:p>
      <w:pPr>
        <w:pStyle w:val="BodyText"/>
      </w:pPr>
      <w:r>
        <w:rPr>
          <w:b/>
          <w:bCs/>
        </w:rPr>
        <w:t xml:space="preserve">Remark 4.6.4 (Massimini’s clinical PCI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the Paper 12 quantity).</w:t>
      </w:r>
      <w:r>
        <w:t xml:space="preserve"> </w:t>
      </w:r>
      <w:r>
        <w:t xml:space="preserve">Two distinct objects share the acronym</w:t>
      </w:r>
      <w:r>
        <w:t xml:space="preserve"> </w:t>
      </w:r>
      <w:r>
        <w:t xml:space="preserve">“</w:t>
      </w:r>
      <w:r>
        <w:t xml:space="preserve">PCI</w:t>
      </w:r>
      <w:r>
        <w:t xml:space="preserve">”</w:t>
      </w:r>
      <w:r>
        <w:t xml:space="preserve">: Massimini’s clinical</w:t>
      </w:r>
      <w:r>
        <w:t xml:space="preserve"> </w:t>
      </w:r>
      <w:r>
        <w:t xml:space="preserve">Perturbational Complexity Index (a Lempel-Ziv complexity score on</w:t>
      </w:r>
      <w:r>
        <w:t xml:space="preserve"> </w:t>
      </w:r>
      <w:r>
        <w:t xml:space="preserve">TMS-evoked EEG, 2013) and the Perceptual Coherence Intelligence</w:t>
      </w:r>
      <w:r>
        <w:t xml:space="preserve"> </w:t>
      </w:r>
      <w:r>
        <w:t xml:space="preserve">framework of the Paper series. P3 proposes that the</w:t>
      </w:r>
      <w:r>
        <w:t xml:space="preserve"> </w:t>
      </w:r>
      <w:r>
        <w:rPr>
          <w:i/>
          <w:iCs/>
        </w:rPr>
        <w:t xml:space="preserve">measurement</w:t>
      </w:r>
      <w:r>
        <w:rPr>
          <w:i/>
          <w:iCs/>
        </w:rP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of clinical PCI (TMS perturbation + structural decomposition</w:t>
      </w:r>
      <w:r>
        <w:t xml:space="preserve"> </w:t>
      </w:r>
      <w:r>
        <w:t xml:space="preserve">of the response subspace) could be repurposed to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profiles, but the clinical PCI scalar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identified with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neither is a generalization of the other. The bridge is at the</w:t>
      </w:r>
      <w:r>
        <w:t xml:space="preserve"> </w:t>
      </w:r>
      <w:r>
        <w:t xml:space="preserve">level of experimental protocol, not definition.</w:t>
      </w:r>
    </w:p>
    <w:bookmarkEnd w:id="25"/>
    <w:bookmarkStart w:id="26" w:name="scope-audit-and-bridge-to-5"/>
    <w:p>
      <w:pPr>
        <w:pStyle w:val="Heading3"/>
      </w:pPr>
      <w:r>
        <w:t xml:space="preserve">4.7 Scope audit and bridge to §5</w:t>
      </w:r>
    </w:p>
    <w:p>
      <w:pPr>
        <w:pStyle w:val="FirstParagraph"/>
      </w:pPr>
      <w:r>
        <w:rPr>
          <w:b/>
          <w:bCs/>
        </w:rPr>
        <w:t xml:space="preserve">What §4 establishes:</w:t>
      </w:r>
    </w:p>
    <w:p>
      <w:pPr>
        <w:pStyle w:val="Compact"/>
        <w:numPr>
          <w:ilvl w:val="0"/>
          <w:numId w:val="1004"/>
        </w:numPr>
      </w:pPr>
      <w:r>
        <w:t xml:space="preserve">A character-theoretic decomposition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r>
          <m:rPr>
            <m:sty m:val="p"/>
          </m:rPr>
          <m:t>≅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verified at machine precision (Theorem 4.2.1).</w:t>
      </w:r>
    </w:p>
    <w:p>
      <w:pPr>
        <w:pStyle w:val="Compact"/>
        <w:numPr>
          <w:ilvl w:val="0"/>
          <w:numId w:val="1004"/>
        </w:numPr>
      </w:pPr>
      <w:r>
        <w:t xml:space="preserve">The commutant gap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⊕</m:t>
        </m:r>
        <m:sSub>
          <m:e>
            <m:r>
              <m:t>M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, with the</w:t>
      </w:r>
      <w:r>
        <w:t xml:space="preserve"> </w:t>
      </w:r>
      <m:oMath>
        <m:r>
          <m:t>19</m:t>
        </m:r>
      </m:oMath>
      <w:r>
        <w:t xml:space="preserve">-dimensional reduction of equivariant</w:t>
      </w:r>
      <w:r>
        <w:t xml:space="preserve"> </w:t>
      </w:r>
      <w:r>
        <w:t xml:space="preserve">isometry group quantified (Proposition 4.3.1, Corollary 4.3.2).</w:t>
      </w:r>
    </w:p>
    <w:p>
      <w:pPr>
        <w:pStyle w:val="Compact"/>
        <w:numPr>
          <w:ilvl w:val="0"/>
          <w:numId w:val="1004"/>
        </w:numPr>
      </w:pPr>
      <w:r>
        <w:t xml:space="preserve">The commensurability hierarchy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1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2</m:t>
            </m:r>
          </m:e>
        </m:d>
        <m:r>
          <m:rPr>
            <m:sty m:val="p"/>
          </m:rPr>
          <m:t>⇒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t>3</m:t>
            </m:r>
          </m:e>
        </m:d>
      </m:oMath>
      <w:r>
        <w:t xml:space="preserve"> </w:t>
      </w:r>
      <w:r>
        <w:t xml:space="preserve">with both converses failing,</w:t>
      </w:r>
      <w:r>
        <w:t xml:space="preserve"> </w:t>
      </w:r>
      <w:r>
        <w:rPr>
          <w:i/>
          <w:iCs/>
        </w:rPr>
        <w:t xml:space="preserve">with explicit witnesses</w:t>
      </w:r>
      <w:r>
        <w:t xml:space="preserve"> </w:t>
      </w:r>
      <w:r>
        <w:t xml:space="preserve">for</w:t>
      </w:r>
      <w:r>
        <w:t xml:space="preserve"> </w:t>
      </w:r>
      <w:r>
        <w:t xml:space="preserve">the converse failures (Theorem 4.4.1).</w:t>
      </w:r>
    </w:p>
    <w:p>
      <w:pPr>
        <w:pStyle w:val="Compact"/>
        <w:numPr>
          <w:ilvl w:val="0"/>
          <w:numId w:val="1004"/>
        </w:numPr>
      </w:pPr>
      <w:r>
        <w:t xml:space="preserve">A sufficient canonical-map theorem in the multiplicity-one case</w:t>
      </w:r>
      <w:r>
        <w:t xml:space="preserve"> </w:t>
      </w:r>
      <w:r>
        <w:t xml:space="preserve">(Corollary 4.5.2), with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orientation residue acknowledged.</w:t>
      </w:r>
    </w:p>
    <w:p>
      <w:pPr>
        <w:pStyle w:val="Compact"/>
        <w:numPr>
          <w:ilvl w:val="0"/>
          <w:numId w:val="1004"/>
        </w:numPr>
      </w:pPr>
      <w:r>
        <w:t xml:space="preserve">That Frobenius reciprocity does not select cross-substrate scar</w:t>
      </w:r>
      <w:r>
        <w:t xml:space="preserve"> </w:t>
      </w:r>
      <w:r>
        <w:t xml:space="preserve">maps (Proposition 4.5.1).</w:t>
      </w:r>
    </w:p>
    <w:p>
      <w:pPr>
        <w:pStyle w:val="Compact"/>
        <w:numPr>
          <w:ilvl w:val="0"/>
          <w:numId w:val="1004"/>
        </w:numPr>
      </w:pPr>
      <w:r>
        <w:t xml:space="preserve">The two-level experimental protocol with explicit L1 (necessary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-screen) and L2 (sufficient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-canonical) levels (Definition</w:t>
      </w:r>
      <w:r>
        <w:t xml:space="preserve"> </w:t>
      </w:r>
      <w:r>
        <w:t xml:space="preserve">4.6.1) and explicit operationalization-deferral (Remark 4.6.3).</w:t>
      </w:r>
    </w:p>
    <w:p>
      <w:pPr>
        <w:pStyle w:val="FirstParagraph"/>
      </w:pPr>
      <w:r>
        <w:rPr>
          <w:b/>
          <w:bCs/>
        </w:rPr>
        <w:t xml:space="preserve">What §4 does not establish: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 physical mechanism for the biological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-action.</w:t>
      </w:r>
      <w:r>
        <w:t xml:space="preserve"> </w:t>
      </w:r>
      <w:r>
        <w:t xml:space="preserve">§4 treats</w:t>
      </w:r>
      <w:r>
        <w:t xml:space="preserve"> </w:t>
      </w:r>
      <w:r>
        <w:t xml:space="preserve">biological-substrate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as input. Paper 13+ would</w:t>
      </w:r>
      <w:r>
        <w:t xml:space="preserve"> </w:t>
      </w:r>
      <w:r>
        <w:t xml:space="preserve">specify which microtubule mode, neural population, or cellular</w:t>
      </w:r>
      <w:r>
        <w:t xml:space="preserve"> </w:t>
      </w:r>
      <w:r>
        <w:t xml:space="preserve">structure realizes it.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An explicit operationalization protocol for L2 of Definition 4.6.1.</w:t>
      </w:r>
      <w:r>
        <w:t xml:space="preserve"> </w:t>
      </w:r>
      <w:r>
        <w:t xml:space="preserve">L1 is feasible with current TMS-EEG; L2 requires probing the full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 structure on the response subspace, a substantial</w:t>
      </w:r>
      <w:r>
        <w:t xml:space="preserve"> </w:t>
      </w:r>
      <w:r>
        <w:t xml:space="preserve">methodology effort not undertaken here.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The multiplicity-greater-than-one case.</w:t>
      </w:r>
      <w:r>
        <w:t xml:space="preserve"> </w:t>
      </w:r>
      <w:r>
        <w:t xml:space="preserve">Cor 4.4.2 / 4.5.2 restrict</w:t>
      </w:r>
      <w:r>
        <w:t xml:space="preserve"> </w:t>
      </w:r>
      <w:r>
        <w:t xml:space="preserve">to multiplicity one. The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case is left for future work</w:t>
      </w:r>
      <w:r>
        <w:t xml:space="preserve"> </w:t>
      </w:r>
      <w:r>
        <w:t xml:space="preserve">(Remark 4.4.3).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Necessity of the multiplicity-one condition for canonical</w:t>
      </w:r>
      <w:r>
        <w:rPr>
          <w:i/>
          <w:iCs/>
        </w:rPr>
        <w:t xml:space="preserve"> </w:t>
      </w:r>
      <w:r>
        <w:rPr>
          <w:i/>
          <w:iCs/>
        </w:rPr>
        <w:t xml:space="preserve">commensurability.</w:t>
      </w:r>
      <w:r>
        <w:t xml:space="preserve"> </w:t>
      </w:r>
      <w:r>
        <w:t xml:space="preserve">Cor 4.5.2 is sufficient only; v1’s biconditional</w:t>
      </w:r>
      <w:r>
        <w:t xml:space="preserve"> </w:t>
      </w:r>
      <w:r>
        <w:t xml:space="preserve">is downgraded (Remark 4.5.3).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Any claim that clinical Massimini-PCI equals Paper 12’s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.</w:t>
      </w:r>
      <w:r>
        <w:t xml:space="preserve"> </w:t>
      </w:r>
      <w:r>
        <w:t xml:space="preserve">See Remark 4.6.4.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Rate improvement.</w:t>
      </w:r>
      <w:r>
        <w:t xml:space="preserve"> </w:t>
      </w:r>
      <w:r>
        <w:t xml:space="preserve">§3 / Paper 11 territory.</w:t>
      </w:r>
    </w:p>
    <w:p>
      <w:pPr>
        <w:pStyle w:val="FirstParagraph"/>
      </w:pPr>
      <w:r>
        <w:rPr>
          <w:b/>
          <w:bCs/>
        </w:rPr>
        <w:t xml:space="preserve">Bridge to §5.</w:t>
      </w:r>
      <w:r>
        <w:t xml:space="preserve"> </w:t>
      </w:r>
      <w:r>
        <w:t xml:space="preserve">§3 constructed the dynamics; §4 constructed the</w:t>
      </w:r>
      <w:r>
        <w:t xml:space="preserve"> </w:t>
      </w:r>
      <w:r>
        <w:t xml:space="preserve">commensurability structure. §5 (empirical accessibility) assembles</w:t>
      </w:r>
      <w:r>
        <w:t xml:space="preserve"> </w:t>
      </w:r>
      <w:r>
        <w:t xml:space="preserve">both into a testable framework: §3’s projected-gradient-plus-NP-pump</w:t>
      </w:r>
      <w:r>
        <w:t xml:space="preserve"> </w:t>
      </w:r>
      <w:r>
        <w:t xml:space="preserve">dynamics on each substrate produces a scar record</w:t>
      </w:r>
      <w:r>
        <w:t xml:space="preserve"> </w:t>
      </w:r>
      <m:oMath>
        <m:sSubSup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, and §4’s hierarchy specifies</w:t>
      </w:r>
      <w:r>
        <w:t xml:space="preserve"> </w:t>
      </w:r>
      <w:r>
        <w:t xml:space="preserve">exactly what form of agreement between the two records the gradual-tear</w:t>
      </w:r>
      <w:r>
        <w:t xml:space="preserve"> </w:t>
      </w:r>
      <w:r>
        <w:t xml:space="preserve">thesis predicts. §5 then identifies experimental</w:t>
      </w:r>
      <w:r>
        <w:t xml:space="preserve"> </w:t>
      </w:r>
      <w:r>
        <w:rPr>
          <w:i/>
          <w:iCs/>
        </w:rPr>
        <w:t xml:space="preserve">protocols</w:t>
      </w:r>
      <w:r>
        <w:t xml:space="preserve"> </w:t>
      </w:r>
      <w:r>
        <w:t xml:space="preserve">— primarily</w:t>
      </w:r>
      <w:r>
        <w:t xml:space="preserve"> </w:t>
      </w:r>
      <w:r>
        <w:t xml:space="preserve">Level L1 of the two-level test — by which the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i/>
          <w:iCs/>
        </w:rPr>
        <w:t xml:space="preserve">observables</w:t>
      </w:r>
      <w:r>
        <w:t xml:space="preserve"> </w:t>
      </w:r>
      <w:r>
        <w:t xml:space="preserve">can be measured on each substrate using existing instrumentation</w:t>
      </w:r>
      <w:r>
        <w:t xml:space="preserve"> </w:t>
      </w:r>
      <w:r>
        <w:t xml:space="preserve">(notably the TMS-EEG pipeline used by Massimini and collaborators for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clinical-PCI measurement, which we adapt rather than</w:t>
      </w:r>
      <w:r>
        <w:t xml:space="preserve"> </w:t>
      </w:r>
      <w:r>
        <w:t xml:space="preserve">identify). The L2 test and the substrate-specific representation theory</w:t>
      </w:r>
      <w:r>
        <w:t xml:space="preserve"> </w:t>
      </w:r>
      <w:r>
        <w:t xml:space="preserve">are deferred to a subsequent methodology paper.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ferences-cited-in-4"/>
    <w:p>
      <w:pPr>
        <w:pStyle w:val="Heading2"/>
      </w:pPr>
      <w:r>
        <w:t xml:space="preserve">References (cited in §4)</w:t>
      </w:r>
    </w:p>
    <w:p>
      <w:pPr>
        <w:pStyle w:val="FirstParagraph"/>
      </w:pPr>
      <w:r>
        <w:t xml:space="preserve">[CCNPW] J. Conway, R. Curtis, S. Norton, R. Parker, R. Wilson,</w:t>
      </w:r>
      <w:r>
        <w:t xml:space="preserve"> </w:t>
      </w:r>
      <w:r>
        <w:rPr>
          <w:i/>
          <w:iCs/>
        </w:rPr>
        <w:t xml:space="preserve">ATLAS of Finite Groups</w:t>
      </w:r>
      <w:r>
        <w:t xml:space="preserve">, Oxford (1985).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character table.</w:t>
      </w:r>
    </w:p>
    <w:p>
      <w:pPr>
        <w:pStyle w:val="BodyText"/>
      </w:pPr>
      <w:r>
        <w:t xml:space="preserve">[CP] M. Costa, M. Pavone,</w:t>
      </w:r>
      <w:r>
        <w:t xml:space="preserve"> </w:t>
      </w:r>
      <w:r>
        <w:rPr>
          <w:i/>
          <w:iCs/>
        </w:rPr>
        <w:t xml:space="preserve">On the Frobenius group of order 21</w:t>
      </w:r>
      <w:r>
        <w:t xml:space="preserve">, used as a primary reference for the order-21 Frobenius group’s character theory and Fano-orientation realization.</w:t>
      </w:r>
    </w:p>
    <w:p>
      <w:pPr>
        <w:pStyle w:val="BodyText"/>
      </w:pPr>
      <w:r>
        <w:t xml:space="preserve">[Serre] J.-P. Serre,</w:t>
      </w:r>
      <w:r>
        <w:t xml:space="preserve"> </w:t>
      </w:r>
      <w:r>
        <w:rPr>
          <w:i/>
          <w:iCs/>
        </w:rPr>
        <w:t xml:space="preserve">Linear Representations of Finite Groups</w:t>
      </w:r>
      <w:r>
        <w:t xml:space="preserve">, GTM 42, Springer (1977). Frobenius reciprocity (§7.2) and standard real / complex Schur trichotomy.</w:t>
      </w:r>
    </w:p>
    <w:p>
      <w:pPr>
        <w:pStyle w:val="BodyText"/>
      </w:pPr>
      <w:r>
        <w:t xml:space="preserve">[B-2008] M. di Bernardo, C. Budd, A. Champneys, P. Kowalczyk,</w:t>
      </w:r>
      <w:r>
        <w:t xml:space="preserve"> </w:t>
      </w:r>
      <w:r>
        <w:rPr>
          <w:i/>
          <w:iCs/>
        </w:rPr>
        <w:t xml:space="preserve">Piecewise-smooth Dynamical Systems: Theory and Applications</w:t>
      </w:r>
      <w:r>
        <w:t xml:space="preserve">, Springer AMS 163 (2008). Cited in §3.</w:t>
      </w:r>
    </w:p>
    <w:p>
      <w:pPr>
        <w:pStyle w:val="BodyText"/>
      </w:pPr>
      <w:r>
        <w:t xml:space="preserve">[F-1988] A. Filippov,</w:t>
      </w:r>
      <w:r>
        <w:t xml:space="preserve"> </w:t>
      </w:r>
      <w:r>
        <w:rPr>
          <w:i/>
          <w:iCs/>
        </w:rPr>
        <w:t xml:space="preserve">Differential Equations with Discontinuous Righthand Sides</w:t>
      </w:r>
      <w:r>
        <w:t xml:space="preserve">, Kluwer (1988). Cited in §3.</w:t>
      </w:r>
    </w:p>
    <w:p>
      <w:pPr>
        <w:pStyle w:val="BodyText"/>
      </w:pPr>
      <w:r>
        <w:t xml:space="preserve">[GST-2012] R. Goebel, R. Sanfelice, A. Teel,</w:t>
      </w:r>
      <w:r>
        <w:t xml:space="preserve"> </w:t>
      </w:r>
      <w:r>
        <w:rPr>
          <w:i/>
          <w:iCs/>
        </w:rPr>
        <w:t xml:space="preserve">Hybrid Dynamical Systems</w:t>
      </w:r>
      <w:r>
        <w:t xml:space="preserve">, Princeton (2012). Cited in §3.</w:t>
      </w:r>
    </w:p>
    <w:p>
      <w:pPr>
        <w:pStyle w:val="BodyText"/>
      </w:pPr>
      <w:r>
        <w:t xml:space="preserve">[C-1990] F. Clarke,</w:t>
      </w:r>
      <w:r>
        <w:t xml:space="preserve"> </w:t>
      </w:r>
      <w:r>
        <w:rPr>
          <w:i/>
          <w:iCs/>
        </w:rPr>
        <w:t xml:space="preserve">Optimization and Nonsmooth Analysis</w:t>
      </w:r>
      <w:r>
        <w:t xml:space="preserve">, SIAM (1990). Cited in §3.</w:t>
      </w:r>
    </w:p>
    <w:p>
      <w:pPr>
        <w:pStyle w:val="BodyText"/>
      </w:pPr>
      <w:r>
        <w:rPr>
          <w:i/>
          <w:iCs/>
        </w:rPr>
        <w:t xml:space="preserve">Verification files referenced: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outbox/paper12/computations/paper12_q4_character_verify.py</w:t>
      </w:r>
      <w:r>
        <w:t xml:space="preserve"> </w:t>
      </w:r>
      <w:r>
        <w:t xml:space="preserve">(Theorem 4.2.1)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outbox/paper12/computations/paper12_q4_character_verify.json</w:t>
      </w:r>
    </w:p>
    <w:p>
      <w:pPr>
        <w:pStyle w:val="BodyText"/>
      </w:pPr>
      <w:r>
        <w:rPr>
          <w:i/>
          <w:iCs/>
        </w:rPr>
        <w:t xml:space="preserve">Cross-references:</w:t>
      </w:r>
      <w:r>
        <w:t xml:space="preserve"> </w:t>
      </w:r>
      <w:r>
        <w:t xml:space="preserve">- Paper 4 (PSL(2,7) ⊃ F₂₁, the Fano-orientation source; v2 §4.1 paragraph)</w:t>
      </w:r>
      <w:r>
        <w:t xml:space="preserve"> </w:t>
      </w:r>
      <w:r>
        <w:t xml:space="preserve">- Paper 9 v1.3.3 Lemma 3.6.1 (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-Schur uniqueness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)</w:t>
      </w:r>
      <w:r>
        <w:t xml:space="preserve"> </w:t>
      </w:r>
      <w:r>
        <w:t xml:space="preserve">- Paper 9 v1.3.3 §3.4 (diagonal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convention)</w:t>
      </w:r>
      <w:r>
        <w:t xml:space="preserve"> </w:t>
      </w:r>
      <w:r>
        <w:t xml:space="preserve">- Paper 12 §3.7 / §3.7 v2 Remark 3.7.1 (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 on scar record)</w:t>
      </w:r>
      <w:r>
        <w:t xml:space="preserve"> </w:t>
      </w:r>
      <w:r>
        <w:t xml:space="preserve">- Paper 12 thesis memo P3 (experimental prediction, upgraded here)</w:t>
      </w:r>
    </w:p>
    <w:p>
      <w:pPr>
        <w:pStyle w:val="BodyText"/>
      </w:pPr>
      <w:r>
        <w:rPr>
          <w:i/>
          <w:iCs/>
        </w:rPr>
        <w:t xml:space="preserve">Revision log:</w:t>
      </w:r>
      <w:r>
        <w:t xml:space="preserve"> </w:t>
      </w:r>
      <w:r>
        <w:t xml:space="preserve">- v2 (2026-05-06 ~02:00 PDT): Council rigor pass applied. R3 Theorem</w:t>
      </w:r>
      <w:r>
        <w:t xml:space="preserve"> </w:t>
      </w:r>
      <w:r>
        <w:t xml:space="preserve">4.4.1 (C2) reformulated as map-existence (Opus S4-1). S4-2 dimension</w:t>
      </w:r>
      <w:r>
        <w:t xml:space="preserve"> </w:t>
      </w:r>
      <w:r>
        <w:t xml:space="preserve">bookkeeping fixed: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×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  <w:r>
        <w:t xml:space="preserve"> </w:t>
      </w:r>
      <w:r>
        <w:t xml:space="preserve">is full</w:t>
      </w:r>
      <w:r>
        <w:t xml:space="preserve"> </w:t>
      </w:r>
      <m:oMath>
        <m:r>
          <m:t>20</m:t>
        </m:r>
      </m:oMath>
      <w:r>
        <w:t xml:space="preserve">-dim, delta =</w:t>
      </w:r>
      <w:r>
        <w:t xml:space="preserve"> </w:t>
      </w:r>
      <m:oMath>
        <m:r>
          <m:t>19</m:t>
        </m:r>
      </m:oMath>
      <w:r>
        <w:t xml:space="preserve">.</w:t>
      </w:r>
      <w:r>
        <w:t xml:space="preserve"> </w:t>
      </w:r>
      <w:r>
        <w:t xml:space="preserve">S4-3 Cor 4.5.2 downgraded biconditional → sufficient condition (Remark</w:t>
      </w:r>
      <w:r>
        <w:t xml:space="preserve"> </w:t>
      </w:r>
      <w:r>
        <w:t xml:space="preserve">4.5.3 acknowledges open necessity). S4-4 Fano-action prose corrected</w:t>
      </w:r>
      <w:r>
        <w:t xml:space="preserve"> </w:t>
      </w:r>
      <w:r>
        <w:t xml:space="preserve">(action on Fano plane points, fixed</w:t>
      </w:r>
      <w:r>
        <w:t xml:space="preserve"> </w:t>
      </w:r>
      <m:oMath>
        <m:r>
          <m:t>s</m:t>
        </m:r>
      </m:oMath>
      <w:r>
        <w:t xml:space="preserve">-line gives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S4-5 Prop 4.5.1 renamed and reworded (Frobenius reciprocity does not</w:t>
      </w:r>
      <w:r>
        <w:t xml:space="preserve"> </w:t>
      </w:r>
      <w:r>
        <w:rPr>
          <w:i/>
          <w:iCs/>
        </w:rPr>
        <w:t xml:space="preserve">select</w:t>
      </w:r>
      <w:r>
        <w:t xml:space="preserve"> </w:t>
      </w:r>
      <w:r>
        <w:t xml:space="preserve">cross-substrate maps). S4-6 (C2)⇏(C1) explicit witness</w:t>
      </w:r>
      <w:r>
        <w:t xml:space="preserve"> </w:t>
      </w:r>
      <w:r>
        <w:t xml:space="preserve">added. S4-7 operator-vs-vector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translation specified</w:t>
      </w:r>
      <w:r>
        <w:t xml:space="preserve"> </w:t>
      </w:r>
      <w:r>
        <w:t xml:space="preserve">(rank-one projector convention). S4-8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orientation ambiguity</w:t>
      </w:r>
      <w:r>
        <w:t xml:space="preserve"> </w:t>
      </w:r>
      <w:r>
        <w:t xml:space="preserve">acknowledged in Cor 4.4.2. Paper 4 inheritance paragraph added in</w:t>
      </w:r>
      <w:r>
        <w:t xml:space="preserve"> </w:t>
      </w:r>
      <w:r>
        <w:t xml:space="preserve">§4.1. §4.7 measurement-vs-instrument language tightened. Pillar</w:t>
      </w:r>
      <w:r>
        <w:t xml:space="preserve"> </w:t>
      </w:r>
      <w:r>
        <w:t xml:space="preserve">signpost added at top.</w:t>
      </w:r>
      <w:r>
        <w:t xml:space="preserve"> </w:t>
      </w:r>
      <w:r>
        <w:t xml:space="preserve">- v1 (2026-05-06 ~01:00 PDT): First complete draft.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2026-05-06T10:21:07Z</dcterms:created>
  <dcterms:modified xsi:type="dcterms:W3CDTF">2026-05-06T10:21:07Z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