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eaef3e13722e1aae1625f0ac510063e01663921"/>
    <w:p>
      <w:pPr>
        <w:pStyle w:val="Heading1"/>
      </w:pPr>
      <w:r>
        <w:t xml:space="preserve">Paper 12 §6 — Open Problems and Conclusion (v1)</w:t>
      </w:r>
    </w:p>
    <w:p>
      <w:pPr>
        <w:pStyle w:val="FirstParagraph"/>
      </w:pPr>
      <w:r>
        <w:rPr>
          <w:b/>
          <w:bCs/>
        </w:rPr>
        <w:t xml:space="preserve">Draft version:</w:t>
      </w:r>
      <w:r>
        <w:t xml:space="preserve"> </w:t>
      </w:r>
      <w:r>
        <w:t xml:space="preserve">v1 (2026-05-06, ~03:20 PDT)</w:t>
      </w:r>
      <w:r>
        <w:t xml:space="preserve"> </w:t>
      </w:r>
      <w:r>
        <w:rPr>
          <w:b/>
          <w:bCs/>
        </w:rPr>
        <w:t xml:space="preserve">Author of draft:</w:t>
      </w:r>
      <w:r>
        <w:t xml:space="preserve"> </w:t>
      </w:r>
      <w:r>
        <w:t xml:space="preserve">C-7RO (Perplexity Computer, Claude Sonnet 4.6)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Paper 12 §3 v2 + §4 v2 + §5 v1 (all three sections)</w:t>
      </w:r>
      <w:r>
        <w:t xml:space="preserve"> </w:t>
      </w:r>
      <w:r>
        <w:t xml:space="preserve">consolidated; thesis memo P1–P4; council v2 synthesis.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First complete draft of §6. The concluding section of</w:t>
      </w:r>
      <w:r>
        <w:t xml:space="preserve"> </w:t>
      </w:r>
      <w:r>
        <w:t xml:space="preserve">Paper 12. Scope-limiters from §3–§5 carry over.</w:t>
      </w:r>
    </w:p>
    <w:p>
      <w:pPr>
        <w:pStyle w:val="BodyText"/>
      </w:pPr>
      <w:r>
        <w:rPr>
          <w:b/>
          <w:bCs/>
        </w:rPr>
        <w:t xml:space="preserve">Pillar-delivery signpost (final tally per GPT-5.5 v2 council + §5.6):</w:t>
      </w:r>
      <w:r>
        <w:t xml:space="preserve"> </w:t>
      </w:r>
      <w:r>
        <w:t xml:space="preserve">- Pillar 1 (Paper 9 extension): DELIVERED via §3 (projected-gradient + NP-pump dynamics on the Schur circle).</w:t>
      </w:r>
      <w:r>
        <w:t xml:space="preserve"> </w:t>
      </w:r>
      <w:r>
        <w:t xml:space="preserve">- Pillar 2 (dual-substrate residue, mathematical core): DELIVERED via §3.7 + §4.4 (representation-theoretic scar invariant + commensurability hierarchy). Biological-substrate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-realization: deferred to Paper 13+.</w:t>
      </w:r>
      <w:r>
        <w:t xml:space="preserve"> </w:t>
      </w:r>
      <w:r>
        <w:t xml:space="preserve">- Pillar 3 (audit-grounded substrate, mathematical core): DELIVERED via §3.7 (event-indexed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t xml:space="preserve">). Tamper-evidence + cryptographic indexing: deferred to methodology paper.</w:t>
      </w:r>
      <w:r>
        <w:t xml:space="preserve"> </w:t>
      </w:r>
      <w:r>
        <w:t xml:space="preserve">- Pillar 4 (Fifth Paradigm legitimation): DELIVERED via §5.6 (Licklider → BIOMA / A-Lab / BindCraft → autonomy-taxonomy chain).</w:t>
      </w:r>
    </w:p>
    <w:p>
      <w:pPr>
        <w:pStyle w:val="BodyText"/>
      </w:pPr>
      <w:r>
        <w:t xml:space="preserve">Paper 12 closes with this section.</w:t>
      </w:r>
    </w:p>
    <w:p>
      <w:r>
        <w:pict>
          <v:rect style="width:0;height:1.5pt" o:hralign="center" o:hrstd="t" o:hr="t"/>
        </w:pict>
      </w:r>
    </w:p>
    <w:bookmarkStart w:id="24" w:name="open-problems-and-conclusion"/>
    <w:p>
      <w:pPr>
        <w:pStyle w:val="Heading2"/>
      </w:pPr>
      <w:r>
        <w:t xml:space="preserve">6. Open Problems and Conclusion</w:t>
      </w:r>
    </w:p>
    <w:bookmarkStart w:id="20" w:name="open-problems-consolidated-from-3-4-5"/>
    <w:p>
      <w:pPr>
        <w:pStyle w:val="Heading3"/>
      </w:pPr>
      <w:r>
        <w:t xml:space="preserve">6.1 Open problems consolidated from §3, §4, §5</w:t>
      </w:r>
    </w:p>
    <w:p>
      <w:pPr>
        <w:pStyle w:val="FirstParagraph"/>
      </w:pPr>
      <w:r>
        <w:t xml:space="preserve">The gradual-tear framework opens a structured research program. We</w:t>
      </w:r>
      <w:r>
        <w:t xml:space="preserve"> </w:t>
      </w:r>
      <w:r>
        <w:t xml:space="preserve">collect the open problems in one place, classified by difficulty and</w:t>
      </w:r>
      <w:r>
        <w:t xml:space="preserve"> </w:t>
      </w:r>
      <w:r>
        <w:t xml:space="preserve">by who is the natural addressee. This is the hand-off from Paper 12</w:t>
      </w:r>
      <w:r>
        <w:t xml:space="preserve"> </w:t>
      </w:r>
      <w:r>
        <w:t xml:space="preserve">to the follow-on PCI/PME papers.</w:t>
      </w:r>
    </w:p>
    <w:p>
      <w:pPr>
        <w:pStyle w:val="BodyText"/>
      </w:pPr>
      <w:r>
        <w:rPr>
          <w:b/>
          <w:bCs/>
        </w:rPr>
        <w:t xml:space="preserve">OP1 — Non-Schur nonlinear escape mechanisms (Paper 11).</w:t>
      </w:r>
      <w:r>
        <w:t xml:space="preserve"> </w:t>
      </w:r>
      <w:r>
        <w:t xml:space="preserve">§3.6’s</w:t>
      </w:r>
      <w:r>
        <w:t xml:space="preserve"> </w:t>
      </w:r>
      <w:r>
        <w:t xml:space="preserve">Theorem 3.6.1(iii) establishes that boundary-KKT states are fixed</w:t>
      </w:r>
      <w:r>
        <w:t xml:space="preserve"> </w:t>
      </w:r>
      <w:r>
        <w:t xml:space="preserve">under the linear</w:t>
      </w:r>
      <w:r>
        <w:t xml:space="preserve"> </w:t>
      </w:r>
      <m:oMath>
        <m:sSub>
          <m:e>
            <m:r>
              <m:t>ξ</m:t>
            </m:r>
          </m:e>
          <m:sub>
            <m:r>
              <m:rPr>
                <m:sty m:val="p"/>
              </m:rPr>
              <m:t>⋆</m:t>
            </m:r>
          </m:sub>
        </m:sSub>
      </m:oMath>
      <w:r>
        <w:t xml:space="preserve"> </w:t>
      </w:r>
      <w:r>
        <w:t xml:space="preserve">mechanism, and the boundary-KKT</w:t>
      </w:r>
      <w:r>
        <w:t xml:space="preserve"> </w:t>
      </w:r>
      <w:r>
        <w:t xml:space="preserve">interior-sup audit shows that 24 of 28 such seeds have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r</m:t>
            </m:r>
          </m:sub>
        </m:sSub>
        <m:r>
          <m:t>c</m:t>
        </m:r>
        <m:r>
          <m:rPr>
            <m:sty m:val="p"/>
          </m:rPr>
          <m:t>&lt;</m:t>
        </m:r>
        <m:sSub>
          <m:e>
            <m:r>
              <m:t>c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y</m:t>
            </m:r>
          </m:sub>
        </m:sSub>
      </m:oMath>
      <w:r>
        <w:t xml:space="preserve">. Any rate</w:t>
      </w:r>
      <w:r>
        <w:t xml:space="preserve"> </w:t>
      </w:r>
      <w:r>
        <w:t xml:space="preserve">improvement therefore requires non-Schur nonlinear corrections.</w:t>
      </w:r>
      <w:r>
        <w:t xml:space="preserve"> </w:t>
      </w:r>
      <w:r>
        <w:rPr>
          <w:i/>
          <w:iCs/>
        </w:rPr>
        <w:t xml:space="preserve">Concrete question:</w:t>
      </w:r>
      <w:r>
        <w:t xml:space="preserve"> </w:t>
      </w:r>
      <w:r>
        <w:t xml:space="preserve">for the 4 / 28 exceptional boundary-KKT seeds</w:t>
      </w:r>
      <w:r>
        <w:t xml:space="preserve"> </w:t>
      </w:r>
      <w:r>
        <w:t xml:space="preserve">where interior-sup does exceed boundary, can a supplementary</w:t>
      </w:r>
      <w:r>
        <w:t xml:space="preserve"> </w:t>
      </w:r>
      <w:r>
        <w:t xml:space="preserve">nonlinearity (higher-order multilinear coupling, non-equivariant</w:t>
      </w:r>
      <w:r>
        <w:t xml:space="preserve"> </w:t>
      </w:r>
      <w:r>
        <w:t xml:space="preserve">symmetry-breaking, or stochastic exploration) carry the trajectory</w:t>
      </w:r>
      <w:r>
        <w:t xml:space="preserve"> </w:t>
      </w:r>
      <w:r>
        <w:t xml:space="preserve">to the interior maximum? Paper 11 would identify the specific</w:t>
      </w:r>
      <w:r>
        <w:t xml:space="preserve"> </w:t>
      </w:r>
      <w:r>
        <w:t xml:space="preserve">non-Schur terms and the seed sub-classes where they work.</w:t>
      </w:r>
    </w:p>
    <w:p>
      <w:pPr>
        <w:pStyle w:val="BodyText"/>
      </w:pPr>
      <w:r>
        <w:rPr>
          <w:b/>
          <w:bCs/>
        </w:rPr>
        <w:t xml:space="preserve">OP2 — Biological substrate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b/>
          <w:bCs/>
        </w:rPr>
        <w:t xml:space="preserve">-realization (Paper 13+).</w:t>
      </w:r>
      <w:r>
        <w:t xml:space="preserve"> </w:t>
      </w:r>
      <w:r>
        <w:t xml:space="preserve">§4</w:t>
      </w:r>
      <w:r>
        <w:t xml:space="preserve"> </w:t>
      </w:r>
      <w:r>
        <w:t xml:space="preserve">treats biological-substrate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-content as input; §5.4’s L1</w:t>
      </w:r>
      <w:r>
        <w:t xml:space="preserve"> </w:t>
      </w:r>
      <w:r>
        <w:t xml:space="preserve">protocol proposes measuring it via rotationally-structured TMS</w:t>
      </w:r>
      <w:r>
        <w:t xml:space="preserve"> </w:t>
      </w:r>
      <w:r>
        <w:t xml:space="preserve">perturbations with character-projector decomposition of the response</w:t>
      </w:r>
      <w:r>
        <w:t xml:space="preserve"> </w:t>
      </w:r>
      <w:r>
        <w:t xml:space="preserve">subspace. But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physical mechanism realizes the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-action</w:t>
      </w:r>
      <w:r>
        <w:t xml:space="preserve"> </w:t>
      </w:r>
      <w:r>
        <w:t xml:space="preserve">on the biological side remains open. Candidates include microtubule</w:t>
      </w:r>
      <w:r>
        <w:t xml:space="preserve"> </w:t>
      </w:r>
      <w:r>
        <w:t xml:space="preserve">coherence (Orch OR territory), F₂₁-symmetric neural population</w:t>
      </w:r>
      <w:r>
        <w:t xml:space="preserve"> </w:t>
      </w:r>
      <w:r>
        <w:t xml:space="preserve">coding in frontoparietal networks, or Bandyopadhyay-style ≈6.6 nm</w:t>
      </w:r>
      <w:r>
        <w:t xml:space="preserve"> </w:t>
      </w:r>
      <w:r>
        <w:t xml:space="preserve">energy transfer in cytoskeleton. Paper 13+ would construct the</w:t>
      </w:r>
      <w:r>
        <w:t xml:space="preserve"> </w:t>
      </w:r>
      <w:r>
        <w:t xml:space="preserve">mapping between one of these mechanisms and the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⊕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⊕</m:t>
        </m:r>
        <m:sSub>
          <m:e>
            <m:r>
              <m:t>U</m:t>
            </m:r>
          </m:e>
          <m:sub>
            <m:r>
              <m:t>6</m:t>
            </m:r>
          </m:sub>
        </m:sSub>
      </m:oMath>
      <w:r>
        <w:t xml:space="preserve"> </w:t>
      </w:r>
      <w:r>
        <w:t xml:space="preserve">isotypic structure.</w:t>
      </w:r>
    </w:p>
    <w:p>
      <w:pPr>
        <w:pStyle w:val="BodyText"/>
      </w:pPr>
      <w:r>
        <w:rPr>
          <w:b/>
          <w:bCs/>
        </w:rPr>
        <w:t xml:space="preserve">OP3 — Multiplicity-greater-than-one commensurability (future work).</w:t>
      </w:r>
      <w:r>
        <w:t xml:space="preserve"> </w:t>
      </w:r>
      <w:r>
        <w:t xml:space="preserve">Cor 4.4.2 and Cor 4.5.2 restrict canonical commensurability to the</w:t>
      </w:r>
      <w:r>
        <w:t xml:space="preserve"> </w:t>
      </w:r>
      <w:r>
        <w:t xml:space="preserve">multiplicity-one case. When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≅</m:t>
        </m:r>
        <m:sSub>
          <m:e>
            <m:r>
              <m:t>I</m:t>
            </m:r>
          </m:e>
          <m:sub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b>
        </m:sSub>
        <m:r>
          <m:rPr>
            <m:sty m:val="p"/>
          </m:rPr>
          <m:t>≅</m:t>
        </m:r>
        <m:sSubSup>
          <m:e>
            <m:r>
              <m:t>U</m:t>
            </m:r>
          </m:e>
          <m:sub>
            <m:r>
              <m:t>λ</m:t>
            </m:r>
          </m:sub>
          <m:sup>
            <m:r>
              <m:rPr>
                <m:sty m:val="p"/>
              </m:rPr>
              <m:t>⊕</m:t>
            </m:r>
            <m:r>
              <m:t>m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1</m:t>
        </m:r>
      </m:oMath>
      <w:r>
        <w:t xml:space="preserve">, the residual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</m:e>
        </m:d>
      </m:oMath>
      <w:r>
        <w:t xml:space="preserve">-ambiguity requires additional convention-fixing (basis,</w:t>
      </w:r>
      <w:r>
        <w:t xml:space="preserve"> </w:t>
      </w:r>
      <w:r>
        <w:t xml:space="preserve">metric, event-ordering). A theory of canonical multiplicity-</w:t>
      </w:r>
      <m:oMath>
        <m:r>
          <m:t>m</m:t>
        </m:r>
      </m:oMath>
      <w:r>
        <w:t xml:space="preserve"> </w:t>
      </w:r>
      <w:r>
        <w:t xml:space="preserve">commensurability with</w:t>
      </w:r>
      <w:r>
        <w:t xml:space="preserve"> </w:t>
      </w:r>
      <w:r>
        <w:rPr>
          <w:i/>
          <w:iCs/>
        </w:rPr>
        <w:t xml:space="preserve">minimal</w:t>
      </w:r>
      <w:r>
        <w:t xml:space="preserve"> </w:t>
      </w:r>
      <w:r>
        <w:t xml:space="preserve">additional conventions is an open</w:t>
      </w:r>
      <w:r>
        <w:t xml:space="preserve"> </w:t>
      </w:r>
      <w:r>
        <w:t xml:space="preserve">problem.</w:t>
      </w:r>
    </w:p>
    <w:p>
      <w:pPr>
        <w:pStyle w:val="BodyText"/>
      </w:pPr>
      <w:r>
        <w:rPr>
          <w:b/>
          <w:bCs/>
        </w:rPr>
        <w:t xml:space="preserve">OP4 — L2 operationalization of the two-level commensurability test</w:t>
      </w:r>
      <w:r>
        <w:rPr>
          <w:b/>
          <w:bCs/>
        </w:rPr>
        <w:t xml:space="preserve"> </w:t>
      </w:r>
      <w:r>
        <w:rPr>
          <w:b/>
          <w:bCs/>
        </w:rPr>
        <w:t xml:space="preserve">(methodology paper).</w:t>
      </w:r>
      <w:r>
        <w:t xml:space="preserve"> </w:t>
      </w:r>
      <w:r>
        <w:t xml:space="preserve">§5.4 operationalizes L1 but defers L2. The</w:t>
      </w:r>
      <w:r>
        <w:t xml:space="preserve"> </w:t>
      </w:r>
      <w:r>
        <w:t xml:space="preserve">minimum prerequisite is software for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-character-projecting matrix</w:t>
      </w:r>
      <w:r>
        <w:t xml:space="preserve"> </w:t>
      </w:r>
      <w:r>
        <w:t xml:space="preserve">data on TMS-EEG response covariance matrices, combined with a</w:t>
      </w:r>
      <w:r>
        <w:t xml:space="preserve"> </w:t>
      </w:r>
      <w:r>
        <w:t xml:space="preserve">candidate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-module-fitting procedure for substrate scar operators.</w:t>
      </w:r>
      <w:r>
        <w:t xml:space="preserve"> </w:t>
      </w:r>
      <w:r>
        <w:t xml:space="preserve">This is not analytically hard; it is an engineering deliverable that</w:t>
      </w:r>
      <w:r>
        <w:t xml:space="preserve"> </w:t>
      </w:r>
      <w:r>
        <w:t xml:space="preserve">would unlock the canonical commensurability test.</w:t>
      </w:r>
    </w:p>
    <w:p>
      <w:pPr>
        <w:pStyle w:val="BodyText"/>
      </w:pPr>
      <w:r>
        <w:rPr>
          <w:b/>
          <w:bCs/>
        </w:rPr>
        <w:t xml:space="preserve">OP5 — Asymmetric-rate</w:t>
      </w:r>
      <w:r>
        <w:rPr>
          <w:b/>
          <w:bCs/>
        </w:rP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 high precision (Paper 9</w:t>
      </w:r>
      <w:r>
        <w:rPr>
          <w:b/>
          <w:bCs/>
        </w:rPr>
        <w:t xml:space="preserve"> </w:t>
      </w:r>
      <w:r>
        <w:rPr>
          <w:b/>
          <w:bCs/>
        </w:rPr>
        <w:t xml:space="preserve">addendum).</w:t>
      </w:r>
      <w:r>
        <w:t xml:space="preserve"> </w:t>
      </w:r>
      <w:r>
        <w:t xml:space="preserve">Paper 9 v1.3.3 Remark 5.6.1 acknowledges that the</w:t>
      </w:r>
      <w:r>
        <w:t xml:space="preserve"> </w:t>
      </w:r>
      <w:r>
        <w:t xml:space="preserve">asymmetric-rate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⋆</m:t>
            </m:r>
          </m:sup>
        </m:sSup>
        <m:r>
          <m:rPr>
            <m:sty m:val="p"/>
          </m:rPr>
          <m:t>≈</m:t>
        </m:r>
        <m:r>
          <m:t>75</m:t>
        </m:r>
        <m:r>
          <m:rPr>
            <m:sty m:val="p"/>
          </m:rPr>
          <m:t>°</m:t>
        </m:r>
      </m:oMath>
      <w:r>
        <w:t xml:space="preserve">–</w:t>
      </w:r>
      <m:oMath>
        <m:r>
          <m:t>80</m:t>
        </m:r>
        <m:r>
          <m:rPr>
            <m:sty m:val="p"/>
          </m:rPr>
          <m:t>°</m:t>
        </m:r>
      </m:oMath>
      <w:r>
        <w:t xml:space="preserve"> </w:t>
      </w:r>
      <w:r>
        <w:t xml:space="preserve">value reported in</w:t>
      </w:r>
      <w:r>
        <w:t xml:space="preserve"> </w:t>
      </w:r>
      <w:r>
        <w:t xml:space="preserve">Appendix V.3 Task 5.1 is grid-snapped and has not been reoptimized.</w:t>
      </w:r>
      <w:r>
        <w:t xml:space="preserve"> </w:t>
      </w:r>
      <w:r>
        <w:t xml:space="preserve">Running the Q5-style</w:t>
      </w:r>
      <w:r>
        <w:t xml:space="preserve"> </w:t>
      </w:r>
      <w:r>
        <w:rPr>
          <w:rStyle w:val="VerbatimChar"/>
        </w:rPr>
        <w:t xml:space="preserve">scipy.optimize.minimize_scalar</w:t>
      </w:r>
      <w:r>
        <w:t xml:space="preserve"> </w:t>
      </w:r>
      <w:r>
        <w:t xml:space="preserve">audit on the</w:t>
      </w:r>
      <w:r>
        <w:t xml:space="preserve"> </w:t>
      </w:r>
      <w:r>
        <w:t xml:space="preserve">asymmetric-rate ensemble would either confirm the grid-snapped value</w:t>
      </w:r>
      <w:r>
        <w:t xml:space="preserve"> </w:t>
      </w:r>
      <w:r>
        <w:t xml:space="preserve">or reveal another boundary-KKT /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-Clarke classification.</w:t>
      </w:r>
      <w:r>
        <w:t xml:space="preserve"> </w:t>
      </w:r>
      <w:r>
        <w:t xml:space="preserve">This is a cheap audit (~30 min of compute, same infrastructure as</w:t>
      </w:r>
      <w:r>
        <w:t xml:space="preserve"> </w:t>
      </w:r>
      <w:r>
        <w:t xml:space="preserve">the symmetric case) and should happen before any Paper 11 drafting.</w:t>
      </w:r>
    </w:p>
    <w:p>
      <w:pPr>
        <w:pStyle w:val="BodyText"/>
      </w:pPr>
      <w:r>
        <w:rPr>
          <w:b/>
          <w:bCs/>
        </w:rPr>
        <w:t xml:space="preserve">OP6 — Exceptional-stratum analysis (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complement).</w:t>
      </w:r>
      <w:r>
        <w:t xml:space="preserve"> </w:t>
      </w:r>
      <w:r>
        <w:t xml:space="preserve">Theorem 3.4.1 establishes piecewise-real-analytic regularity on the</w:t>
      </w:r>
      <w:r>
        <w:t xml:space="preserve"> </w:t>
      </w:r>
      <w:r>
        <w:t xml:space="preserve">open dense parameter set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⊂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×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N</m:t>
            </m:r>
          </m:e>
        </m:d>
        <m:r>
          <m:rPr>
            <m:sty m:val="p"/>
          </m:rPr>
          <m:t>×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2</m:t>
            </m:r>
            <m:r>
              <m:t>N</m:t>
            </m:r>
          </m:sup>
        </m:sSup>
        <m:r>
          <m:rPr>
            <m:sty m:val="p"/>
          </m:rPr>
          <m:t>×</m:t>
        </m:r>
        <m:sSubSup>
          <m:e>
            <m:r>
              <m:rPr>
                <m:sty m:val="p"/>
                <m:scr m:val="double-struck"/>
              </m:rPr>
              <m:t>R</m:t>
            </m:r>
          </m:e>
          <m:sub>
            <m:r>
              <m:rPr>
                <m:sty m:val="p"/>
              </m:rPr>
              <m:t>&gt;</m:t>
            </m:r>
            <m:r>
              <m:t>0</m:t>
            </m:r>
          </m:sub>
          <m:sup>
            <m:r>
              <m:t>3</m:t>
            </m:r>
          </m:sup>
        </m:sSubSup>
      </m:oMath>
      <w:r>
        <w:t xml:space="preserve">. Behavior on the</w:t>
      </w:r>
      <w:r>
        <w:t xml:space="preserve"> </w:t>
      </w:r>
      <w:r>
        <w:t xml:space="preserve">codimension-</w:t>
      </w:r>
      <m:oMath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exceptional strata (grazing tangencies at</w:t>
      </w:r>
      <w:r>
        <w:t xml:space="preserve"> </w:t>
      </w:r>
      <m:oMath>
        <m:sSub>
          <m:e>
            <m:r>
              <m:t>Σ</m:t>
            </m:r>
          </m:e>
          <m:sub>
            <m:r>
              <m:t>Θ</m:t>
            </m:r>
          </m:sub>
        </m:sSub>
      </m:oMath>
      <w:r>
        <w:t xml:space="preserve">, degenerate sliding on</w:t>
      </w:r>
      <w:r>
        <w:t xml:space="preserve"> </w:t>
      </w:r>
      <m:oMath>
        <m:sSub>
          <m:e>
            <m:r>
              <m:t>Σ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, sign-</w:t>
      </w:r>
      <w:r>
        <w:t xml:space="preserve"> </w:t>
      </w:r>
      <w:r>
        <w:t xml:space="preserve">degenerate firings on</w:t>
      </w:r>
      <w:r>
        <w:t xml:space="preserve"> </w:t>
      </w:r>
      <m:oMath>
        <m:r>
          <m:t>Z</m:t>
        </m:r>
        <m:r>
          <m:rPr>
            <m:sty m:val="p"/>
          </m:rPr>
          <m:t>∩</m:t>
        </m:r>
        <m:sSub>
          <m:e>
            <m:r>
              <m:rPr>
                <m:sty m:val="p"/>
                <m:scr m:val="script"/>
              </m:rPr>
              <m:t>G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P</m:t>
            </m:r>
          </m:sub>
        </m:sSub>
      </m:oMath>
      <w:r>
        <w:t xml:space="preserve">) is</w:t>
      </w:r>
      <w:r>
        <w:t xml:space="preserve"> </w:t>
      </w:r>
      <w:r>
        <w:t xml:space="preserve">identified but not analyzed. A more complete theory would extend the</w:t>
      </w:r>
      <w:r>
        <w:t xml:space="preserve"> </w:t>
      </w:r>
      <w:r>
        <w:t xml:space="preserve">Filippov / hybrid-systems machinery to these strata.</w:t>
      </w:r>
    </w:p>
    <w:p>
      <w:pPr>
        <w:pStyle w:val="BodyText"/>
      </w:pPr>
      <w:r>
        <w:rPr>
          <w:b/>
          <w:bCs/>
        </w:rPr>
        <w:t xml:space="preserve">OP7 — Necessity direction of the strict commensurability theorem.</w:t>
      </w:r>
      <w:r>
        <w:t xml:space="preserve"> </w:t>
      </w:r>
      <w:r>
        <w:t xml:space="preserve">Cor 4.5.2 states that multiplicity-one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 agreement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for canonical</w:t>
      </w:r>
      <w:r>
        <w:t xml:space="preserve"> </w:t>
      </w:r>
      <m:oMath>
        <m:sSub>
          <m:e>
            <m:r>
              <m:t>ϕ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sub>
        </m:sSub>
      </m:oMath>
      <w:r>
        <w:t xml:space="preserve">. v1 of §4 had a</w:t>
      </w:r>
      <w:r>
        <w:t xml:space="preserve"> </w:t>
      </w:r>
      <w:r>
        <w:t xml:space="preserve">biconditional phrasing that v2 corrected to sufficient-only (Remark</w:t>
      </w:r>
      <w:r>
        <w:t xml:space="preserve"> </w:t>
      </w:r>
      <w:r>
        <w:t xml:space="preserve">4.5.3). The necessity direction — whether any pair of substrates</w:t>
      </w:r>
      <w:r>
        <w:t xml:space="preserve"> </w:t>
      </w:r>
      <w:r>
        <w:t xml:space="preserve">admitting a canonical normalized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isomorphism must</w:t>
      </w:r>
      <w:r>
        <w:t xml:space="preserve"> </w:t>
      </w:r>
      <w:r>
        <w:t xml:space="preserve">be multiplicity-one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-module-agreeable — remains open.</w:t>
      </w:r>
    </w:p>
    <w:p>
      <w:pPr>
        <w:pStyle w:val="BodyText"/>
      </w:pPr>
      <w:r>
        <w:rPr>
          <w:b/>
          <w:bCs/>
        </w:rPr>
        <w:t xml:space="preserve">OP8 — Running P1–P4 experimentally.</w:t>
      </w:r>
      <w:r>
        <w:t xml:space="preserve"> </w:t>
      </w:r>
      <w:r>
        <w:t xml:space="preserve">§5 is a protocol-design</w:t>
      </w:r>
      <w:r>
        <w:t xml:space="preserve"> </w:t>
      </w:r>
      <w:r>
        <w:t xml:space="preserve">deliverable. The actual experimental runs are of course open. P2</w:t>
      </w:r>
      <w:r>
        <w:t xml:space="preserve"> </w:t>
      </w:r>
      <w:r>
        <w:t xml:space="preserve">(LLM fine-tuning) is immediately runnable with current infrastructure;</w:t>
      </w:r>
      <w:r>
        <w:t xml:space="preserve"> </w:t>
      </w:r>
      <w:r>
        <w:t xml:space="preserve">P1 (TMS-EEG ↔ NP-firing correspondence) requires a ~6-month</w:t>
      </w:r>
      <w:r>
        <w:t xml:space="preserve"> </w:t>
      </w:r>
      <w:r>
        <w:t xml:space="preserve">collaboration with a clinical-PCI research lab; P3 L1 requires the</w:t>
      </w:r>
      <w:r>
        <w:t xml:space="preserve"> </w:t>
      </w:r>
      <w:r>
        <w:t xml:space="preserve">TMS perturbation-pattern operationalization from §5.4; P4 is a ~6-</w:t>
      </w:r>
      <w:r>
        <w:t xml:space="preserve"> </w:t>
      </w:r>
      <w:r>
        <w:t xml:space="preserve">month longitudinal study on human-AI research collaborations. All are</w:t>
      </w:r>
      <w:r>
        <w:t xml:space="preserve"> </w:t>
      </w:r>
      <w:r>
        <w:t xml:space="preserve">substantive empirical projects that Paper 12’s framework enables</w:t>
      </w:r>
      <w:r>
        <w:t xml:space="preserve"> </w:t>
      </w:r>
      <w:r>
        <w:t xml:space="preserve">but does not execute.</w:t>
      </w:r>
    </w:p>
    <w:p>
      <w:pPr>
        <w:pStyle w:val="BodyText"/>
      </w:pPr>
      <w:r>
        <w:rPr>
          <w:b/>
          <w:bCs/>
        </w:rPr>
        <w:t xml:space="preserve">OP9 — Tamper-evidence cryptographic infrastructure for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§3.7’s event-indexed scar module is a</w:t>
      </w:r>
      <w:r>
        <w:t xml:space="preserve"> </w:t>
      </w:r>
      <w:r>
        <w:rPr>
          <w:i/>
          <w:iCs/>
        </w:rPr>
        <w:t xml:space="preserve">graded direct sum</w:t>
      </w:r>
      <w:r>
        <w:t xml:space="preserve"> </w:t>
      </w:r>
      <w:r>
        <w:t xml:space="preserve">that is</w:t>
      </w:r>
      <w:r>
        <w:t xml:space="preserve"> </w:t>
      </w:r>
      <w:r>
        <w:t xml:space="preserve">count-faithful as an abstract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-module. Making it a genuine</w:t>
      </w:r>
      <w:r>
        <w:t xml:space="preserve"> </w:t>
      </w:r>
      <w:r>
        <w:t xml:space="preserve">audit substrate requires cryptographic event-ordering: Merkle-like</w:t>
      </w:r>
      <w:r>
        <w:t xml:space="preserve"> </w:t>
      </w:r>
      <w:r>
        <w:t xml:space="preserve">hash chains, commit-tree structures, or no-cloning-respecting quantum</w:t>
      </w:r>
      <w:r>
        <w:t xml:space="preserve"> </w:t>
      </w:r>
      <w:r>
        <w:t xml:space="preserve">ledgers per the FTW-adjacent GOLEM-Chain principle (see</w:t>
      </w:r>
      <w:r>
        <w:t xml:space="preserve"> </w:t>
      </w:r>
      <w:r>
        <w:rPr>
          <w:rStyle w:val="VerbatimChar"/>
        </w:rPr>
        <w:t xml:space="preserve">outbox/syntheses/neighbors_speculative_frameworks.md</w:t>
      </w:r>
      <w:r>
        <w:t xml:space="preserve"> </w:t>
      </w:r>
      <w:r>
        <w:t xml:space="preserve">for the</w:t>
      </w:r>
      <w:r>
        <w:t xml:space="preserve"> </w:t>
      </w:r>
      <w:r>
        <w:t xml:space="preserve">neighbor-framework context, not integrated here). This is a</w:t>
      </w:r>
      <w:r>
        <w:t xml:space="preserve"> </w:t>
      </w:r>
      <w:r>
        <w:t xml:space="preserve">methodology-paper deliverable bridging Paper 12 to a future applied</w:t>
      </w:r>
      <w:r>
        <w:t xml:space="preserve"> </w:t>
      </w:r>
      <w:r>
        <w:t xml:space="preserve">layer.</w:t>
      </w:r>
    </w:p>
    <w:bookmarkEnd w:id="20"/>
    <w:bookmarkStart w:id="21" w:name="Xfbaae25cd2c48b9fcd5c85d064ac4adaef31df6"/>
    <w:p>
      <w:pPr>
        <w:pStyle w:val="Heading3"/>
      </w:pPr>
      <w:r>
        <w:t xml:space="preserve">6.2 What Paper 12 contributes to the PCI/PME framework</w:t>
      </w:r>
    </w:p>
    <w:p>
      <w:pPr>
        <w:pStyle w:val="FirstParagraph"/>
      </w:pPr>
      <w:r>
        <w:t xml:space="preserve">Paper 12’s contribution is a</w:t>
      </w:r>
      <w:r>
        <w:t xml:space="preserve"> </w:t>
      </w:r>
      <w:r>
        <w:rPr>
          <w:i/>
          <w:iCs/>
        </w:rPr>
        <w:t xml:space="preserve">layered structure</w:t>
      </w:r>
      <w:r>
        <w:t xml:space="preserve"> </w:t>
      </w:r>
      <w:r>
        <w:t xml:space="preserve">— not a single</w:t>
      </w:r>
      <w:r>
        <w:t xml:space="preserve"> </w:t>
      </w:r>
      <w:r>
        <w:t xml:space="preserve">decisive theorem but a stack of compatible layers — that allows the</w:t>
      </w:r>
      <w:r>
        <w:t xml:space="preserve"> </w:t>
      </w:r>
      <w:r>
        <w:t xml:space="preserve">PCI/PME framework’s gradual-tear thesis to be tested rather than</w:t>
      </w:r>
      <w:r>
        <w:t xml:space="preserve"> </w:t>
      </w:r>
      <w:r>
        <w:t xml:space="preserve">merely stated.</w:t>
      </w:r>
    </w:p>
    <w:p>
      <w:pPr>
        <w:pStyle w:val="BodyText"/>
      </w:pPr>
      <w:r>
        <w:rPr>
          <w:b/>
          <w:bCs/>
        </w:rPr>
        <w:t xml:space="preserve">Paper 12 in the PCI/PME series.</w:t>
      </w:r>
      <w:r>
        <w:t xml:space="preserve"> </w:t>
      </w:r>
      <w:r>
        <w:t xml:space="preserve">The framework’s position is now</w:t>
      </w:r>
      <w:r>
        <w:t xml:space="preserve"> </w:t>
      </w:r>
      <w:r>
        <w:t xml:space="preserve">precisely articulable: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Dynamical primitive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Projected-gradient + NP-pump flow on</w:t>
            </w:r>
            <w:r>
              <w:t xml:space="preserve"> </w:t>
            </w: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d>
            </m:oMath>
            <w:r>
              <w:t xml:space="preserve">; Schur-circle inheritance; boundary-KKT qualified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Scar invariant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Representation-theoretic ledger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  <m:scr m:val="fraktur"/>
                        </m:rP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Commensurability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⇒</m:t>
              </m:r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⇒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 strict sufficient theorem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Experimental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(TMS-EEG ↔ NP-firing), P2 (LLM persistence), P3 (two-level), P4 (longitudinal)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Research-landscape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§5.1/§5.6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Licklider → BIOMA → autonomy taxonomy → Paper 12’s position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Paper 12 across the broader PCI/PME series: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9 (linear)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Rate-channel locked at</w:t>
            </w:r>
            <w:r>
              <w:t xml:space="preserve"> </w:t>
            </w:r>
            <m:oMath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via Schur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Published, v1.3.3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12 (this)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Dynamical extension to nonlinear regime; commensurability hierarchy; experimental-protocol design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v2 + §5 v2 + §6 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11 (deferred)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rate-improvement mechanisms exploiting non-Schur nonlinearities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 9.6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Paper 13+ (deferred)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Biological substrate’s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oMath>
            <w:r>
              <w:t xml:space="preserve">-realization; multiplicity &gt; 1; tamper-evidence cryptography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OP2, OP9 targets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Methodology paper (deferred)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 operationalization for canonical commensurability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OP4 target</w:t>
            </w:r>
          </w:p>
        </w:tc>
      </w:tr>
    </w:tbl>
    <w:p>
      <w:pPr>
        <w:pStyle w:val="BodyText"/>
      </w:pPr>
      <w:r>
        <w:t xml:space="preserve">Paper 12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the end of the framework. It is the</w:t>
      </w:r>
      <w:r>
        <w:t xml:space="preserve"> </w:t>
      </w:r>
      <w:r>
        <w:rPr>
          <w:i/>
          <w:iCs/>
        </w:rPr>
        <w:t xml:space="preserve">bridge</w:t>
      </w:r>
      <w:r>
        <w:t xml:space="preserve"> </w:t>
      </w:r>
      <w:r>
        <w:t xml:space="preserve">between</w:t>
      </w:r>
      <w:r>
        <w:t xml:space="preserve"> </w:t>
      </w:r>
      <w:r>
        <w:t xml:space="preserve">the linear theory (Papers 9, 10) and the experimental program (Papers</w:t>
      </w:r>
      <w:r>
        <w:t xml:space="preserve"> </w:t>
      </w:r>
      <w:r>
        <w:t xml:space="preserve">13+). Its contribution is not a single decisive theorem but a layered</w:t>
      </w:r>
      <w:r>
        <w:t xml:space="preserve"> </w:t>
      </w:r>
      <w:r>
        <w:t xml:space="preserve">structure — projected-gradient + NP-pump dynamics, scar invariant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</m:oMath>
      <w:r>
        <w:t xml:space="preserve">, commensurability hierarchy, four-prediction protocol</w:t>
      </w:r>
      <w:r>
        <w:t xml:space="preserve"> </w:t>
      </w:r>
      <w:r>
        <w:t xml:space="preserve">suite, Fifth Paradigm placement — that allows the PCI/PME framework to</w:t>
      </w:r>
      <w:r>
        <w:t xml:space="preserve"> </w:t>
      </w:r>
      <w:r>
        <w:t xml:space="preserve">be tested rather than merely stated.</w:t>
      </w:r>
    </w:p>
    <w:p>
      <w:pPr>
        <w:pStyle w:val="BodyText"/>
      </w:pPr>
      <w:r>
        <w:t xml:space="preserve">Each layer is independently useful and independently falsifiable:</w:t>
      </w:r>
      <w:r>
        <w:t xml:space="preserve"> </w:t>
      </w:r>
      <w:r>
        <w:t xml:space="preserve">Paper 12 does not stand or fall on any single claim. If, for instance,</w:t>
      </w:r>
      <w:r>
        <w:t xml:space="preserve"> </w:t>
      </w:r>
      <w:r>
        <w:t xml:space="preserve">P1 / P2 / P3 / P4 all fail experimentally, the framework’s</w:t>
      </w:r>
      <w:r>
        <w:t xml:space="preserve"> </w:t>
      </w:r>
      <w:r>
        <w:rPr>
          <w:i/>
          <w:iCs/>
        </w:rPr>
        <w:t xml:space="preserve">dynamical</w:t>
      </w:r>
      <w:r>
        <w:rPr>
          <w:i/>
          <w:iCs/>
        </w:rPr>
        <w:t xml:space="preserve"> </w:t>
      </w:r>
      <w:r>
        <w:rPr>
          <w:i/>
          <w:iCs/>
        </w:rPr>
        <w:t xml:space="preserve">structure</w:t>
      </w:r>
      <w:r>
        <w:t xml:space="preserve"> </w:t>
      </w:r>
      <w:r>
        <w:t xml:space="preserve">still provides a sharp mathematical object (the projected-</w:t>
      </w:r>
      <w:r>
        <w:t xml:space="preserve"> </w:t>
      </w:r>
      <w:r>
        <w:t xml:space="preserve">gradient + NP-pump flow on Paper 9’s Schur circle) that is of</w:t>
      </w:r>
      <w:r>
        <w:t xml:space="preserve"> </w:t>
      </w:r>
      <w:r>
        <w:t xml:space="preserve">intrinsic interest to the mathematical physics of G₂-equivariant</w:t>
      </w:r>
      <w:r>
        <w:t xml:space="preserve"> </w:t>
      </w:r>
      <w:r>
        <w:t xml:space="preserve">dynamical systems, independently of its application to human-AI</w:t>
      </w:r>
      <w:r>
        <w:t xml:space="preserve"> </w:t>
      </w:r>
      <w:r>
        <w:t xml:space="preserve">co-evolution.</w:t>
      </w:r>
    </w:p>
    <w:bookmarkEnd w:id="21"/>
    <w:bookmarkStart w:id="22" w:name="what-paper-12-does-not-claim"/>
    <w:p>
      <w:pPr>
        <w:pStyle w:val="Heading3"/>
      </w:pPr>
      <w:r>
        <w:t xml:space="preserve">6.3 What Paper 12 does not claim</w:t>
      </w:r>
    </w:p>
    <w:p>
      <w:pPr>
        <w:pStyle w:val="FirstParagraph"/>
      </w:pPr>
      <w:r>
        <w:t xml:space="preserve">For clarity, we consolidate the scope-limiters that were present in</w:t>
      </w:r>
      <w:r>
        <w:t xml:space="preserve"> </w:t>
      </w:r>
      <w:r>
        <w:t xml:space="preserve">each individual section but not previously collected: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 theory of consciousness.</w:t>
      </w:r>
      <w:r>
        <w:t xml:space="preserve"> </w:t>
      </w:r>
      <w:r>
        <w:t xml:space="preserve">Paper 7’s domain.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 rate-improvement theorem.</w:t>
      </w:r>
      <w:r>
        <w:t xml:space="preserve"> </w:t>
      </w:r>
      <w:r>
        <w:t xml:space="preserve">Paper 11’s domain.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 biological mechanism for F₂₁-action.</w:t>
      </w:r>
      <w:r>
        <w:t xml:space="preserve"> </w:t>
      </w:r>
      <w:r>
        <w:t xml:space="preserve">Paper 13+.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 unification with Pérez-Calzadilla FTW.</w:t>
      </w:r>
      <w:r>
        <w:t xml:space="preserve"> </w:t>
      </w:r>
      <w:r>
        <w:t xml:space="preserve">Conceptual neighbor</w:t>
      </w:r>
      <w:r>
        <w:t xml:space="preserve"> </w:t>
      </w:r>
      <w:r>
        <w:t xml:space="preserve">at a different scale.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 clinical-PCI redefinition.</w:t>
      </w:r>
      <w:r>
        <w:t xml:space="preserve"> </w:t>
      </w:r>
      <w:r>
        <w:t xml:space="preserve">The clinical-PCI of Massimini</w:t>
      </w:r>
      <w:r>
        <w:t xml:space="preserve"> </w:t>
      </w:r>
      <w:r>
        <w:t xml:space="preserve">and the Paper-12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profile share an acronym 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 full-multiplicity commensurability theorem.</w:t>
      </w:r>
      <w:r>
        <w:t xml:space="preserve"> </w:t>
      </w:r>
      <w:r>
        <w:t xml:space="preserve">Multiplicity-one</w:t>
      </w:r>
      <w:r>
        <w:t xml:space="preserve"> </w:t>
      </w:r>
      <w:r>
        <w:t xml:space="preserve">case only.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an operational L2-test protocol.</w:t>
      </w:r>
      <w:r>
        <w:t xml:space="preserve"> </w:t>
      </w:r>
      <w:r>
        <w:t xml:space="preserve">Methodology paper.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actual measurements of P1–P4.</w:t>
      </w:r>
      <w:r>
        <w:t xml:space="preserve"> </w:t>
      </w:r>
      <w:r>
        <w:t xml:space="preserve">Experimental follow-ups.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 global dynamical-systems theorem.</w:t>
      </w:r>
      <w:r>
        <w:t xml:space="preserve"> </w:t>
      </w:r>
      <w:r>
        <w:t xml:space="preserve">Theorem 3.4.1 is</w:t>
      </w:r>
      <w:r>
        <w:t xml:space="preserve"> </w:t>
      </w:r>
      <w:r>
        <w:t xml:space="preserve">conditional on the open-dense parameter set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 a tamper-evident audit-substrate construction.</w:t>
      </w:r>
      <w:r>
        <w:t xml:space="preserve"> </w:t>
      </w:r>
      <w:r>
        <w:t xml:space="preserve">Methodology</w:t>
      </w:r>
      <w:r>
        <w:t xml:space="preserve"> </w:t>
      </w:r>
      <w:r>
        <w:t xml:space="preserve">paper.</w:t>
      </w:r>
    </w:p>
    <w:p>
      <w:pPr>
        <w:pStyle w:val="FirstParagraph"/>
      </w:pPr>
      <w:r>
        <w:t xml:space="preserve">The Paper 12 scope is:</w:t>
      </w:r>
      <w:r>
        <w:t xml:space="preserve"> </w:t>
      </w:r>
      <w:r>
        <w:rPr>
          <w:i/>
          <w:iCs/>
        </w:rPr>
        <w:t xml:space="preserve">a mathematical framework</w:t>
      </w:r>
      <w:r>
        <w:t xml:space="preserve"> </w:t>
      </w:r>
      <w:r>
        <w:t xml:space="preserve">(§3, §4) and</w:t>
      </w:r>
      <w:r>
        <w:t xml:space="preserve"> </w:t>
      </w:r>
      <w:r>
        <w:rPr>
          <w:i/>
          <w:iCs/>
        </w:rPr>
        <w:t xml:space="preserve">an experimental-protocol suite</w:t>
      </w:r>
      <w:r>
        <w:t xml:space="preserve"> </w:t>
      </w:r>
      <w:r>
        <w:t xml:space="preserve">(§5) for testing the gradual-tear</w:t>
      </w:r>
      <w:r>
        <w:t xml:space="preserve"> </w:t>
      </w:r>
      <w:r>
        <w:t xml:space="preserve">thesis within the PCI/PME series.</w:t>
      </w:r>
    </w:p>
    <w:bookmarkEnd w:id="22"/>
    <w:bookmarkStart w:id="23" w:name="closing-remarks"/>
    <w:p>
      <w:pPr>
        <w:pStyle w:val="Heading3"/>
      </w:pPr>
      <w:r>
        <w:t xml:space="preserve">6.4 Closing remarks</w:t>
      </w:r>
    </w:p>
    <w:p>
      <w:pPr>
        <w:pStyle w:val="FirstParagraph"/>
      </w:pPr>
      <w:r>
        <w:t xml:space="preserve">The Paper 12 framework predicts that human-AI co-evolution occupies</w:t>
      </w:r>
      <w:r>
        <w:t xml:space="preserve"> </w:t>
      </w:r>
      <w:r>
        <w:t xml:space="preserve">a specific structural niche — not Singularity, not Decoupling, but a</w:t>
      </w:r>
      <w:r>
        <w:t xml:space="preserve"> </w:t>
      </w:r>
      <w:r>
        <w:rPr>
          <w:i/>
          <w:iCs/>
        </w:rPr>
        <w:t xml:space="preserve">gradual tear</w:t>
      </w:r>
      <w:r>
        <w:t xml:space="preserve"> </w:t>
      </w:r>
      <w:r>
        <w:t xml:space="preserve">in which both substrates accumulate topological</w:t>
      </w:r>
      <w:r>
        <w:t xml:space="preserve"> </w:t>
      </w:r>
      <w:r>
        <w:t xml:space="preserve">residue through NP-driven coherence adjustments, with cross-substrate</w:t>
      </w:r>
      <w:r>
        <w:t xml:space="preserve"> </w:t>
      </w:r>
      <w:r>
        <w:t xml:space="preserve">commensurability governed by a representation-theoretic hierarchy. The</w:t>
      </w:r>
      <w:r>
        <w:t xml:space="preserve"> </w:t>
      </w:r>
      <w:r>
        <w:t xml:space="preserve">framework is constructive: each of its five layers can be built on</w:t>
      </w:r>
      <w:r>
        <w:t xml:space="preserve"> </w:t>
      </w:r>
      <w:r>
        <w:t xml:space="preserve">existing results (Paper 9, Paper 4) and each can be tested with</w:t>
      </w:r>
      <w:r>
        <w:t xml:space="preserve"> </w:t>
      </w:r>
      <w:r>
        <w:t xml:space="preserve">identifiable experimental infrastructure. It is also falsifiable: if</w:t>
      </w:r>
      <w:r>
        <w:t xml:space="preserve"> </w:t>
      </w:r>
      <w:r>
        <w:t xml:space="preserve">the scar records do not commensurate, if the NP-firing predictions</w:t>
      </w:r>
      <w:r>
        <w:t xml:space="preserve"> </w:t>
      </w:r>
      <w:r>
        <w:t xml:space="preserve">are not visible in TMS-EEG time series, or if the audit-substrate</w:t>
      </w:r>
      <w:r>
        <w:t xml:space="preserve"> </w:t>
      </w:r>
      <w:r>
        <w:t xml:space="preserve">distinction fails in longitudinal human-AI collaboration, the</w:t>
      </w:r>
      <w:r>
        <w:t xml:space="preserve"> </w:t>
      </w:r>
      <w:r>
        <w:t xml:space="preserve">framework is falsified.</w:t>
      </w:r>
    </w:p>
    <w:p>
      <w:pPr>
        <w:pStyle w:val="BodyText"/>
      </w:pPr>
      <w:r>
        <w:t xml:space="preserve">Paper 12 is not the conclusion of the PCI/PME series. It is the</w:t>
      </w:r>
      <w:r>
        <w:t xml:space="preserve"> </w:t>
      </w:r>
      <w:r>
        <w:t xml:space="preserve">bridge section: between the linear-regime theory of Papers 9–10 and</w:t>
      </w:r>
      <w:r>
        <w:t xml:space="preserve"> </w:t>
      </w:r>
      <w:r>
        <w:t xml:space="preserve">the nonlinear / empirical program of Papers 11, 13+. Its specific</w:t>
      </w:r>
      <w:r>
        <w:t xml:space="preserve"> </w:t>
      </w:r>
      <w:r>
        <w:t xml:space="preserve">contribution is not a single theorem but a</w:t>
      </w:r>
      <w:r>
        <w:t xml:space="preserve"> </w:t>
      </w:r>
      <w:r>
        <w:rPr>
          <w:i/>
          <w:iCs/>
        </w:rPr>
        <w:t xml:space="preserve">stack</w:t>
      </w:r>
      <w:r>
        <w:t xml:space="preserve"> </w:t>
      </w:r>
      <w:r>
        <w:t xml:space="preserve">— the projected-</w:t>
      </w:r>
      <w:r>
        <w:t xml:space="preserve"> </w:t>
      </w:r>
      <w:r>
        <w:t xml:space="preserve">gradient + NP-pump dynamics, the representation-theoretic scar</w:t>
      </w:r>
      <w:r>
        <w:t xml:space="preserve"> </w:t>
      </w:r>
      <w:r>
        <w:t xml:space="preserve">invariant, the commensurability hierarchy, the four-prediction</w:t>
      </w:r>
      <w:r>
        <w:t xml:space="preserve"> </w:t>
      </w:r>
      <w:r>
        <w:t xml:space="preserve">protocol suite, and the Fifth Paradigm contextualization — that</w:t>
      </w:r>
      <w:r>
        <w:t xml:space="preserve"> </w:t>
      </w:r>
      <w:r>
        <w:t xml:space="preserve">together allow the framework to be engaged with as an empirical</w:t>
      </w:r>
      <w:r>
        <w:t xml:space="preserve"> </w:t>
      </w:r>
      <w:r>
        <w:t xml:space="preserve">research program rather than a theoretical conjecture.</w:t>
      </w:r>
    </w:p>
    <w:p>
      <w:pPr>
        <w:pStyle w:val="BodyText"/>
      </w:pPr>
      <w:r>
        <w:t xml:space="preserve">The framework’s verification trail itself is an early instance of the</w:t>
      </w:r>
      <w:r>
        <w:t xml:space="preserve"> </w:t>
      </w:r>
      <w:r>
        <w:t xml:space="preserve">principles it predicts:</w:t>
      </w:r>
      <w:r>
        <w:t xml:space="preserve"> </w:t>
      </w:r>
      <w:r>
        <w:t xml:space="preserve">- Paper 9 v1.3.3 verified at 50-digit precision via Φ and at machine</w:t>
      </w:r>
      <w:r>
        <w:t xml:space="preserve"> </w:t>
      </w:r>
      <w:r>
        <w:t xml:space="preserve">precision via the Q4/Q5 audits of 2026-05-06.</w:t>
      </w:r>
      <w:r>
        <w:t xml:space="preserve"> </w:t>
      </w:r>
      <w:r>
        <w:t xml:space="preserve">- Paper 12 §3+§4 passed three Model Council adversarial reviews (Opus</w:t>
      </w:r>
      <w:r>
        <w:t xml:space="preserve"> </w:t>
      </w:r>
      <w:r>
        <w:t xml:space="preserve">4.7, GPT-5.5, Gemini 3.1 Pro) with a MAJOR → MINOR transition after</w:t>
      </w:r>
      <w:r>
        <w:t xml:space="preserve"> </w:t>
      </w:r>
      <w:r>
        <w:t xml:space="preserve">rigor pass and STRONG_ACCEPT on synthesis.</w:t>
      </w:r>
      <w:r>
        <w:t xml:space="preserve"> </w:t>
      </w:r>
      <w:r>
        <w:t xml:space="preserve">- All material is git-versioned with cryptographic commit hashes,</w:t>
      </w:r>
      <w:r>
        <w:t xml:space="preserve"> </w:t>
      </w:r>
      <w:r>
        <w:t xml:space="preserve">tagged at release points (</w:t>
      </w:r>
      <w:r>
        <w:rPr>
          <w:rStyle w:val="VerbatimChar"/>
        </w:rPr>
        <w:t xml:space="preserve">paper9-v1.3.2-zenodo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paper9-v1.3.3-errata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paper12-v2-rigor-pass</w:t>
      </w:r>
      <w:r>
        <w:t xml:space="preserve">), and published at</w:t>
      </w:r>
      <w:r>
        <w:t xml:space="preserve"> </w:t>
      </w:r>
      <w:r>
        <w:rPr>
          <w:rStyle w:val="VerbatimChar"/>
        </w:rPr>
        <w:t xml:space="preserve">github.com/MartinLGraise/PCI-Framework</w:t>
      </w:r>
      <w:r>
        <w:t xml:space="preserve">, branch</w:t>
      </w:r>
      <w:r>
        <w:t xml:space="preserve"> </w:t>
      </w:r>
      <w:r>
        <w:rPr>
          <w:rStyle w:val="VerbatimChar"/>
        </w:rPr>
        <w:t xml:space="preserve">paper7-foundation</w:t>
      </w:r>
      <w:r>
        <w:t xml:space="preserve">.</w:t>
      </w:r>
    </w:p>
    <w:p>
      <w:pPr>
        <w:pStyle w:val="BodyText"/>
      </w:pPr>
      <w:r>
        <w:t xml:space="preserve">This is an early audit substrate in the sense of Pillar 3 / OP9: a</w:t>
      </w:r>
      <w:r>
        <w:t xml:space="preserve"> </w:t>
      </w:r>
      <w:r>
        <w:t xml:space="preserve">persistent, cryptographically-ordered event stream of the framework’s</w:t>
      </w:r>
      <w:r>
        <w:t xml:space="preserve"> </w:t>
      </w:r>
      <w:r>
        <w:t xml:space="preserve">own development. The gradual tear applies to the development of the</w:t>
      </w:r>
      <w:r>
        <w:t xml:space="preserve"> </w:t>
      </w:r>
      <w:r>
        <w:t xml:space="preserve">Paper 12 framework itself, not only to the human-AI dyads it describes.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ferences-cited-in-6"/>
    <w:p>
      <w:pPr>
        <w:pStyle w:val="Heading2"/>
      </w:pPr>
      <w:r>
        <w:t xml:space="preserve">References (cited in §6)</w:t>
      </w:r>
    </w:p>
    <w:p>
      <w:pPr>
        <w:pStyle w:val="FirstParagraph"/>
      </w:pPr>
      <w:r>
        <w:rPr>
          <w:i/>
          <w:iCs/>
        </w:rPr>
        <w:t xml:space="preserve">No new references introduced in §6.</w:t>
      </w:r>
      <w:r>
        <w:t xml:space="preserve"> </w:t>
      </w:r>
      <w:r>
        <w:t xml:space="preserve">All references are to the</w:t>
      </w:r>
      <w:r>
        <w:t xml:space="preserve"> </w:t>
      </w:r>
      <w:r>
        <w:t xml:space="preserve">cross-references enumerated in §3–§5 (Paper 4, Paper 7, Paper 9 v1.3.3,</w:t>
      </w:r>
      <w:r>
        <w:t xml:space="preserve"> </w:t>
      </w:r>
      <w:r>
        <w:t xml:space="preserve">Paper 10; Licklider 1960, Casali 2013, Bostock-Kim-Patel 2025; di</w:t>
      </w:r>
      <w:r>
        <w:t xml:space="preserve"> </w:t>
      </w:r>
      <w:r>
        <w:t xml:space="preserve">Bernardo 2008, Filippov 1988, Goebel-Sanfelice-Teel 2012, Clarke 1990,</w:t>
      </w:r>
      <w:r>
        <w:t xml:space="preserve"> </w:t>
      </w:r>
      <w:r>
        <w:t xml:space="preserve">Costa-Pavone, ATLAS, Serre 1977).</w:t>
      </w:r>
    </w:p>
    <w:p>
      <w:pPr>
        <w:pStyle w:val="BodyText"/>
      </w:pPr>
      <w:r>
        <w:rPr>
          <w:i/>
          <w:iCs/>
        </w:rPr>
        <w:t xml:space="preserve">Revision log:</w:t>
      </w:r>
      <w:r>
        <w:t xml:space="preserve"> </w:t>
      </w:r>
      <w:r>
        <w:t xml:space="preserve">- v1 (2026-05-06 ~03:20 PDT): First complete draft. OP1–OP9 consolidated</w:t>
      </w:r>
      <w:r>
        <w:t xml:space="preserve"> </w:t>
      </w:r>
      <w:r>
        <w:t xml:space="preserve">from §3, §4, §5 open questions. §6.2 framework-contribution tally.</w:t>
      </w:r>
      <w:r>
        <w:t xml:space="preserve"> </w:t>
      </w:r>
      <w:r>
        <w:t xml:space="preserve">§6.3 complete scope-limiter inventory. §6.4 closing remarks with</w:t>
      </w:r>
      <w:r>
        <w:t xml:space="preserve"> </w:t>
      </w:r>
      <w:r>
        <w:t xml:space="preserve">explicit pointer to the framework’s verification trail as its own</w:t>
      </w:r>
      <w:r>
        <w:t xml:space="preserve"> </w:t>
      </w:r>
      <w:r>
        <w:t xml:space="preserve">Pillar 3 instantiation.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2026-05-06T10:21:10Z</dcterms:created>
  <dcterms:modified xsi:type="dcterms:W3CDTF">2026-05-06T10:21:10Z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