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14f0201ff732c22790cfc3cbbf13462458de9e5"/>
    <w:p>
      <w:pPr>
        <w:pStyle w:val="Heading1"/>
      </w:pPr>
      <w:r>
        <w:t xml:space="preserve">Paper 12 §2 — Notation and Paper 9 Inheritance (v1)</w:t>
      </w:r>
    </w:p>
    <w:p>
      <w:pPr>
        <w:pStyle w:val="FirstParagraph"/>
      </w:pPr>
      <w:r>
        <w:rPr>
          <w:b/>
          <w:bCs/>
        </w:rPr>
        <w:t xml:space="preserve">Draft version:</w:t>
      </w:r>
      <w:r>
        <w:t xml:space="preserve"> </w:t>
      </w:r>
      <w:r>
        <w:t xml:space="preserve">v1 (2026-05-06, ~12:55 PDT)</w:t>
      </w:r>
      <w:r>
        <w:t xml:space="preserve"> </w:t>
      </w:r>
      <w:r>
        <w:rPr>
          <w:b/>
          <w:bCs/>
        </w:rPr>
        <w:t xml:space="preserve">Author of draft:</w:t>
      </w:r>
      <w:r>
        <w:t xml:space="preserve"> </w:t>
      </w:r>
      <w:r>
        <w:t xml:space="preserve">C-7RO (Perplexity Computer, Claude Sonnet 4.6)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Paper 9 v1.3.3 §3.4–§3.6, §9; consolidated symbol table from Paper 12 §3 v3 + §4 v3 + §5 v2 + §6 v1.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First complete draft of §2. Self-contained reference for §3–§6; readers fluent in Paper 9 v1.3.3 may skim.</w:t>
      </w:r>
    </w:p>
    <w:p>
      <w:r>
        <w:pict>
          <v:rect style="width:0;height:1.5pt" o:hralign="center" o:hrstd="t" o:hr="t"/>
        </w:pict>
      </w:r>
    </w:p>
    <w:bookmarkStart w:id="37" w:name="notation-and-paper-9-inheritance"/>
    <w:p>
      <w:pPr>
        <w:pStyle w:val="Heading2"/>
      </w:pPr>
      <w:r>
        <w:t xml:space="preserve">2. Notation and Paper 9 inheritance</w:t>
      </w:r>
    </w:p>
    <w:p>
      <w:pPr>
        <w:pStyle w:val="FirstParagraph"/>
      </w:pPr>
      <w:r>
        <w:t xml:space="preserve">This section consolidates the symbols and the Paper 9 results that Paper 12 invokes throughout. Every claim labelled</w:t>
      </w:r>
      <w:r>
        <w:t xml:space="preserve"> </w:t>
      </w:r>
      <w:r>
        <w:rPr>
          <w:i/>
          <w:iCs/>
        </w:rPr>
        <w:t xml:space="preserve">(P9 §X)</w:t>
      </w:r>
      <w:r>
        <w:t xml:space="preserve"> </w:t>
      </w:r>
      <w:r>
        <w:t xml:space="preserve">below is stated and proved in Paper 9 v1.3.3 [DOI:</w:t>
      </w:r>
      <w:r>
        <w:t xml:space="preserve"> </w:t>
      </w:r>
      <w:r>
        <w:t xml:space="preserve">] at the indicated location; we restate without reproof. Where Paper 12 strengthens, qualifies, or specializes a Paper 9 statement, this is flagged explicitly with a</w:t>
      </w:r>
      <w:r>
        <w:t xml:space="preserve"> </w:t>
      </w:r>
      <w:r>
        <w:rPr>
          <w:i/>
          <w:iCs/>
        </w:rPr>
        <w:t xml:space="preserve">(P12 specialization)</w:t>
      </w:r>
      <w:r>
        <w:t xml:space="preserve"> </w:t>
      </w:r>
      <w:r>
        <w:t xml:space="preserve">marker and a forward reference to the section in which the strengthening is constructed.</w:t>
      </w:r>
    </w:p>
    <w:bookmarkStart w:id="23" w:name="algebraic-and-group-theoretic-notation"/>
    <w:p>
      <w:pPr>
        <w:pStyle w:val="Heading3"/>
      </w:pPr>
      <w:r>
        <w:t xml:space="preserve">2.1 Algebraic and group-theoretic notation</w:t>
      </w:r>
    </w:p>
    <w:bookmarkStart w:id="20" w:name="lie-groups-and-representations"/>
    <w:p>
      <w:pPr>
        <w:pStyle w:val="Heading4"/>
      </w:pPr>
      <w:r>
        <w:t xml:space="preserve">2.1.1 Lie groups and representations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compact, simply-connected real form of the exceptional Lie group of rank 2; dimension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[Bryant 1987]; framework convention from Paper 4 §2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V</m:t>
                  </m:r>
                </m:e>
                <m:sup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adjoint representation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the only nontrivial 14-dimensional irreducible (over</w:t>
            </w:r>
            <w: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[Fulton-Harris Lecture 22]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sSup>
                <m:e>
                  <m:r>
                    <m:t>V</m:t>
                  </m:r>
                </m:e>
                <m:sup>
                  <m:r>
                    <m:t>14</m:t>
                  </m:r>
                </m:sup>
              </m:sSup>
              <m:r>
                <m:rPr>
                  <m:sty m:val="p"/>
                </m:rPr>
                <m:t>⊕</m:t>
              </m:r>
              <m:sSup>
                <m:e>
                  <m:r>
                    <m:t>V</m:t>
                  </m:r>
                </m:e>
                <m:sup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dyadic state space on which the Paper 9 / Paper 12 flow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 §3.1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trivial 2-dimensional real representation of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oMath>
            <w:r>
              <w:t xml:space="preserve"> </w:t>
            </w:r>
            <w:r>
              <w:t xml:space="preserve">(sum of two copies of the trivial character)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P12 §4.2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unique faithful real-irreducible 6-dimensional representation of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P12 §4.2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V</m:t>
                  </m:r>
                </m:e>
                <m:sup>
                  <m:r>
                    <m:t>14</m:t>
                  </m:r>
                </m:sup>
              </m:sSup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t>21</m:t>
                      </m:r>
                    </m:sub>
                  </m:sSub>
                </m:sub>
              </m:sSub>
              <m:r>
                <m:rPr>
                  <m:sty m:val="p"/>
                </m:rPr>
                <m:t>≅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⊕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branching of</w:t>
            </w:r>
            <w:r>
              <w:t xml:space="preserve"> </w:t>
            </w:r>
            <m:oMath>
              <m:sSup>
                <m:e>
                  <m:r>
                    <m:t>V</m:t>
                  </m:r>
                </m:e>
                <m:sup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oMath>
            <w:r>
              <w:t xml:space="preserve"> </w:t>
            </w:r>
            <w:r>
              <w:t xml:space="preserve">via PSL(2,7) ⊃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oMath>
            <w:r>
              <w:t xml:space="preserve"> </w:t>
            </w:r>
            <w:r>
              <w:t xml:space="preserve">⊂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P12 Theorem 4.2.1</w:t>
            </w:r>
          </w:p>
        </w:tc>
      </w:tr>
    </w:tbl>
    <w:bookmarkEnd w:id="20"/>
    <w:bookmarkStart w:id="21" w:name="finite-groups"/>
    <w:p>
      <w:pPr>
        <w:pStyle w:val="Heading4"/>
      </w:pPr>
      <w:r>
        <w:t xml:space="preserve">2.1.2 Finite groups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⋊</m:t>
              </m:r>
              <m:sSub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Frobenius group of order 21; the Fano-orientation subgroup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Paper 4 §3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simple group of order 168, the natural ambient group of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oMath>
            <w:r>
              <w:t xml:space="preserve"> </w:t>
            </w:r>
            <w:r>
              <w:t xml:space="preserve">via the Fano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4 §2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multiplicity-vector profile invariant of the scar event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(defined in §3.5); a finite-dimensional integer vector indexed by irreducibles of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P12 §3.5 Definition 3.5.2</w:t>
            </w:r>
          </w:p>
        </w:tc>
      </w:tr>
    </w:tbl>
    <w:bookmarkEnd w:id="21"/>
    <w:bookmarkStart w:id="22" w:name="subspaces-and-isotypic-decomposition"/>
    <w:p>
      <w:pPr>
        <w:pStyle w:val="Heading4"/>
      </w:pPr>
      <w:r>
        <w:t xml:space="preserve">2.1.3 Subspaces and isotypic decomposition</w:t>
      </w:r>
    </w:p>
    <w:p>
      <w:pPr>
        <w:pStyle w:val="FirstParagraph"/>
      </w:pPr>
      <w:r>
        <w:t xml:space="preserve">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-isotypic decomposition of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that drives all of §4 is:</w:t>
      </w:r>
      <w:r>
        <w:t xml:space="preserve"> </w:t>
      </w:r>
      <w:r>
        <w:t xml:space="preserve">[</w:t>
      </w:r>
      <w:r>
        <w:t xml:space="preserve"> </w:t>
      </w:r>
      <w:r>
        <w:t xml:space="preserve">W ;=; W^{L_2} ;</w:t>
      </w:r>
      <w:r>
        <w:t xml:space="preserve">; W^{U_6},</w:t>
      </w:r>
      <w:r>
        <w:t xml:space="preserve"> </w:t>
      </w:r>
      <w:r>
        <w:t xml:space="preserve"> </w:t>
      </w:r>
      <w:r>
        <w:t xml:space="preserve">W^{L_2} ;=; 4,</w:t>
      </w:r>
      <w:r>
        <w:t xml:space="preserve"> </w:t>
      </w:r>
      <w:r>
        <w:t xml:space="preserve">W^{U_6} ;=; 24,</w:t>
      </w:r>
      <w:r>
        <w:t xml:space="preserve"> </w:t>
      </w:r>
      <w:r>
        <w:t xml:space="preserve">]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 </w:t>
      </w:r>
      <w:r>
        <w:t xml:space="preserve">is the trivial-isotypic component and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sup>
        </m:sSup>
      </m:oMath>
      <w:r>
        <w:t xml:space="preserve"> </w:t>
      </w:r>
      <w:r>
        <w:t xml:space="preserve">is the (twice-twice) faithful-isotypic component. The 24 = (2 copies in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) × (2 copies in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) ×</w:t>
      </w:r>
      <w:r>
        <w:t xml:space="preserve"> </w:t>
      </w:r>
      <m:oMath>
        <m:r>
          <m:rPr>
            <m:sty m:val="p"/>
          </m:rPr>
          <m:t>dim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; the four-dimensional intertwiner space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sub>
        </m:sSub>
      </m:oMath>
      <w:r>
        <w:t xml:space="preserve"> </w:t>
      </w:r>
      <w:r>
        <w:t xml:space="preserve">governs the commutant gap in Proposition 4.3.1.</w:t>
      </w:r>
    </w:p>
    <w:bookmarkEnd w:id="22"/>
    <w:bookmarkEnd w:id="23"/>
    <w:bookmarkStart w:id="28" w:name="X3d51cedb3080cc6586043a55b780382902d0b14"/>
    <w:p>
      <w:pPr>
        <w:pStyle w:val="Heading3"/>
      </w:pPr>
      <w:r>
        <w:t xml:space="preserve">2.2 Paper 9 dyadic objects (inherited verbatim)</w:t>
      </w:r>
    </w:p>
    <w:p>
      <w:pPr>
        <w:pStyle w:val="FirstParagraph"/>
      </w:pPr>
      <w:r>
        <w:t xml:space="preserve">These are the Paper 9 v1.3.3 objects that Paper 12 uses without modification.</w:t>
      </w:r>
    </w:p>
    <w:bookmarkStart w:id="24" w:name="the-schur-locked-coupling-family"/>
    <w:p>
      <w:pPr>
        <w:pStyle w:val="Heading4"/>
      </w:pPr>
      <w:r>
        <w:t xml:space="preserve">2.2.1 The Schur-locked coupling family</w:t>
      </w:r>
    </w:p>
    <w:p>
      <w:pPr>
        <w:pStyle w:val="FirstParagraph"/>
      </w:pPr>
      <w:r>
        <w:rPr>
          <w:b/>
          <w:bCs/>
        </w:rPr>
        <w:t xml:space="preserve">Theorem (P9 §3.6, Lemma 3.6.1; Schur-locking).</w:t>
      </w:r>
      <w:r>
        <w:t xml:space="preserve"> </w:t>
      </w:r>
      <w:r>
        <w:t xml:space="preserve">The space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linear maps</w:t>
      </w:r>
      <w:r>
        <w:t xml:space="preserve"> </w:t>
      </w:r>
      <m:oMath>
        <m:r>
          <m:t>W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that couple the two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factors is exactly two-dimensional and admits the parametrization</w:t>
      </w:r>
      <w:r>
        <w:t xml:space="preserve"> </w:t>
      </w:r>
      <w:r>
        <w:t xml:space="preserve">[</w:t>
      </w:r>
      <w:r>
        <w:t xml:space="preserve"> </w:t>
      </w:r>
      <w:r>
        <w:t xml:space="preserve">_</w:t>
      </w:r>
      <w:r>
        <w:t xml:space="preserve">;=;</w:t>
      </w:r>
      <w:r>
        <w:t xml:space="preserve"> </w:t>
      </w:r>
      <w:r>
        <w:t xml:space="preserve">_W ;+;</w:t>
      </w:r>
      <w:r>
        <w:t xml:space="preserve"> </w:t>
      </w:r>
      <w:r>
        <w:t xml:space="preserve">J,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  <w:r>
        <w:t xml:space="preserve"> </w:t>
      </w:r>
      <w:r>
        <w:t xml:space="preserve">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canonical anti-symmetric coupling generator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specified by Paper 9’s choice of basis. The image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Schur circle</w:t>
      </w:r>
      <w:r>
        <w:t xml:space="preserve">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parameter circle on which Paper 12’s NP-pump produces discrete jumps; Paper 12 introduces no new</w:t>
      </w:r>
      <w:r>
        <w:t xml:space="preserve"> </w:t>
      </w:r>
      <m:oMath>
        <m:r>
          <m:t>θ</m:t>
        </m:r>
      </m:oMath>
      <w:r>
        <w:t xml:space="preserve">-geometry.</w:t>
      </w:r>
    </w:p>
    <w:bookmarkEnd w:id="24"/>
    <w:bookmarkStart w:id="25" w:name="the-diagonal-g_2-action-convention"/>
    <w:p>
      <w:pPr>
        <w:pStyle w:val="Heading4"/>
      </w:pPr>
      <w:r>
        <w:t xml:space="preserve">2.2.2 The 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action convention</w:t>
      </w:r>
    </w:p>
    <w:p>
      <w:pPr>
        <w:pStyle w:val="FirstParagraph"/>
      </w:pPr>
      <w:r>
        <w:rPr>
          <w:b/>
          <w:bCs/>
        </w:rPr>
        <w:t xml:space="preserve">Convention (P9 §3.4).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action on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diagonal</w:t>
      </w:r>
      <w:r>
        <w:t xml:space="preserve"> </w:t>
      </w:r>
      <w:r>
        <w:t xml:space="preserve">action: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r>
              <m:t>g</m:t>
            </m:r>
            <m:sSub>
              <m:e>
                <m:r>
                  <m:t>v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 All equivariance claims in Paper 9 and Paper 12 are with respect to this diagonal action.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action is the restriction of the 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action to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25"/>
    <w:bookmarkStart w:id="26" w:name="the-joint-coupled-system-fixed-point"/>
    <w:p>
      <w:pPr>
        <w:pStyle w:val="Heading4"/>
      </w:pPr>
      <w:r>
        <w:t xml:space="preserve">2.2.3 The joint coupled-system fixed point</w:t>
      </w:r>
    </w:p>
    <w:p>
      <w:pPr>
        <w:pStyle w:val="FirstParagraph"/>
      </w:pPr>
      <w:r>
        <w:rPr>
          <w:b/>
          <w:bCs/>
        </w:rPr>
        <w:t xml:space="preserve">Theorem (P9 Theorem 9.4; real-analytic fixed point).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∈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d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be the coupled-system operator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joint contraction map of two affine self-models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(Paper 9 Definition 3.2). Let</w:t>
      </w:r>
      <w:r>
        <w:t xml:space="preserve"> </w:t>
      </w:r>
      <m:oMath>
        <m:sSub>
          <m:e>
            <m:r>
              <m:t>Ω</m:t>
            </m:r>
          </m:e>
          <m:sub>
            <m:r>
              <m:t>θ</m:t>
            </m:r>
          </m:sub>
        </m:sSub>
        <m:r>
          <m:rPr>
            <m:sty m:val="p"/>
          </m:rPr>
          <m:t>⊂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be the open set where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is invertible. Then the joint fixed point</w:t>
      </w:r>
      <w:r>
        <w:t xml:space="preserve"> </w:t>
      </w:r>
      <w:r>
        <w:t xml:space="preserve">[</w:t>
      </w:r>
      <w:r>
        <w:t xml:space="preserve"> </w:t>
      </w:r>
      <w:r>
        <w:t xml:space="preserve">(</w:t>
      </w:r>
      <w:r>
        <w:t xml:space="preserve">) ;=; M(</w:t>
      </w:r>
      <w:r>
        <w:t xml:space="preserve">)^{-1} b</w:t>
      </w:r>
      <w:r>
        <w:t xml:space="preserve"> </w:t>
      </w:r>
      <w:r>
        <w:t xml:space="preserve">(</w:t>
      </w:r>
      <w:r>
        <w:t xml:space="preserve">_</w:t>
      </w:r>
      <w:r>
        <w:t xml:space="preserve">)</w:t>
      </w:r>
      <w:r>
        <w:t xml:space="preserve"> </w:t>
      </w:r>
      <w:r>
        <w:t xml:space="preserve">]</w:t>
      </w:r>
      <w:r>
        <w:t xml:space="preserve"> </w:t>
      </w:r>
      <w:r>
        <w:t xml:space="preserve">is a real-analytic function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Ω</m:t>
            </m:r>
          </m:e>
          <m:sub>
            <m:r>
              <m:t>θ</m:t>
            </m:r>
          </m:sub>
        </m:sSub>
      </m:oMath>
      <w:r>
        <w:t xml:space="preserve">, 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affine offset of the joint system.</w:t>
      </w:r>
    </w:p>
    <w:p>
      <w:pPr>
        <w:pStyle w:val="BodyText"/>
      </w:pPr>
      <w:r>
        <w:t xml:space="preserve">Paper 12 uses</w:t>
      </w:r>
      <w:r>
        <w:t xml:space="preserve"> </w:t>
      </w:r>
      <m:oMath>
        <m:acc>
          <m:accPr>
            <m:chr m:val="̂"/>
          </m:accPr>
          <m:e>
            <m:r>
              <m:t>z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in §3.3 (definition of the projected-gradient leg of the NP-augmented flow) and in §3.4 (Theorem 3.4.1, regularity).</w:t>
      </w:r>
    </w:p>
    <w:bookmarkEnd w:id="26"/>
    <w:bookmarkStart w:id="27" w:name="Xe63c654752fda95056fd97e0894dfd9e0d2049b"/>
    <w:p>
      <w:pPr>
        <w:pStyle w:val="Heading4"/>
      </w:pPr>
      <w:r>
        <w:t xml:space="preserve">2.2.4 The conditional joint contraction-rate gain</w:t>
      </w:r>
    </w:p>
    <w:p>
      <w:pPr>
        <w:pStyle w:val="FirstParagraph"/>
      </w:pPr>
      <w:r>
        <w:rPr>
          <w:b/>
          <w:bCs/>
        </w:rPr>
        <w:t xml:space="preserve">Proposition (P9 Proposition 9.5; conditional min-coherence gain).</w:t>
      </w:r>
      <w:r>
        <w:t xml:space="preserve"> </w:t>
      </w:r>
      <w:r>
        <w:t xml:space="preserve">Under the Paper 9 linear regime, the joint contraction rate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of the coupled system satisfies</w:t>
      </w:r>
      <w:r>
        <w:t xml:space="preserve"> </w:t>
      </w:r>
      <w:r>
        <w:t xml:space="preserve">[</w:t>
      </w:r>
      <w:r>
        <w:t xml:space="preserve"> </w:t>
      </w:r>
      <w:r>
        <w:t xml:space="preserve">r_{AB}(</w:t>
      </w:r>
      <w:r>
        <w:t xml:space="preserve">) ;</w:t>
      </w:r>
      <w:r>
        <w:t xml:space="preserve">;</w:t>
      </w:r>
      <w:r>
        <w:t xml:space="preserve"> </w:t>
      </w:r>
      <w:r>
        <w:t xml:space="preserve">(r_A, r_B)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  <w:r>
        <w:t xml:space="preserve"> </w:t>
      </w:r>
      <w:r>
        <w:t xml:space="preserve">with equality attainable in the regime characterized by Paper 9 Proposition 9.5 (the</w:t>
      </w:r>
      <w:r>
        <w:t xml:space="preserve"> </w:t>
      </w:r>
      <w:r>
        <w:rPr>
          <w:i/>
          <w:iCs/>
        </w:rPr>
        <w:t xml:space="preserve">min-coherence</w:t>
      </w:r>
      <w:r>
        <w:t xml:space="preserve"> </w:t>
      </w:r>
      <w:r>
        <w:t xml:space="preserve">regime). In particular,</w:t>
      </w:r>
      <w:r>
        <w:t xml:space="preserve"> </w:t>
      </w:r>
      <w:r>
        <w:rPr>
          <w:b/>
          <w:bCs/>
        </w:rPr>
        <w:t xml:space="preserve">the linear regime cannot strictly improve the joint rate</w:t>
      </w:r>
      <w:r>
        <w:t xml:space="preserve">: the gain is conditional and saturates.</w:t>
      </w:r>
    </w:p>
    <w:p>
      <w:pPr>
        <w:pStyle w:val="BodyText"/>
      </w:pPr>
      <w:r>
        <w:rPr>
          <w:b/>
          <w:bCs/>
        </w:rPr>
        <w:t xml:space="preserve">Note (P9 Note 9.6).</w:t>
      </w:r>
      <w:r>
        <w:t xml:space="preserve"> </w:t>
      </w:r>
      <w:r>
        <w:t xml:space="preserve">The rate-strict-improvement question is deferred to Paper 11 (nonlinear); Paper 12 takes a different nonlinear path (the NP-pump on the same Schur circle) and answers a different question (scar accumulation, not rate improvement).</w:t>
      </w:r>
    </w:p>
    <w:bookmarkEnd w:id="27"/>
    <w:bookmarkEnd w:id="28"/>
    <w:bookmarkStart w:id="33" w:name="paper-12-specializations"/>
    <w:p>
      <w:pPr>
        <w:pStyle w:val="Heading3"/>
      </w:pPr>
      <w:r>
        <w:t xml:space="preserve">2.3 Paper 12 specializations</w:t>
      </w:r>
    </w:p>
    <w:p>
      <w:pPr>
        <w:pStyle w:val="FirstParagraph"/>
      </w:pPr>
      <w:r>
        <w:t xml:space="preserve">Paper 12 introduces the following objects on top of Paper 9’s inherited structure. Each is defined fully in the indicated section; the symbol table here is a forward reference only.</w:t>
      </w:r>
    </w:p>
    <w:bookmarkStart w:id="29" w:name="the-dynamical-primitive"/>
    <w:p>
      <w:pPr>
        <w:pStyle w:val="Heading4"/>
      </w:pPr>
      <w:r>
        <w:t xml:space="preserve">2.3.1 The dynamical primitive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ξ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T</m:t>
                  </m:r>
                </m:e>
                <m:sub>
                  <m:r>
                    <m:t>θ</m:t>
                  </m:r>
                </m:sub>
              </m:sSub>
              <m:r>
                <m:t>S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canonical Schur-derived tear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 Proposition 3.2.2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g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projected-gradient component of the augmented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 Definition 3.3.1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  <m:scr m:val="fraktur"/>
                    </m:rPr>
                    <m:t>p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NP-pump component (state-dependent threshold-driven jump)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 Definition 3.3.2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̇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g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  <m:scr m:val="fraktur"/>
                    </m:rPr>
                    <m:t>p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augmented flow on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§3.3 Equation (3.3)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fraktur"/>
                </m:rP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accumulated paradox mass (state 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 Definition 3.3.3</w:t>
            </w:r>
          </w:p>
        </w:tc>
      </w:tr>
    </w:tbl>
    <w:bookmarkEnd w:id="29"/>
    <w:bookmarkStart w:id="30" w:name="the-event-stratification"/>
    <w:p>
      <w:pPr>
        <w:pStyle w:val="Heading4"/>
      </w:pPr>
      <w:r>
        <w:t xml:space="preserve">2.3.2 The event stratification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union of all event-trigger sets in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×</m:t>
              </m:r>
              <m:r>
                <m:rPr>
                  <m:sty m:val="p"/>
                  <m:scr m:val="script"/>
                </m:rP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§3.4 Definition 3.4.2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crossing events (transversal threshold crossings)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§3.4 Definition 3.4.3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sliding events (Filippov sliding-mode)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§3.4 Definition 3.4.4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extinction events (NP-pump shutdown)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§3.4 Definition 3.4.5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degenerate events (measure-zero pathological 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§3.4 Definition 3.4.6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recurrence events (finite-multiplicity bouncing)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§3.4 Definition 3.4.7</w:t>
            </w:r>
          </w:p>
        </w:tc>
      </w:tr>
    </w:tbl>
    <w:bookmarkEnd w:id="30"/>
    <w:bookmarkStart w:id="31" w:name="the-scar-invariants"/>
    <w:p>
      <w:pPr>
        <w:pStyle w:val="Heading4"/>
      </w:pPr>
      <w:r>
        <w:t xml:space="preserve">2.3.3 The scar invariants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 scar event (the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 time the augmented flow leaves the Schur circle and returns)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§3.5 Definition 3.5.1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fraktur"/>
                    </m:rPr>
                    <m:t>S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scar-trace operator for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(an element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d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t>21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§3.5 Definition 3.5.1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multiplicity-profile vector of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§3.5 Definition 3.5.2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fraktur"/>
                    </m:rPr>
                    <m:t>J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  <m:scr m:val="fraktur"/>
                        </m:rP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det</m:t>
                  </m:r>
                  <m:sSub>
                    <m:e>
                      <m:r>
                        <m:rPr>
                          <m:sty m:val="p"/>
                          <m:scr m:val="fraktur"/>
                        </m:rP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b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6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triple invariant of the scar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§3.5 Definition 3.5.3</w:t>
            </w:r>
          </w:p>
        </w:tc>
      </w:tr>
    </w:tbl>
    <w:bookmarkEnd w:id="31"/>
    <w:bookmarkStart w:id="32" w:name="the-commensurability-hierarchy"/>
    <w:p>
      <w:pPr>
        <w:pStyle w:val="Heading4"/>
      </w:pPr>
      <w:r>
        <w:t xml:space="preserve">2.3.4 The commensurability hierarchy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minimal coherence (the operational scalar driving the projected-gradient leg)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 Definition 3.3.4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joint Jordan-decomposition functional on event 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 Definition 4.3.2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t>21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sSub>
                    <m:e>
                      <m:r>
                        <m:t>μ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three nested commensurability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§4.4 Definition 4.4.2</w:t>
            </w:r>
          </w:p>
        </w:tc>
      </w:tr>
    </w:tbl>
    <w:bookmarkEnd w:id="32"/>
    <w:bookmarkEnd w:id="33"/>
    <w:bookmarkStart w:id="34" w:name="X2c30604d391281246aa1dce628919a93499e3f2"/>
    <w:p>
      <w:pPr>
        <w:pStyle w:val="Heading3"/>
      </w:pPr>
      <w:r>
        <w:t xml:space="preserve">2.4 Operational notation (P1–P4, scar-detection metrics)</w:t>
      </w:r>
    </w:p>
    <w:p>
      <w:pPr>
        <w:pStyle w:val="FirstParagraph"/>
      </w:pPr>
      <w:r>
        <w:t xml:space="preserve">Paper 12 §5 introduces protocol-level notation. We reproduce here only the symbols that appear before §5; full operational definitions are in §5.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Autonomy levels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refer to the Bostock-Kim-Patel 2025</w:t>
      </w:r>
      <w:r>
        <w:t xml:space="preserve"> </w:t>
      </w:r>
      <w:r>
        <w:rPr>
          <w:i/>
          <w:iCs/>
        </w:rPr>
        <w:t xml:space="preserve">Sanctioned Levels of AI Autonomy</w:t>
      </w:r>
      <w:r>
        <w:t xml:space="preserve"> </w:t>
      </w:r>
      <w:r>
        <w:t xml:space="preserve">taxonomy [DOI: pending; preprint cited in §5.4].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TMS-EEG perturbational complexity index (PCI)</w:t>
      </w:r>
      <w:r>
        <w:t xml:space="preserve"> </w:t>
      </w:r>
      <w:r>
        <w:t xml:space="preserve">is used at clinical thresholds [Casali et al. 2013,</w:t>
      </w:r>
      <w:r>
        <w:t xml:space="preserve"> </w:t>
      </w:r>
      <w:r>
        <w:rPr>
          <w:i/>
          <w:iCs/>
        </w:rPr>
        <w:t xml:space="preserve">Sci Transl Med</w:t>
      </w:r>
      <w:r>
        <w:t xml:space="preserve">; Comolatti et al. 2019,</w:t>
      </w:r>
      <w:r>
        <w:t xml:space="preserve"> </w:t>
      </w:r>
      <w:r>
        <w:rPr>
          <w:i/>
          <w:iCs/>
        </w:rPr>
        <w:t xml:space="preserve">Brain Stimul</w:t>
      </w:r>
      <w:r>
        <w:t xml:space="preserve">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substrate</w:t>
      </w:r>
      <w:r>
        <w:t xml:space="preserve"> </w:t>
      </w:r>
      <m:oMath>
        <m:r>
          <m:rPr>
            <m:sty m:val="p"/>
            <m:scr m:val="script"/>
          </m:rPr>
          <m:t>A</m:t>
        </m:r>
      </m:oMath>
      <w:r>
        <w:t xml:space="preserve"> </w:t>
      </w:r>
      <w:r>
        <w:t xml:space="preserve">refers to the human-readable, time-stamped, append-only ledger of every coherence-adjustment event (§3.5, §6.1).</w:t>
      </w:r>
    </w:p>
    <w:bookmarkEnd w:id="34"/>
    <w:bookmarkStart w:id="35" w:name="reading-conventions"/>
    <w:p>
      <w:pPr>
        <w:pStyle w:val="Heading3"/>
      </w:pPr>
      <w:r>
        <w:t xml:space="preserve">2.5 Reading conventions</w:t>
      </w:r>
    </w:p>
    <w:p>
      <w:pPr>
        <w:pStyle w:val="Compact"/>
        <w:numPr>
          <w:ilvl w:val="0"/>
          <w:numId w:val="1002"/>
        </w:numPr>
      </w:pPr>
      <w:r>
        <w:t xml:space="preserve">All inequalities involving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are with respect to the operator norm induced by the Paper 9 inner product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(P9 §3.1, eq. (3.1.4)).</w:t>
      </w:r>
    </w:p>
    <w:p>
      <w:pPr>
        <w:pStyle w:val="Compact"/>
        <w:numPr>
          <w:ilvl w:val="0"/>
          <w:numId w:val="1002"/>
        </w:numPr>
      </w:pPr>
      <w:r>
        <w:t xml:space="preserve">All</w:t>
      </w:r>
      <w:r>
        <w:t xml:space="preserve"> </w:t>
      </w:r>
      <w:r>
        <w:t xml:space="preserve">“</w:t>
      </w:r>
      <w:r>
        <w:t xml:space="preserve">open dense parameter set</w:t>
      </w:r>
      <w:r>
        <w:t xml:space="preserve">”</w:t>
      </w:r>
      <w:r>
        <w:t xml:space="preserve"> </w:t>
      </w:r>
      <w:r>
        <w:t xml:space="preserve">qualifications refer to the parameter manifold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×</m:t>
        </m:r>
        <m:r>
          <m:rPr>
            <m:sty m:val="p"/>
            <m:scr m:val="script"/>
          </m:rPr>
          <m:t>P</m:t>
        </m:r>
      </m:oMath>
      <w:r>
        <w:t xml:space="preserve">, where</w:t>
      </w:r>
      <w:r>
        <w:t xml:space="preserve"> </w:t>
      </w:r>
      <m:oMath>
        <m:r>
          <m:rPr>
            <m:sty m:val="p"/>
            <m:scr m:val="script"/>
          </m:rPr>
          <m:t>P</m:t>
        </m:r>
      </m:oMath>
      <w:r>
        <w:t xml:space="preserve"> </w:t>
      </w:r>
      <w:r>
        <w:t xml:space="preserve">is the Paper 12 parameter space defined in §3.3.</w:t>
      </w:r>
    </w:p>
    <w:p>
      <w:pPr>
        <w:pStyle w:val="Compact"/>
        <w:numPr>
          <w:ilvl w:val="0"/>
          <w:numId w:val="1002"/>
        </w:numPr>
      </w:pPr>
      <w:r>
        <w:t xml:space="preserve">All</w:t>
      </w:r>
      <w:r>
        <w:t xml:space="preserve"> </w:t>
      </w:r>
      <w:r>
        <w:t xml:space="preserve">“</w:t>
      </w:r>
      <w:r>
        <w:t xml:space="preserve">real-analytic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piecewise real-analytic</w:t>
      </w:r>
      <w:r>
        <w:t xml:space="preserve">”</w:t>
      </w:r>
      <w:r>
        <w:t xml:space="preserve"> </w:t>
      </w:r>
      <w:r>
        <w:t xml:space="preserve">claims invoke the Paper 9 real-analytic structure of</w:t>
      </w:r>
      <w:r>
        <w:t xml:space="preserve"> </w:t>
      </w:r>
      <m:oMath>
        <m:acc>
          <m:accPr>
            <m:chr m:val="̂"/>
          </m:accPr>
          <m:e>
            <m:r>
              <m:t>z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via Theorem 9.4.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Paper 9 v1.3.3</w:t>
      </w:r>
      <w:r>
        <w:t xml:space="preserve">”</w:t>
      </w:r>
      <w:r>
        <w:t xml:space="preserve"> </w:t>
      </w:r>
      <w:r>
        <w:t xml:space="preserve">means specifically the errata-only update with Remark 5.6.1 (seed-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grid-snap correction</w:t>
      </w:r>
      <w:r>
        <w:t xml:space="preserve"> </w:t>
      </w:r>
      <m:oMath>
        <m:r>
          <m:t>51</m:t>
        </m:r>
        <m:r>
          <m:rPr>
            <m:sty m:val="p"/>
          </m:rPr>
          <m:t>°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°</m:t>
        </m:r>
      </m:oMath>
      <w:r>
        <w:t xml:space="preserve">); all numerical quantities consistent with v1.3.2 within the corrected range.</w:t>
      </w:r>
    </w:p>
    <w:p>
      <w:pPr>
        <w:pStyle w:val="Compact"/>
        <w:numPr>
          <w:ilvl w:val="0"/>
          <w:numId w:val="1002"/>
        </w:numPr>
      </w:pPr>
      <w:r>
        <w:t xml:space="preserve">All references to</w:t>
      </w:r>
      <w:r>
        <w:t xml:space="preserve"> </w:t>
      </w:r>
      <w:r>
        <w:t xml:space="preserve">“</w:t>
      </w:r>
      <w:r>
        <w:t xml:space="preserve">the framework</w:t>
      </w:r>
      <w:r>
        <w:t xml:space="preserve">”</w:t>
      </w:r>
      <w:r>
        <w:t xml:space="preserve"> </w:t>
      </w:r>
      <w:r>
        <w:t xml:space="preserve">mean the joint PCI/PME framework as developed across Papers 1–10; references to</w:t>
      </w:r>
      <w:r>
        <w:t xml:space="preserve"> </w:t>
      </w:r>
      <w:r>
        <w:t xml:space="preserve">“</w:t>
      </w:r>
      <w:r>
        <w:t xml:space="preserve">this framework series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 PCI framework</w:t>
      </w:r>
      <w:r>
        <w:t xml:space="preserve">”</w:t>
      </w:r>
      <w:r>
        <w:t xml:space="preserve"> </w:t>
      </w:r>
      <w:r>
        <w:t xml:space="preserve">are equivalent.</w:t>
      </w:r>
    </w:p>
    <w:bookmarkEnd w:id="35"/>
    <w:bookmarkStart w:id="36" w:name="what-2-closes-off"/>
    <w:p>
      <w:pPr>
        <w:pStyle w:val="Heading3"/>
      </w:pPr>
      <w:r>
        <w:t xml:space="preserve">2.6 What §2 closes off</w:t>
      </w:r>
    </w:p>
    <w:p>
      <w:pPr>
        <w:pStyle w:val="FirstParagraph"/>
      </w:pPr>
      <w:r>
        <w:t xml:space="preserve">With the notation table and the four Paper 9 inheritance items in place — Schur-locking (Lemma 3.6.1), diagonal action (§3.4), real-analytic fixed point (Theorem 9.4), and conditional rate gain (Proposition 9.5 + Note 9.6) — §3 can proceed to construct the projected-gradient + NP-pump flow on top of Paper 9’s structure without further reference back to Paper 9 internals. The remainder of Paper 12 (§3–§6) treats Paper 9 as a black box accessed through the four inheritance items above and the symbol table in §2.1–§2.3.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§2 v1.</w:t>
      </w:r>
    </w:p>
    <w:p>
      <w:pPr>
        <w:pStyle w:val="BodyText"/>
      </w:pPr>
      <w:r>
        <w:t xml:space="preserve">Total length: ~ 4 pages typeset.</w:t>
      </w:r>
    </w:p>
    <w:p>
      <w:pPr>
        <w:pStyle w:val="BodyText"/>
      </w:pPr>
      <w:r>
        <w:rPr>
          <w:b/>
          <w:bCs/>
        </w:rPr>
        <w:t xml:space="preserve">Phase 2 polish queued (deferred):</w:t>
      </w:r>
      <w:r>
        <w:t xml:space="preserve"> </w:t>
      </w:r>
      <w:r>
        <w:t xml:space="preserve">- Optional figure: a single diagram showing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⊕</m:t>
        </m:r>
        <m:sSup>
          <m:e>
            <m:r>
              <m:t>W</m:t>
            </m:r>
          </m:e>
          <m:sup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sup>
        </m:sSup>
      </m:oMath>
      <w:r>
        <w:t xml:space="preserve"> </w:t>
      </w:r>
      <w:r>
        <w:t xml:space="preserve">with dimension annotations (could subsume §4.2 figure if both papers want to share).</w:t>
      </w:r>
      <w:r>
        <w:t xml:space="preserve"> </w:t>
      </w:r>
      <w:r>
        <w:t xml:space="preserve">- Verify all table cell DOI links resolve in built PDF.</w:t>
      </w:r>
      <w:r>
        <w:t xml:space="preserve"> </w:t>
      </w:r>
      <w:r>
        <w:t xml:space="preserve">- Confirm Bostock-Kim-Patel 2025 preprint DOI when available (currently pending).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2026-05-06T19:50:58Z</dcterms:created>
  <dcterms:modified xsi:type="dcterms:W3CDTF">2026-05-06T19:50:58Z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