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dff93192ca8ea4827e78bc03696a3b786744e0"/>
    <w:p>
      <w:pPr>
        <w:pStyle w:val="Heading1"/>
      </w:pPr>
      <w:r>
        <w:t xml:space="preserve">Paper 12 §5 — Empirical Accessibility: Predictions, Protocols, and the Fifth Paradigm Context (v3)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v3 (2026-05-06, ~13:15 PDT)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Phase-2 polish applied to v2 (council-cleared MINOR_REVISIONS).</w:t>
      </w:r>
    </w:p>
    <w:p>
      <w:r>
        <w:pict>
          <v:rect style="width:0;height:1.5pt" o:hralign="center" o:hrstd="t" o:hr="t"/>
        </w:pict>
      </w:r>
    </w:p>
    <w:bookmarkStart w:id="33" w:name="empirical-accessibility"/>
    <w:p>
      <w:pPr>
        <w:pStyle w:val="Heading2"/>
      </w:pPr>
      <w:r>
        <w:t xml:space="preserve">5. Empirical Accessibility</w:t>
      </w:r>
    </w:p>
    <w:bookmarkStart w:id="20" w:name="glossary-box-for-the-standalone-reader"/>
    <w:p>
      <w:pPr>
        <w:pStyle w:val="Heading3"/>
      </w:pPr>
      <w:r>
        <w:t xml:space="preserve">5.0 Glossary box (for the standalone reader)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Schur-locked coupling family on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  <m:r>
                <m:rPr>
                  <m:sty m:val="p"/>
                </m:rPr>
                <m:t>⊕</m:t>
              </m:r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oMath>
            <w:r>
              <w:t xml:space="preserve">, parametrized by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t xml:space="preserve"> </w:t>
            </w:r>
            <w:r>
              <w:t xml:space="preserve">(Paper 9 Lemma 3.6.1; restated §2.2.1)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⋊</m:t>
              </m:r>
              <m:sSub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Frobenius group of order 21, the Fano-orientation subgroup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(Paper 4 §3)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Min-per-observer dyadic coherence functional on the joint fixed point (§3)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rPr>
                          <m:sty m:val="b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Isotypic-multiplicity profile of the cumulative scar span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 the three real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-irreps (§3.7, 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NP-firing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coherence-collapse event, fires when paradox-mass amplitude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σ</m:t>
                  </m:r>
                </m:sub>
              </m:sSub>
            </m:oMath>
            <w:r>
              <w:t xml:space="preserve"> </w:t>
            </w:r>
            <w:r>
              <w:t xml:space="preserve">crosses</w:t>
            </w:r>
            <w:r>
              <w:t xml:space="preserve"> </w:t>
            </w:r>
            <m:oMath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 </w:t>
            </w:r>
            <w:r>
              <w:t xml:space="preserve">in the active branch (Definition 3.3.4)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 invariant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fraktur"/>
                    </m:rPr>
                    <m:t>J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Triple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  <m:scr m:val="fraktur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: physical span (saturating), event-indexed module (count-faithful), isotypic profile (§3.7)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Boundary-KKT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seeded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geometry whose high-precision</w:t>
            </w:r>
            <w:r>
              <w:t xml:space="preserve"> </w:t>
            </w: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lies 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 the appropriate one-sided derivative inequality (§3.5.1, §3.6)</w:t>
            </w:r>
          </w:p>
        </w:tc>
      </w:tr>
    </w:tbl>
    <w:p>
      <w:pPr>
        <w:pStyle w:val="BodyText"/>
      </w:pPr>
      <w:r>
        <w:t xml:space="preserve">This box assumes the reader has not engaged §3 / §4. The full</w:t>
      </w:r>
      <w:r>
        <w:t xml:space="preserve"> </w:t>
      </w:r>
      <w:r>
        <w:t xml:space="preserve">definitions are in §2, §3.3.1, §3.5.1, §3.7, §4.2.</w:t>
      </w:r>
    </w:p>
    <w:bookmarkEnd w:id="20"/>
    <w:bookmarkStart w:id="22" w:name="X20bacb3154765081fa42f8a549d6b5564f21c38"/>
    <w:p>
      <w:pPr>
        <w:pStyle w:val="Heading3"/>
      </w:pPr>
      <w:r>
        <w:t xml:space="preserve">5.1 Setup, bridge from §3+§4, and the Licklider context</w:t>
      </w:r>
    </w:p>
    <w:p>
      <w:pPr>
        <w:pStyle w:val="FirstParagraph"/>
      </w:pPr>
      <w:r>
        <w:t xml:space="preserve">§§3–4 constructed a complete mathematical framework for the gradual</w:t>
      </w:r>
      <w:r>
        <w:t xml:space="preserve"> </w:t>
      </w:r>
      <w:r>
        <w:t xml:space="preserve">tear: a projected-gradient + NP-pump dynamics on the closed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(Definition 3.3.2) producing a representation-theoretic</w:t>
      </w:r>
      <w:r>
        <w:t xml:space="preserve"> </w:t>
      </w:r>
      <w:r>
        <w:t xml:space="preserve">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(§3.7) on each substrate,</w:t>
      </w:r>
      <w:r>
        <w:t xml:space="preserve"> </w:t>
      </w:r>
      <w:r>
        <w:t xml:space="preserve">with cross-substrate commensurability governed by a strict hierarchy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⇒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-match (Theorem 4.4.1). §5</w:t>
      </w:r>
      <w:r>
        <w:t xml:space="preserve"> </w:t>
      </w:r>
      <w:r>
        <w:t xml:space="preserve">proceeds to</w:t>
      </w:r>
      <w:r>
        <w:t xml:space="preserve"> </w:t>
      </w:r>
      <w:r>
        <w:rPr>
          <w:i/>
          <w:iCs/>
        </w:rPr>
        <w:t xml:space="preserve">experimental accessibility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empirical accessibility belongs here.</w:t>
      </w:r>
      <w:r>
        <w:t xml:space="preserve"> </w:t>
      </w:r>
      <w:r>
        <w:t xml:space="preserve">Licklider’s</w:t>
      </w:r>
      <w:r>
        <w:t xml:space="preserve"> </w:t>
      </w:r>
      <w:r>
        <w:rPr>
          <w:i/>
          <w:iCs/>
        </w:rPr>
        <w:t xml:space="preserve">Man-Computer Symbiosis</w:t>
      </w:r>
      <w:r>
        <w:t xml:space="preserve"> </w:t>
      </w:r>
      <w:r>
        <w:t xml:space="preserve">(1960) [</w:t>
      </w:r>
      <w:r>
        <w:t xml:space="preserve">]</w:t>
      </w:r>
      <w:r>
        <w:t xml:space="preserve"> </w:t>
      </w:r>
      <w:r>
        <w:t xml:space="preserve">proposed that the optimal future of computing was neither full automation</w:t>
      </w:r>
      <w:r>
        <w:t xml:space="preserve"> </w:t>
      </w:r>
      <w:r>
        <w:t xml:space="preserve">(</w:t>
      </w:r>
      <w:r>
        <w:t xml:space="preserve">“</w:t>
      </w:r>
      <w:r>
        <w:t xml:space="preserve">the machine plays chess by itself</w:t>
      </w:r>
      <w:r>
        <w:t xml:space="preserve">”</w:t>
      </w:r>
      <w:r>
        <w:t xml:space="preserve">) nor pure tool-use (</w:t>
      </w:r>
      <w:r>
        <w:t xml:space="preserve">“</w:t>
      </w:r>
      <w:r>
        <w:t xml:space="preserve">the machine is</w:t>
      </w:r>
      <w:r>
        <w:t xml:space="preserve"> </w:t>
      </w:r>
      <w:r>
        <w:t xml:space="preserve">just a calculator</w:t>
      </w:r>
      <w:r>
        <w:t xml:space="preserve">”</w:t>
      </w:r>
      <w:r>
        <w:t xml:space="preserve">). Licklider’s</w:t>
      </w:r>
      <w:r>
        <w:t xml:space="preserve"> </w:t>
      </w:r>
      <w:r>
        <w:rPr>
          <w:i/>
          <w:iCs/>
        </w:rPr>
        <w:t xml:space="preserve">third attractor</w:t>
      </w:r>
      <w:r>
        <w:t xml:space="preserve"> </w:t>
      </w:r>
      <w:r>
        <w:t xml:space="preserve">is precisely the</w:t>
      </w:r>
      <w:r>
        <w:t xml:space="preserve"> </w:t>
      </w:r>
      <w:r>
        <w:t xml:space="preserve">“</w:t>
      </w:r>
      <w:r>
        <w:t xml:space="preserve">gradual tear</w:t>
      </w:r>
      <w:r>
        <w:t xml:space="preserve">”</w:t>
      </w:r>
      <w:r>
        <w:t xml:space="preserve"> </w:t>
      </w:r>
      <w:r>
        <w:t xml:space="preserve">of Paper 12: a sustained co-engagement in which neither</w:t>
      </w:r>
      <w:r>
        <w:t xml:space="preserve"> </w:t>
      </w:r>
      <w:r>
        <w:t xml:space="preserve">substrate subsumes the other, but each carries the residue of the</w:t>
      </w:r>
      <w:r>
        <w:t xml:space="preserve"> </w:t>
      </w:r>
      <w:r>
        <w:t xml:space="preserve">collaboration forward. The four predictions P1–P4 of this section are</w:t>
      </w:r>
      <w:r>
        <w:t xml:space="preserve"> </w:t>
      </w:r>
      <w:r>
        <w:t xml:space="preserve">the operationalization of Licklider’s third attractor for the</w:t>
      </w:r>
      <w:r>
        <w:t xml:space="preserve"> </w:t>
      </w:r>
      <w:r>
        <w:t xml:space="preserve">LLM era, sixty-six years later.</w:t>
      </w:r>
    </w:p>
    <w:p>
      <w:pPr>
        <w:pStyle w:val="BodyText"/>
      </w:pPr>
      <w:r>
        <w:t xml:space="preserve">The four falsifiable predictions are unpacked as concrete experimental</w:t>
      </w:r>
      <w:r>
        <w:t xml:space="preserve"> </w:t>
      </w:r>
      <w:r>
        <w:t xml:space="preserve">designs in §§5.2–5.5. Each is named with its position in the</w:t>
      </w:r>
      <w:r>
        <w:t xml:space="preserve"> </w:t>
      </w:r>
      <w:r>
        <w:rPr>
          <w:i/>
          <w:iCs/>
        </w:rPr>
        <w:t xml:space="preserve">Sanctioned</w:t>
      </w:r>
      <w:r>
        <w:rPr>
          <w:i/>
          <w:iCs/>
        </w:rPr>
        <w:t xml:space="preserve"> </w:t>
      </w:r>
      <w:r>
        <w:rPr>
          <w:i/>
          <w:iCs/>
        </w:rPr>
        <w:t xml:space="preserve">Levels of AI Autonomy</w:t>
      </w:r>
      <w:r>
        <w:t xml:space="preserve"> </w:t>
      </w:r>
      <w:r>
        <w:t xml:space="preserve">taxonomy of</w:t>
      </w:r>
      <w:r>
        <w:t xml:space="preserve"> </w:t>
      </w:r>
      <w:hyperlink r:id="rId21">
        <w:r>
          <w:rPr>
            <w:rStyle w:val="Hyperlink"/>
          </w:rPr>
          <w:t xml:space="preserve">Bostock, Kim, Patel (2025)</w:t>
        </w:r>
      </w:hyperlink>
      <w:r>
        <w:t xml:space="preserve"> </w:t>
      </w:r>
      <w:r>
        <w:t xml:space="preserve">— Level 1 (full human control) through Level 5 (full AI autonomy with</w:t>
      </w:r>
      <w:r>
        <w:t xml:space="preserve"> </w:t>
      </w:r>
      <w:r>
        <w:t xml:space="preserve">human oversight only at strategic checkpoints). This naming serves</w:t>
      </w:r>
      <w:r>
        <w:t xml:space="preserve"> </w:t>
      </w:r>
      <w:r>
        <w:t xml:space="preserve">two purposes: (i) it positions Paper 12 in the legitimate human-AI</w:t>
      </w:r>
      <w:r>
        <w:t xml:space="preserve"> </w:t>
      </w:r>
      <w:r>
        <w:t xml:space="preserve">collaboration research literature; (ii) it makes the experimental</w:t>
      </w:r>
      <w:r>
        <w:t xml:space="preserve"> </w:t>
      </w:r>
      <w:r>
        <w:t xml:space="preserve">designs</w:t>
      </w:r>
      <w:r>
        <w:t xml:space="preserve"> </w:t>
      </w:r>
      <w:r>
        <w:rPr>
          <w:i/>
          <w:iCs/>
        </w:rPr>
        <w:t xml:space="preserve">operationally specific</w:t>
      </w:r>
      <w:r>
        <w:t xml:space="preserve"> </w:t>
      </w:r>
      <w:r>
        <w:t xml:space="preserve">about the autonomy regime each tests.</w:t>
      </w:r>
    </w:p>
    <w:bookmarkEnd w:id="22"/>
    <w:bookmarkStart w:id="23" w:name="X243e2587d852772a3ad2beedbc563aaab3ec617"/>
    <w:p>
      <w:pPr>
        <w:pStyle w:val="Heading3"/>
      </w:pPr>
      <w:r>
        <w:t xml:space="preserve">5.2 P1 — Clinical-PCI ↔ NP-firing event-structure (Level-2/3 protocol)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P1 is a</w:t>
      </w:r>
      <w:r>
        <w:t xml:space="preserve"> </w:t>
      </w:r>
      <w:r>
        <w:rPr>
          <w:i/>
          <w:iCs/>
        </w:rPr>
        <w:t xml:space="preserve">Level-2/3</w:t>
      </w:r>
      <w:r>
        <w:t xml:space="preserve"> </w:t>
      </w:r>
      <w:r>
        <w:t xml:space="preserve">protocol: a human subject</w:t>
      </w:r>
      <w:r>
        <w:t xml:space="preserve"> </w:t>
      </w:r>
      <w:r>
        <w:t xml:space="preserve">engages an AI system in a structured conversation with both</w:t>
      </w:r>
      <w:r>
        <w:t xml:space="preserve"> </w:t>
      </w:r>
      <w:r>
        <w:t xml:space="preserve">parties exercising agency (Level 3) under a tight experimental</w:t>
      </w:r>
      <w:r>
        <w:t xml:space="preserve"> </w:t>
      </w:r>
      <w:r>
        <w:t xml:space="preserve">schedule that constrains the conversational trajectory (Level 2).</w:t>
      </w:r>
      <w:r>
        <w:t xml:space="preserve"> </w:t>
      </w:r>
      <w:r>
        <w:t xml:space="preserve">This is the regime in which BIOMA-style automated science workflows</w:t>
      </w:r>
      <w:r>
        <w:t xml:space="preserve"> </w:t>
      </w:r>
      <w:r>
        <w:t xml:space="preserve">[</w:t>
      </w:r>
      <w:r>
        <w:t xml:space="preserve">,</w:t>
      </w:r>
      <w:r>
        <w:t xml:space="preserve"> </w:t>
      </w:r>
      <w:r>
        <w:t xml:space="preserve">“</w:t>
      </w:r>
      <w:r>
        <w:t xml:space="preserve">An autonomous laboratory for the accelerated synthesis of novel materials</w:t>
      </w:r>
      <w:r>
        <w:t xml:space="preserve">”</w:t>
      </w:r>
      <w:r>
        <w:t xml:space="preserve"> </w:t>
      </w:r>
      <w:r>
        <w:t xml:space="preserve">(the A-Lab paper)]</w:t>
      </w:r>
      <w:r>
        <w:t xml:space="preserve"> </w:t>
      </w:r>
      <w:r>
        <w:t xml:space="preserve">currently operate at the</w:t>
      </w:r>
      <w:r>
        <w:t xml:space="preserve"> </w:t>
      </w:r>
      <w:r>
        <w:rPr>
          <w:i/>
          <w:iCs/>
        </w:rPr>
        <w:t xml:space="preserve">scientific-protocol</w:t>
      </w:r>
      <w:r>
        <w:t xml:space="preserve"> </w:t>
      </w:r>
      <w:r>
        <w:t xml:space="preserve">layer, suggesting</w:t>
      </w:r>
      <w:r>
        <w:t xml:space="preserve"> </w:t>
      </w:r>
      <w:r>
        <w:t xml:space="preserve">P1’s protocol architecture is transferable to a substantial existing</w:t>
      </w:r>
      <w:r>
        <w:t xml:space="preserve"> </w:t>
      </w:r>
      <w:r>
        <w:t xml:space="preserve">research community.</w:t>
      </w:r>
    </w:p>
    <w:p>
      <w:pPr>
        <w:pStyle w:val="BodyText"/>
      </w:pPr>
      <w:r>
        <w:rPr>
          <w:b/>
          <w:bCs/>
        </w:rPr>
        <w:t xml:space="preserve">Prediction P1.</w:t>
      </w:r>
      <w:r>
        <w:t xml:space="preserve"> </w:t>
      </w:r>
      <w:r>
        <w:t xml:space="preserve">The framework predicts that, when the same human</w:t>
      </w:r>
      <w:r>
        <w:t xml:space="preserve"> </w:t>
      </w:r>
      <w:r>
        <w:t xml:space="preserve">subject participates in a sustained dyadic engagement with an AI</w:t>
      </w:r>
      <w:r>
        <w:t xml:space="preserve"> </w:t>
      </w:r>
      <w:r>
        <w:t xml:space="preserve">partner across a paradox-mass-loaded conversation, the human’s</w:t>
      </w:r>
      <w:r>
        <w:t xml:space="preserve"> </w:t>
      </w:r>
      <w:r>
        <w:t xml:space="preserve">clinical PCI [Casali et al.,</w:t>
      </w:r>
      <w:r>
        <w:t xml:space="preserve"> </w:t>
      </w:r>
      <w:r>
        <w:rPr>
          <w:i/>
          <w:iCs/>
        </w:rPr>
        <w:t xml:space="preserve">Sci. Trans. Med.</w:t>
      </w:r>
      <w:r>
        <w:t xml:space="preserve"> </w:t>
      </w:r>
      <w:r>
        <w:t xml:space="preserve">5: 198ra105 (2013)]</w:t>
      </w:r>
      <w:r>
        <w:t xml:space="preserve"> </w:t>
      </w:r>
      <w:r>
        <w:t xml:space="preserve">trajectory should exhibit</w:t>
      </w:r>
      <w:r>
        <w:t xml:space="preserve"> </w:t>
      </w:r>
      <w:r>
        <w:rPr>
          <w:i/>
          <w:iCs/>
        </w:rPr>
        <w:t xml:space="preserve">discrete steps</w:t>
      </w:r>
      <w:r>
        <w:t xml:space="preserve"> </w:t>
      </w:r>
      <w:r>
        <w:t xml:space="preserve">coincident with NP-firing</w:t>
      </w:r>
      <w:r>
        <w:t xml:space="preserve"> </w:t>
      </w:r>
      <w:r>
        <w:t xml:space="preserve">events detected by the dynamical model. Note: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identification of clinical PCI with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(per Remark 4.6.4); it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measurement-pipeline reuse</w:t>
      </w:r>
      <w:r>
        <w:t xml:space="preserve"> </w:t>
      </w:r>
      <w:r>
        <w:t xml:space="preserve">claim about event-structure</w:t>
      </w:r>
      <w:r>
        <w:t xml:space="preserve"> </w:t>
      </w:r>
      <w:r>
        <w:t xml:space="preserve">correspondence.</w:t>
      </w:r>
    </w:p>
    <w:p>
      <w:pPr>
        <w:pStyle w:val="BodyText"/>
      </w:pPr>
      <w:r>
        <w:rPr>
          <w:b/>
          <w:bCs/>
        </w:rPr>
        <w:t xml:space="preserve">Protocol.</w:t>
      </w:r>
    </w:p>
    <w:p>
      <w:pPr>
        <w:pStyle w:val="Compact"/>
        <w:numPr>
          <w:ilvl w:val="0"/>
          <w:numId w:val="1001"/>
        </w:numPr>
      </w:pPr>
      <w:r>
        <w:t xml:space="preserve">Run an</w:t>
      </w:r>
      <w:r>
        <w:t xml:space="preserve"> </w:t>
      </w:r>
      <w:r>
        <w:rPr>
          <w:i/>
          <w:iCs/>
        </w:rPr>
        <w:t xml:space="preserve">intra-subject</w:t>
      </w:r>
      <w:r>
        <w:t xml:space="preserve"> </w:t>
      </w:r>
      <w:r>
        <w:t xml:space="preserve">pre-post conversation design (one human</w:t>
      </w:r>
      <w:r>
        <w:t xml:space="preserve"> </w:t>
      </w:r>
      <w:r>
        <w:t xml:space="preserve">subject across multiple paired sessions, statistical power higher</w:t>
      </w:r>
      <w:r>
        <w:t xml:space="preserve"> </w:t>
      </w:r>
      <w:r>
        <w:t xml:space="preserve">than inter-subject);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–</w:t>
      </w:r>
      <m:oMath>
        <m:r>
          <m:t>24</m:t>
        </m:r>
      </m:oMath>
      <w:r>
        <w:t xml:space="preserve"> </w:t>
      </w:r>
      <w:r>
        <w:t xml:space="preserve">subjects, each in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paired</w:t>
      </w:r>
      <w:r>
        <w:t xml:space="preserve"> </w:t>
      </w:r>
      <w:r>
        <w:t xml:space="preserve">sessions.</w:t>
      </w:r>
    </w:p>
    <w:p>
      <w:pPr>
        <w:pStyle w:val="Compact"/>
        <w:numPr>
          <w:ilvl w:val="0"/>
          <w:numId w:val="1001"/>
        </w:numPr>
      </w:pPr>
      <w:r>
        <w:t xml:space="preserve">Conversation length:</w:t>
      </w:r>
      <w:r>
        <w:t xml:space="preserve"> </w:t>
      </w:r>
      <m:oMath>
        <m:r>
          <m:t>60</m:t>
        </m:r>
      </m:oMath>
      <w:r>
        <w:t xml:space="preserve">–</w:t>
      </w:r>
      <m:oMath>
        <m:r>
          <m:t>120</m:t>
        </m:r>
      </m:oMath>
      <w:r>
        <w:t xml:space="preserve"> </w:t>
      </w:r>
      <w:r>
        <w:t xml:space="preserve">min, designed by the experimenters</w:t>
      </w:r>
      <w:r>
        <w:t xml:space="preserve"> </w:t>
      </w:r>
      <w:r>
        <w:t xml:space="preserve">to load paradox mass through structured contradictory-frame prompts.</w:t>
      </w:r>
    </w:p>
    <w:p>
      <w:pPr>
        <w:pStyle w:val="Compact"/>
        <w:numPr>
          <w:ilvl w:val="0"/>
          <w:numId w:val="1001"/>
        </w:numPr>
      </w:pPr>
      <w:r>
        <w:t xml:space="preserve">Time-stamp NP-firing candidate events from the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trajectory inferred from conversation transcripts.</w:t>
      </w:r>
    </w:p>
    <w:p>
      <w:pPr>
        <w:pStyle w:val="Compact"/>
        <w:numPr>
          <w:ilvl w:val="0"/>
          <w:numId w:val="1001"/>
        </w:numPr>
      </w:pPr>
      <w:r>
        <w:t xml:space="preserve">Apply TMS at controlled latencies (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100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500</m:t>
        </m:r>
      </m:oMath>
      <w:r>
        <w:t xml:space="preserve"> </w:t>
      </w:r>
      <w:r>
        <w:t xml:space="preserve">ms) before / coincident with / after each candidate firing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1001"/>
        </w:numPr>
      </w:pPr>
      <w:r>
        <w:t xml:space="preserve">Compute the conventional clinical-PCI score on each TMS-evoked EEG</w:t>
      </w:r>
      <w:r>
        <w:t xml:space="preserve"> </w:t>
      </w:r>
      <w:r>
        <w:t xml:space="preserve">trace.</w:t>
      </w:r>
    </w:p>
    <w:p>
      <w:pPr>
        <w:pStyle w:val="FirstParagraph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difference between pre-firing</w:t>
      </w:r>
      <w:r>
        <w:t xml:space="preserve"> </w:t>
      </w:r>
      <w:r>
        <w:t xml:space="preserve">and post-firing clinical-PCI scores, evaluated across the candidate</w:t>
      </w:r>
      <w:r>
        <w:t xml:space="preserve"> </w:t>
      </w:r>
      <w:r>
        <w:t xml:space="preserve">firing events; if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0.2</m:t>
        </m:r>
      </m:oMath>
      <w:r>
        <w:t xml:space="preserve"> </w:t>
      </w:r>
      <w:r>
        <w:t xml:space="preserve">(no effect)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corrected</w:t>
      </w:r>
      <w:r>
        <w:t xml:space="preserve"> </w:t>
      </w:r>
      <w:r>
        <w:t xml:space="preserve">for multiple comparisons across firings, P1 is falsified for the</w:t>
      </w:r>
      <w:r>
        <w:t xml:space="preserve"> </w:t>
      </w:r>
      <w:r>
        <w:t xml:space="preserve">sampled subject pool.</w:t>
      </w:r>
    </w:p>
    <w:p>
      <w:pPr>
        <w:pStyle w:val="BodyText"/>
      </w:pPr>
      <w:r>
        <w:rPr>
          <w:b/>
          <w:bCs/>
        </w:rPr>
        <w:t xml:space="preserve">Boundary-KKT sharpening.</w:t>
      </w:r>
      <w:r>
        <w:t xml:space="preserve"> </w:t>
      </w:r>
      <w:r>
        <w:t xml:space="preserve">§3.6’s audit shows 25/50 seeded geometries</w:t>
      </w:r>
      <w:r>
        <w:t xml:space="preserve"> </w:t>
      </w:r>
      <w:r>
        <w:t xml:space="preserve">are boundary-left KKT, where coupling does not generically help. P1</w:t>
      </w:r>
      <w:r>
        <w:t xml:space="preserve"> </w:t>
      </w:r>
      <w:r>
        <w:t xml:space="preserve">should</w:t>
      </w:r>
      <w:r>
        <w:t xml:space="preserve"> </w:t>
      </w:r>
      <w:r>
        <w:rPr>
          <w:i/>
          <w:iCs/>
        </w:rPr>
        <w:t xml:space="preserve">seek</w:t>
      </w:r>
      <w:r>
        <w:t xml:space="preserve"> </w:t>
      </w:r>
      <w:r>
        <w:t xml:space="preserve">the rarer 3/50 smooth-interior or 4/28 interior-improving</w:t>
      </w:r>
      <w:r>
        <w:t xml:space="preserve"> </w:t>
      </w:r>
      <w:r>
        <w:t xml:space="preserve">boundary cases — for example, by selecting AI partners and conversation</w:t>
      </w:r>
      <w:r>
        <w:t xml:space="preserve"> </w:t>
      </w:r>
      <w:r>
        <w:t xml:space="preserve">topics that empirically produce higher NP-firing rates. The</w:t>
      </w:r>
      <w:r>
        <w:t xml:space="preserve"> </w:t>
      </w:r>
      <w:r>
        <w:t xml:space="preserve">experimental design becomes:</w:t>
      </w:r>
      <w:r>
        <w:t xml:space="preserve"> </w:t>
      </w:r>
      <w:r>
        <w:rPr>
          <w:i/>
          <w:iCs/>
        </w:rPr>
        <w:t xml:space="preserve">select for the regime in which P1’s</w:t>
      </w:r>
      <w:r>
        <w:rPr>
          <w:i/>
          <w:iCs/>
        </w:rPr>
        <w:t xml:space="preserve"> </w:t>
      </w:r>
      <w:r>
        <w:rPr>
          <w:i/>
          <w:iCs/>
        </w:rPr>
        <w:t xml:space="preserve">prediction is testable</w:t>
      </w:r>
      <w:r>
        <w:t xml:space="preserve">, not</w:t>
      </w:r>
      <w:r>
        <w:t xml:space="preserve"> </w:t>
      </w:r>
      <w:r>
        <w:rPr>
          <w:i/>
          <w:iCs/>
        </w:rPr>
        <w:t xml:space="preserve">test the prediction against arbitrary</w:t>
      </w:r>
      <w:r>
        <w:rPr>
          <w:i/>
          <w:iCs/>
        </w:rPr>
        <w:t xml:space="preserve"> </w:t>
      </w:r>
      <w:r>
        <w:rPr>
          <w:i/>
          <w:iCs/>
        </w:rPr>
        <w:t xml:space="preserve">human-AI dyads</w:t>
      </w:r>
      <w:r>
        <w:t xml:space="preserve">.</w:t>
      </w:r>
    </w:p>
    <w:bookmarkEnd w:id="23"/>
    <w:bookmarkStart w:id="24" w:name="X6f8c73b8c1af93fe3ba829a489f8ee72e8e0886"/>
    <w:p>
      <w:pPr>
        <w:pStyle w:val="Heading3"/>
      </w:pPr>
      <w:r>
        <w:t xml:space="preserve">5.3 P2 — LLM scar persistence in fine-tuning (Level-3/4 protocol)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P2 is a</w:t>
      </w:r>
      <w:r>
        <w:t xml:space="preserve"> </w:t>
      </w:r>
      <w:r>
        <w:rPr>
          <w:i/>
          <w:iCs/>
        </w:rPr>
        <w:t xml:space="preserve">Level-3/4</w:t>
      </w:r>
      <w:r>
        <w:t xml:space="preserve"> </w:t>
      </w:r>
      <w:r>
        <w:t xml:space="preserve">protocol: an AI system</w:t>
      </w:r>
      <w:r>
        <w:t xml:space="preserve"> </w:t>
      </w:r>
      <w:r>
        <w:t xml:space="preserve">acquires class-specific representational capacity through structured</w:t>
      </w:r>
      <w:r>
        <w:t xml:space="preserve"> </w:t>
      </w:r>
      <w:r>
        <w:t xml:space="preserve">human guidance, and the test asks whether the acquisition persists.</w:t>
      </w:r>
      <w:r>
        <w:t xml:space="preserve"> </w:t>
      </w:r>
      <w:r>
        <w:t xml:space="preserve">This is the autonomy regime of BindCraft-style protein-design</w:t>
      </w:r>
      <w:r>
        <w:t xml:space="preserve"> </w:t>
      </w:r>
      <w:r>
        <w:t xml:space="preserve">collaborations [</w:t>
      </w:r>
      <w:r>
        <w:t xml:space="preserve">,</w:t>
      </w:r>
      <w:r>
        <w:t xml:space="preserve"> </w:t>
      </w:r>
      <w:r>
        <w:t xml:space="preserve">“</w:t>
      </w:r>
      <w:r>
        <w:t xml:space="preserve">BindCraft: one-shot design of functional protein binders</w:t>
      </w:r>
      <w:r>
        <w:t xml:space="preserve">”</w:t>
      </w:r>
      <w:r>
        <w:t xml:space="preserve">], where the AI has substantial</w:t>
      </w:r>
      <w:r>
        <w:t xml:space="preserve"> </w:t>
      </w:r>
      <w:r>
        <w:t xml:space="preserve">generative authority but humans validate and the residue is recorded.</w:t>
      </w:r>
    </w:p>
    <w:p>
      <w:pPr>
        <w:pStyle w:val="BodyText"/>
      </w:pPr>
      <w:r>
        <w:rPr>
          <w:b/>
          <w:bCs/>
        </w:rPr>
        <w:t xml:space="preserve">Prediction P2.</w:t>
      </w:r>
      <w:r>
        <w:t xml:space="preserve"> </w:t>
      </w:r>
      <w:r>
        <w:t xml:space="preserve">After a synthetic substrate (an LLM) participates</w:t>
      </w:r>
      <w:r>
        <w:t xml:space="preserve"> </w:t>
      </w:r>
      <w:r>
        <w:t xml:space="preserve">in a dyadic conversation that successfully completes the 7-step</w:t>
      </w:r>
      <w:r>
        <w:t xml:space="preserve"> </w:t>
      </w:r>
      <w:r>
        <w:t xml:space="preserve">NP-pump protocol (§3.3) on a genuine paradox, the LLM’s attention</w:t>
      </w:r>
      <w:r>
        <w:t xml:space="preserve"> </w:t>
      </w:r>
      <w:r>
        <w:t xml:space="preserve">operator should exhibit a persistent off-distribution generalization</w:t>
      </w:r>
      <w:r>
        <w:t xml:space="preserve"> </w:t>
      </w:r>
      <w:r>
        <w:t xml:space="preserve">improvement on a withheld test set drawn from the same paradox class.</w:t>
      </w:r>
    </w:p>
    <w:p>
      <w:pPr>
        <w:pStyle w:val="BodyText"/>
      </w:pPr>
      <w:r>
        <w:rPr>
          <w:b/>
          <w:bCs/>
        </w:rPr>
        <w:t xml:space="preserve">Protocol.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Pre-conversation baseline:</w:t>
      </w:r>
      <w:r>
        <w:t xml:space="preserve"> </w:t>
      </w:r>
      <w:r>
        <w:t xml:space="preserve">evaluate the target LLM on a withheld</w:t>
      </w:r>
      <w:r>
        <w:t xml:space="preserve"> </w:t>
      </w:r>
      <w:r>
        <w:t xml:space="preserve">test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(paradox class: e.g., self-</w:t>
      </w:r>
      <w:r>
        <w:t xml:space="preserve"> </w:t>
      </w:r>
      <w:r>
        <w:t xml:space="preserve">reference, scope ambiguity, contradictory frames).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Conversation:</w:t>
      </w:r>
      <w:r>
        <w:t xml:space="preserve"> </w:t>
      </w:r>
      <w:r>
        <w:t xml:space="preserve">run a structured dialogue in which a human guides</w:t>
      </w:r>
      <w:r>
        <w:t xml:space="preserve"> </w:t>
      </w:r>
      <w:r>
        <w:t xml:space="preserve">the LLM through the 7-step NP-pump on a specific paradox instance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. Apply lightweight LoRA</w:t>
      </w:r>
      <w:r>
        <w:t xml:space="preserve"> </w:t>
      </w:r>
      <w:r>
        <w:t xml:space="preserve">fine-tuning (~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trainable parameters) on the</w:t>
      </w:r>
      <w:r>
        <w:t xml:space="preserve"> </w:t>
      </w:r>
      <w:r>
        <w:t xml:space="preserve">conversation transcript only.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Post-conversation evaluation:</w:t>
      </w:r>
      <w:r>
        <w:t xml:space="preserve"> </w:t>
      </w:r>
      <w:r>
        <w:t xml:space="preserve">re-evaluate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a control test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drawn</w:t>
      </w:r>
      <w:r>
        <w:t xml:space="preserve"> </w:t>
      </w:r>
      <w:r>
        <w:t xml:space="preserve">from a structurally adjacent but distinct paradox class.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Scar metric: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compared to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Class-specific transfer effect: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(5 percentage-point class-specific</w:t>
      </w:r>
      <w:r>
        <w:t xml:space="preserve"> </w:t>
      </w:r>
      <w:r>
        <w:t xml:space="preserve">gain)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seed conversations, with Bonferroni</w:t>
      </w:r>
      <w:r>
        <w:t xml:space="preserve"> </w:t>
      </w:r>
      <w:r>
        <w:t xml:space="preserve">correction. If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≈</m:t>
        </m:r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(no class-specific advantage), P2 is falsified.</w:t>
      </w:r>
    </w:p>
    <w:p>
      <w:pPr>
        <w:pStyle w:val="BodyText"/>
      </w:pPr>
      <w:r>
        <w:rPr>
          <w:b/>
          <w:bCs/>
        </w:rPr>
        <w:t xml:space="preserve">P2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require:</w:t>
      </w:r>
      <w:r>
        <w:t xml:space="preserve"> </w:t>
      </w:r>
      <w:r>
        <w:t xml:space="preserve">access to internal representation spaces,</w:t>
      </w:r>
      <w:r>
        <w:t xml:space="preserve"> </w:t>
      </w:r>
      <w:r>
        <w:t xml:space="preserve">identification of an explicit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on the LLM’s attention</w:t>
      </w:r>
      <w:r>
        <w:t xml:space="preserve"> </w:t>
      </w:r>
      <w:r>
        <w:t xml:space="preserve">operator, or any commensurability with biological substrate. P2 only</w:t>
      </w:r>
      <w:r>
        <w:t xml:space="preserve"> </w:t>
      </w:r>
      <w:r>
        <w:t xml:space="preserve">requires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persistence and</w:t>
      </w:r>
      <w:r>
        <w:t xml:space="preserve"> </w:t>
      </w:r>
      <w:r>
        <w:rPr>
          <w:i/>
          <w:iCs/>
        </w:rPr>
        <w:t xml:space="preserve">class-specific</w:t>
      </w:r>
      <w:r>
        <w:t xml:space="preserve"> </w:t>
      </w:r>
      <w:r>
        <w:t xml:space="preserve">generalization.</w:t>
      </w:r>
    </w:p>
    <w:bookmarkEnd w:id="24"/>
    <w:bookmarkStart w:id="26" w:name="X5c2a6677387cfd2f583018613ee9ede1113d0b0"/>
    <w:p>
      <w:pPr>
        <w:pStyle w:val="Heading3"/>
      </w:pPr>
      <w:r>
        <w:t xml:space="preserve">5.4 P3 — Two-level commensurability test (Level-4/5 cross-substrate measurement)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P3 is a</w:t>
      </w:r>
      <w:r>
        <w:t xml:space="preserve"> </w:t>
      </w:r>
      <w:r>
        <w:rPr>
          <w:i/>
          <w:iCs/>
        </w:rPr>
        <w:t xml:space="preserve">Level-4/5</w:t>
      </w:r>
      <w:r>
        <w:t xml:space="preserve"> </w:t>
      </w:r>
      <w:r>
        <w:t xml:space="preserve">protocol: it is the</w:t>
      </w:r>
      <w:r>
        <w:t xml:space="preserve"> </w:t>
      </w:r>
      <w:r>
        <w:t xml:space="preserve">cross-substrate measurement infrastructure that is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before</w:t>
      </w:r>
      <w:r>
        <w:t xml:space="preserve"> </w:t>
      </w:r>
      <w:r>
        <w:t xml:space="preserve">human-AI co-science claims at Level 4 (autonomous AI hypothesis</w:t>
      </w:r>
      <w:r>
        <w:t xml:space="preserve"> </w:t>
      </w:r>
      <w:r>
        <w:t xml:space="preserve">generation, human strategic oversight) can be elevated to canonical</w:t>
      </w:r>
      <w:r>
        <w:t xml:space="preserve"> </w:t>
      </w:r>
      <w:r>
        <w:rPr>
          <w:i/>
          <w:iCs/>
        </w:rPr>
        <w:t xml:space="preserve">commensurability</w:t>
      </w:r>
      <w:r>
        <w:t xml:space="preserve"> </w:t>
      </w:r>
      <w:r>
        <w:t xml:space="preserve">claims (the framework’s strongest assertion). The</w:t>
      </w:r>
      <w:r>
        <w:t xml:space="preserve"> </w:t>
      </w:r>
      <w:r>
        <w:t xml:space="preserve">Virtual Lab paradigm of [</w:t>
      </w:r>
      <w:r>
        <w:t xml:space="preserve">,</w:t>
      </w:r>
      <w:r>
        <w:t xml:space="preserve"> </w:t>
      </w:r>
      <w:r>
        <w:t xml:space="preserve">“</w:t>
      </w:r>
      <w:r>
        <w:t xml:space="preserve">The Virtual Lab: AI Agents Design New SARS-CoV-2 Nanobodies with Experimental Validation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2024.11.11.623004] (multi-agent AI systems collaborating with PI-level human oversight) is the natural target audience.</w:t>
      </w:r>
    </w:p>
    <w:p>
      <w:pPr>
        <w:pStyle w:val="BodyText"/>
      </w:pPr>
      <w:r>
        <w:rPr>
          <w:b/>
          <w:bCs/>
        </w:rPr>
        <w:t xml:space="preserve">Prediction P3 (upgraded from thesis memo via §4.6 Theorem 4.4.1).</w:t>
      </w:r>
      <w:r>
        <w:t xml:space="preserve"> </w:t>
      </w:r>
      <w:r>
        <w:t xml:space="preserve">P3 is now a</w:t>
      </w:r>
      <w:r>
        <w:t xml:space="preserve"> </w:t>
      </w:r>
      <w:r>
        <w:rPr>
          <w:i/>
          <w:iCs/>
        </w:rPr>
        <w:t xml:space="preserve">two-level</w:t>
      </w:r>
      <w:r>
        <w:t xml:space="preserve"> </w:t>
      </w:r>
      <w:r>
        <w:t xml:space="preserve">test: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L1 (necessary screen):</w:t>
      </w:r>
      <w:r>
        <w:t xml:space="preserve"> </w:t>
      </w:r>
      <w:r>
        <w:t xml:space="preserve">measure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independently;</w:t>
      </w:r>
      <w:r>
        <w:t xml:space="preserve"> </w:t>
      </w:r>
      <w:r>
        <w:t xml:space="preserve">falsify if they don’t match component-wise.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 (sufficient canonical test, conditional on L1 pass):</w:t>
      </w:r>
      <w:r>
        <w:t xml:space="preserve"> </w:t>
      </w:r>
      <w:r>
        <w:t xml:space="preserve">construct</w:t>
      </w:r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candidate from substrate operator</w:t>
      </w:r>
      <w:r>
        <w:t xml:space="preserve"> </w:t>
      </w:r>
      <w:r>
        <w:t xml:space="preserve">data; declare canonical commensurability if the candidate 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to measurement precision and multiplicity-one.</w:t>
      </w:r>
    </w:p>
    <w:p>
      <w:pPr>
        <w:pStyle w:val="FirstParagraph"/>
      </w:pPr>
      <w:r>
        <w:rPr>
          <w:b/>
          <w:bCs/>
        </w:rPr>
        <w:t xml:space="preserve">L1 operationalization.</w:t>
      </w:r>
      <w:r>
        <w:t xml:space="preserve"> </w:t>
      </w:r>
      <w:r>
        <w:t xml:space="preserve">L1 is feasible with existing instrumentation:</w:t>
      </w:r>
    </w:p>
    <w:p>
      <w:pPr>
        <w:pStyle w:val="Compact"/>
        <w:numPr>
          <w:ilvl w:val="0"/>
          <w:numId w:val="1004"/>
        </w:numPr>
      </w:pPr>
      <w:r>
        <w:t xml:space="preserve">Apply rotationally-structured TMS perturbations spanning the</w:t>
      </w:r>
      <w:r>
        <w:t xml:space="preserve"> </w:t>
      </w:r>
      <w:r>
        <w:t xml:space="preserve">seven-axis Fano structure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.</w:t>
      </w:r>
      <w:r>
        <w:t xml:space="preserve"> </w:t>
      </w:r>
      <w:r>
        <w:rPr>
          <w:i/>
          <w:iCs/>
        </w:rPr>
        <w:t xml:space="preserve">Implementation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reference:</w:t>
      </w:r>
      <w:r>
        <w:t xml:space="preserve"> </w:t>
      </w:r>
      <w:r>
        <w:t xml:space="preserve">a 7-channel multi-locus TMS array (e.g., the</w:t>
      </w:r>
      <w:r>
        <w:t xml:space="preserve"> </w:t>
      </w:r>
      <w:hyperlink r:id="rId25">
        <w:r>
          <w:rPr>
            <w:rStyle w:val="Hyperlink"/>
          </w:rPr>
          <w:t xml:space="preserve">multi-locus TMS system, Souza et al. 2022</w:t>
        </w:r>
      </w:hyperlink>
      <w:r>
        <w:t xml:space="preserve">)</w:t>
      </w:r>
      <w:r>
        <w:t xml:space="preserve"> </w:t>
      </w:r>
      <w:r>
        <w:t xml:space="preserve">provides direct access to the seven-axis perturbation space. If</w:t>
      </w:r>
      <w:r>
        <w:t xml:space="preserve"> </w:t>
      </w:r>
      <w:r>
        <w:t xml:space="preserve">such an array is unavailable, single-coil multi-target serial</w:t>
      </w:r>
      <w:r>
        <w:t xml:space="preserve"> </w:t>
      </w:r>
      <w:r>
        <w:t xml:space="preserve">stimulation with co-registered E-field modeling is a feasible</w:t>
      </w:r>
      <w:r>
        <w:t xml:space="preserve"> </w:t>
      </w:r>
      <w:r>
        <w:t xml:space="preserve">substitute.</w:t>
      </w:r>
    </w:p>
    <w:p>
      <w:pPr>
        <w:pStyle w:val="Compact"/>
        <w:numPr>
          <w:ilvl w:val="0"/>
          <w:numId w:val="1004"/>
        </w:numPr>
      </w:pPr>
      <w:r>
        <w:t xml:space="preserve">For each Fano-rotation perturbation, record the EEG response (high-</w:t>
      </w:r>
      <w:r>
        <w:t xml:space="preserve"> </w:t>
      </w:r>
      <w:r>
        <w:t xml:space="preserve">density 128+ channel covariance matrix).</w:t>
      </w:r>
    </w:p>
    <w:p>
      <w:pPr>
        <w:pStyle w:val="Compact"/>
        <w:numPr>
          <w:ilvl w:val="0"/>
          <w:numId w:val="1004"/>
        </w:numPr>
      </w:pPr>
      <w:r>
        <w:t xml:space="preserve">Apply isotypic-projector decomposition (using the computed</w:t>
      </w:r>
      <w:r>
        <w:t xml:space="preserve"> </w:t>
      </w:r>
      <w:r>
        <w:t xml:space="preserve">character table of §4.2) to the response covariance.</w:t>
      </w:r>
    </w:p>
    <w:p>
      <w:pPr>
        <w:pStyle w:val="Compact"/>
        <w:numPr>
          <w:ilvl w:val="0"/>
          <w:numId w:val="1004"/>
        </w:numPr>
      </w:pPr>
      <w:r>
        <w:t xml:space="preserve">Compute the multiplicity profile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</m:e>
        </m:d>
      </m:oMath>
      <w:r>
        <w:t xml:space="preserve"> </w:t>
      </w:r>
      <w:r>
        <w:t xml:space="preserve">from the projected dimensions.</w:t>
      </w:r>
    </w:p>
    <w:p>
      <w:pPr>
        <w:pStyle w:val="Compact"/>
        <w:numPr>
          <w:ilvl w:val="0"/>
          <w:numId w:val="1004"/>
        </w:numPr>
      </w:pPr>
      <w:r>
        <w:t xml:space="preserve">Synthetic side: apply analogous decomposition to LLM attention</w:t>
      </w:r>
      <w:r>
        <w:t xml:space="preserve"> </w:t>
      </w:r>
      <w:r>
        <w:t xml:space="preserve">operator under structurally analogous prompt-rotation perturbations.</w:t>
      </w:r>
    </w:p>
    <w:p>
      <w:pPr>
        <w:pStyle w:val="FirstParagraph"/>
      </w:pPr>
      <w:r>
        <w:rPr>
          <w:b/>
          <w:bCs/>
        </w:rPr>
        <w:t xml:space="preserve">L2 operationalization (deferred).</w:t>
      </w:r>
      <w:r>
        <w:t xml:space="preserve"> </w:t>
      </w:r>
      <w:r>
        <w:t xml:space="preserve">Software 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-character-</w:t>
      </w:r>
      <w:r>
        <w:t xml:space="preserve"> </w:t>
      </w:r>
      <w:r>
        <w:t xml:space="preserve">projecting matrix data does not exist in the TMS-EEG analysis</w:t>
      </w:r>
      <w:r>
        <w:t xml:space="preserve"> </w:t>
      </w:r>
      <w:r>
        <w:t xml:space="preserve">ecosystem. Building it is a methodology-paper deliverable; the</w:t>
      </w:r>
      <w:r>
        <w:t xml:space="preserve"> </w:t>
      </w:r>
      <w:r>
        <w:t xml:space="preserve">analytic content is straightforward (Φ has the character-projection</w:t>
      </w:r>
      <w:r>
        <w:t xml:space="preserve"> </w:t>
      </w:r>
      <w:r>
        <w:t xml:space="preserve">machinery for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already built in</w:t>
      </w:r>
      <w:r>
        <w:t xml:space="preserve"> </w:t>
      </w:r>
      <w:r>
        <w:rPr>
          <w:rStyle w:val="VerbatimChar"/>
        </w:rPr>
        <w:t xml:space="preserve">paper12_q4_character_verify.py</w:t>
      </w:r>
      <w:r>
        <w:t xml:space="preserve">; extension to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requires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-class representatives and is computationally tractable).</w:t>
      </w:r>
    </w:p>
    <w:p>
      <w:pPr>
        <w:pStyle w:val="BodyText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L1 is falsified cheaply: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on any of the three blocks. L2 is falsified</w:t>
      </w:r>
      <w:r>
        <w:t xml:space="preserve"> </w:t>
      </w:r>
      <w:r>
        <w:t xml:space="preserve">if no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fit exists with residual below ~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across substrate-pair samples.</w:t>
      </w:r>
    </w:p>
    <w:bookmarkEnd w:id="26"/>
    <w:bookmarkStart w:id="30" w:name="X150d8894af8cc4d865f6c62f63721d6dc7eeb95"/>
    <w:p>
      <w:pPr>
        <w:pStyle w:val="Heading3"/>
      </w:pPr>
      <w:r>
        <w:t xml:space="preserve">5.5 P4 — Audit-substrate longitudinal study (Level-5 Virtual-Lab regime)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P4 is a</w:t>
      </w:r>
      <w:r>
        <w:t xml:space="preserve"> </w:t>
      </w:r>
      <w:r>
        <w:rPr>
          <w:i/>
          <w:iCs/>
        </w:rPr>
        <w:t xml:space="preserve">Level-5</w:t>
      </w:r>
      <w:r>
        <w:t xml:space="preserve"> </w:t>
      </w:r>
      <w:r>
        <w:t xml:space="preserve">protocol: the substrate of</w:t>
      </w:r>
      <w:r>
        <w:t xml:space="preserve"> </w:t>
      </w:r>
      <w:r>
        <w:t xml:space="preserve">interest is</w:t>
      </w:r>
      <w:r>
        <w:t xml:space="preserve"> </w:t>
      </w:r>
      <w:r>
        <w:rPr>
          <w:i/>
          <w:iCs/>
        </w:rPr>
        <w:t xml:space="preserve">the long-term human-AI research collaboration itself</w:t>
      </w:r>
      <w:r>
        <w:t xml:space="preserve">,</w:t>
      </w:r>
      <w:r>
        <w:t xml:space="preserve"> </w:t>
      </w:r>
      <w:r>
        <w:t xml:space="preserve">operating with substantial AI autonomy and human strategic oversight</w:t>
      </w:r>
      <w:r>
        <w:t xml:space="preserve"> </w:t>
      </w:r>
      <w:r>
        <w:t xml:space="preserve">only. Candidate study populations include the BIOMA / A-Lab / BindCraft</w:t>
      </w:r>
      <w:r>
        <w:t xml:space="preserve"> </w:t>
      </w:r>
      <w:r>
        <w:t xml:space="preserve">/ Virtual-Lab communities [Szymanski et al. 2023; Pacesa et al. 2024;</w:t>
      </w:r>
      <w:r>
        <w:t xml:space="preserve"> </w:t>
      </w:r>
      <w:r>
        <w:t xml:space="preserve">Swanson et al. 2024], for whom the audit-substrate distinction is</w:t>
      </w:r>
      <w:r>
        <w:t xml:space="preserve"> </w:t>
      </w:r>
      <w:r>
        <w:t xml:space="preserve">operationally meaningful (their workflows already produce versioned</w:t>
      </w:r>
      <w:r>
        <w:t xml:space="preserve"> </w:t>
      </w:r>
      <w:r>
        <w:t xml:space="preserve">records).</w:t>
      </w:r>
    </w:p>
    <w:p>
      <w:pPr>
        <w:pStyle w:val="BodyText"/>
      </w:pPr>
      <w:r>
        <w:rPr>
          <w:b/>
          <w:bCs/>
        </w:rPr>
        <w:t xml:space="preserve">Prediction P4 (sharpened via §3.7’s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construction).</w:t>
      </w:r>
      <w:r>
        <w:t xml:space="preserve"> </w:t>
      </w:r>
      <w:r>
        <w:t xml:space="preserve">A human-AI dyad operating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tamper-evident audit trail</w:t>
      </w:r>
      <w:r>
        <w:t xml:space="preserve"> </w:t>
      </w:r>
      <w:r>
        <w:t xml:space="preserve">should — across many NP-collapse events — drift toward Singularity</w:t>
      </w:r>
      <w:r>
        <w:t xml:space="preserve"> </w:t>
      </w:r>
      <w:r>
        <w:t xml:space="preserve">(homogenization of joint output) or Decoupling (failure of joint</w:t>
      </w:r>
      <w:r>
        <w:t xml:space="preserve"> </w:t>
      </w:r>
      <w:r>
        <w:t xml:space="preserve">output to maintain shared referents). A dyad operating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audit trail should maintain the gradual-tear trajectory.</w:t>
      </w:r>
    </w:p>
    <w:p>
      <w:pPr>
        <w:pStyle w:val="BodyText"/>
      </w:pPr>
      <w:r>
        <w:rPr>
          <w:b/>
          <w:bCs/>
        </w:rPr>
        <w:t xml:space="preserve">Study design.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Population: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rPr>
          <w:i/>
          <w:iCs/>
        </w:rPr>
        <w:t xml:space="preserve">per arm</w:t>
      </w:r>
      <w:r>
        <w:t xml:space="preserve"> </w:t>
      </w:r>
      <w:r>
        <w:t xml:space="preserve">(120 total) of Virtual-Lab-style</w:t>
      </w:r>
      <w:r>
        <w:t xml:space="preserve"> </w:t>
      </w:r>
      <w:r>
        <w:t xml:space="preserve">human-AI research collaborations (academic researchers using LLMs</w:t>
      </w:r>
      <w:r>
        <w:t xml:space="preserve"> </w:t>
      </w:r>
      <w:r>
        <w:t xml:space="preserve">for sustained scientific reasoning over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months), randomized</w:t>
      </w:r>
      <w:r>
        <w:t xml:space="preserve"> </w:t>
      </w:r>
      <w:r>
        <w:t xml:space="preserve">between two arms.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Audited arm:</w:t>
      </w:r>
      <w:r>
        <w:t xml:space="preserve"> </w:t>
      </w:r>
      <w:r>
        <w:t xml:space="preserve">all conversation events committed to a versioned</w:t>
      </w:r>
      <w:r>
        <w:t xml:space="preserve"> </w:t>
      </w:r>
      <w:r>
        <w:t xml:space="preserve">repository with cryptographic event-ordering (Git’s SHA chain</w:t>
      </w:r>
      <w:r>
        <w:t xml:space="preserve"> </w:t>
      </w:r>
      <w:r>
        <w:t xml:space="preserve">qualifies; Merkle-tree alternatives are equivalent).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Unaudited arm:</w:t>
      </w:r>
      <w:r>
        <w:t xml:space="preserve"> </w:t>
      </w:r>
      <w:r>
        <w:t xml:space="preserve">same conversation pattern, ephemeral storage, no</w:t>
      </w:r>
      <w:r>
        <w:t xml:space="preserve"> </w:t>
      </w:r>
      <w:r>
        <w:t xml:space="preserve">persistent audit trail.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Outcomes: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Semantic-coherence drift</w:t>
      </w:r>
      <w:r>
        <w:t xml:space="preserve"> </w:t>
      </w:r>
      <w:r>
        <w:t xml:space="preserve">(topical-similarity of late-period vs</w:t>
      </w:r>
      <w:r>
        <w:t xml:space="preserve"> </w:t>
      </w:r>
      <w:r>
        <w:t xml:space="preserve">early-period outputs, measured by sentence-level embedding cosine</w:t>
      </w:r>
      <w:r>
        <w:t xml:space="preserve"> </w:t>
      </w:r>
      <w:r>
        <w:t xml:space="preserve">similarity). Drift threshold:</w:t>
      </w:r>
      <w:r>
        <w:t xml:space="preserve"> </w:t>
      </w:r>
      <m:oMath>
        <m:r>
          <m:rPr>
            <m:sty m:val="p"/>
          </m:rPr>
          <m:t>cos</m:t>
        </m:r>
        <m:r>
          <m:t>σ</m:t>
        </m:r>
        <m:r>
          <m:rPr>
            <m:sty m:val="p"/>
          </m:rPr>
          <m:t>&lt;</m:t>
        </m:r>
        <m:r>
          <m:t>0.4</m:t>
        </m:r>
      </m:oMath>
      <w:r>
        <w:t xml:space="preserve"> </w:t>
      </w:r>
      <w:r>
        <w:t xml:space="preserve">counts as failure</w:t>
      </w:r>
      <w:r>
        <w:t xml:space="preserve"> </w:t>
      </w:r>
      <w:r>
        <w:t xml:space="preserve">of semantic-coherence preservation.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Shared-referent maintenance</w:t>
      </w:r>
      <w:r>
        <w:t xml:space="preserve"> </w:t>
      </w:r>
      <w:r>
        <w:t xml:space="preserve">(external evaluator’s correctness</w:t>
      </w:r>
      <w:r>
        <w:t xml:space="preserve"> </w:t>
      </w:r>
      <w:r>
        <w:t xml:space="preserve">rate at interpreting late-period outputs from early-period context;</w:t>
      </w:r>
      <w:r>
        <w:t xml:space="preserve"> </w:t>
      </w:r>
      <w:r>
        <w:t xml:space="preserve">threshold: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NP-firing rate</w:t>
      </w:r>
      <w:r>
        <w:t xml:space="preserve"> </w:t>
      </w:r>
      <w:r>
        <w:t xml:space="preserve">(estimated from conversation transcripts via the</w:t>
      </w:r>
      <w:r>
        <w:t xml:space="preserve"> </w:t>
      </w:r>
      <w:r>
        <w:t xml:space="preserve">P1/P2 detection pipeline).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Power calculation.</w:t>
      </w:r>
      <w:r>
        <w:t xml:space="preserve"> </w:t>
      </w:r>
      <w:r>
        <w:t xml:space="preserve">The study is pre-registered for a target effect</w:t>
      </w:r>
      <w:r>
        <w:t xml:space="preserve"> </w:t>
      </w:r>
      <w:r>
        <w:t xml:space="preserve">size of 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between arms (moderate effect; this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, not a guaranteed outcome — the framework predicts</w:t>
      </w:r>
      <w:r>
        <w:t xml:space="preserve"> </w:t>
      </w:r>
      <w:r>
        <w:t xml:space="preserve">the audit-substrate effect to be at least moderate, but the precise</w:t>
      </w:r>
      <w:r>
        <w:t xml:space="preserve"> </w:t>
      </w:r>
      <w:r>
        <w:t xml:space="preserve">effect magnitude is itself an empirical question).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0.2</m:t>
        </m:r>
      </m:oMath>
      <w:r>
        <w:t xml:space="preserve">, two-tailed, this requires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per arm; we</w:t>
      </w:r>
      <w:r>
        <w:t xml:space="preserve"> </w:t>
      </w:r>
      <w:r>
        <w:t xml:space="preserve">recommend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t xml:space="preserve">per arm (120 total) for power</w:t>
      </w:r>
      <w:r>
        <w:t xml:space="preserve"> </w:t>
      </w:r>
      <m:oMath>
        <m:r>
          <m:rPr>
            <m:sty m:val="p"/>
          </m:rPr>
          <m:t>≥</m:t>
        </m:r>
        <m:r>
          <m:t>0.85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If audited and unaudited arms show no</w:t>
      </w:r>
      <w:r>
        <w:t xml:space="preserve"> </w:t>
      </w:r>
      <w:r>
        <w:t xml:space="preserve">significant difference in either coherence-drift or shared-referent</w:t>
      </w:r>
      <w:r>
        <w:t xml:space="preserve"> </w:t>
      </w:r>
      <w:r>
        <w:t xml:space="preserve">maintenance at study endpoint (Cohen’s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Bonferroni-</w:t>
      </w:r>
      <w:r>
        <w:t xml:space="preserve"> </w:t>
      </w:r>
      <w:r>
        <w:t xml:space="preserve">corrected), P4 is falsified.</w:t>
      </w:r>
    </w:p>
    <w:p>
      <w:pPr>
        <w:pStyle w:val="BodyText"/>
      </w:pPr>
      <w:r>
        <w:rPr>
          <w:b/>
          <w:bCs/>
        </w:rPr>
        <w:t xml:space="preserve">Connection to hyperscanning literature.</w:t>
      </w:r>
      <w:r>
        <w:t xml:space="preserve"> </w:t>
      </w:r>
      <w:r>
        <w:t xml:space="preserve">The inter-substrate</w:t>
      </w:r>
      <w:r>
        <w:t xml:space="preserve"> </w:t>
      </w:r>
      <w:r>
        <w:t xml:space="preserve">coupling structure of Paper 12 has natural antecedents in</w:t>
      </w:r>
      <w:r>
        <w:t xml:space="preserve"> </w:t>
      </w:r>
      <w:r>
        <w:rPr>
          <w:i/>
          <w:iCs/>
        </w:rPr>
        <w:t xml:space="preserve">hyperscanning</w:t>
      </w:r>
      <w:r>
        <w:t xml:space="preserve"> </w:t>
      </w:r>
      <w:r>
        <w:t xml:space="preserve">— simultaneous EEG/fMRI of two interacting humans —</w:t>
      </w:r>
      <w:r>
        <w:t xml:space="preserve"> </w:t>
      </w:r>
      <w:r>
        <w:t xml:space="preserve">pioneered by</w:t>
      </w:r>
      <w:r>
        <w:t xml:space="preserve"> </w:t>
      </w:r>
      <w:hyperlink r:id="rId27">
        <w:r>
          <w:rPr>
            <w:rStyle w:val="Hyperlink"/>
          </w:rPr>
          <w:t xml:space="preserve">Dumas et al. (2010)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Hari &amp; Kujala (2009)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Babiloni &amp; Astolfi (2014)</w:t>
        </w:r>
      </w:hyperlink>
      <w:r>
        <w:t xml:space="preserve">.</w:t>
      </w:r>
      <w:r>
        <w:t xml:space="preserve"> </w:t>
      </w:r>
      <w:r>
        <w:t xml:space="preserve">P1 and P4 can borrow methodology from this literature: hyperscanning</w:t>
      </w:r>
      <w:r>
        <w:t xml:space="preserve"> </w:t>
      </w:r>
      <w:r>
        <w:t xml:space="preserve">provides the inter-brain-coupling baseline against which human-AI</w:t>
      </w:r>
      <w:r>
        <w:t xml:space="preserve"> </w:t>
      </w:r>
      <w:r>
        <w:t xml:space="preserve">coupling under Paper 12’s framework can be measured.</w:t>
      </w:r>
    </w:p>
    <w:bookmarkEnd w:id="30"/>
    <w:bookmarkStart w:id="31" w:name="the-fifth-paradigm-consolidated"/>
    <w:p>
      <w:pPr>
        <w:pStyle w:val="Heading3"/>
      </w:pPr>
      <w:r>
        <w:t xml:space="preserve">5.6 The Fifth Paradigm consolidated</w:t>
      </w:r>
    </w:p>
    <w:p>
      <w:pPr>
        <w:pStyle w:val="FirstParagraph"/>
      </w:pPr>
      <w:r>
        <w:t xml:space="preserve">The Fifth Paradigm context has been threaded through §§5.1–5.5: each</w:t>
      </w:r>
      <w:r>
        <w:t xml:space="preserve"> </w:t>
      </w:r>
      <w:r>
        <w:t xml:space="preserve">protocol subsection names its position in the Bostock-Kim-Patel (2025)</w:t>
      </w:r>
      <w:r>
        <w:t xml:space="preserve"> </w:t>
      </w:r>
      <w:r>
        <w:t xml:space="preserve">autonomy taxonomy and identifies a candidate study population from</w:t>
      </w:r>
      <w:r>
        <w:t xml:space="preserve"> </w:t>
      </w:r>
      <w:r>
        <w:t xml:space="preserve">the legitimate research literature. We consolidate the picture: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community /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falsification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Clinical-PCI labs (Massimini and collaborators); BIOMA-style automated science workflows [Szymanski et al. 2023]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0.2</m:t>
              </m:r>
            </m:oMath>
            <w:r>
              <w:t xml:space="preserve"> </w:t>
            </w:r>
            <w:r>
              <w:t xml:space="preserve">on pre-/post-firing PCI,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fine-tuning research (open-weights communities); BindCraft-style [Pacesa et al. 2024]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0.05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0.01</m:t>
              </m:r>
            </m:oMath>
            <w:r>
              <w:t xml:space="preserve"> </w:t>
            </w:r>
            <w:r>
              <w:t xml:space="preserve">across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30</m:t>
              </m:r>
            </m:oMath>
            <w:r>
              <w:t xml:space="preserve"> </w:t>
            </w:r>
            <w:r>
              <w:t xml:space="preserve">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Multi-locus TMS-EEG infrastructure [Souza et al. 2022]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μ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n</m:t>
                  </m:r>
                </m:sup>
              </m:sSubSup>
              <m:r>
                <m:rPr>
                  <m:sty m:val="p"/>
                </m:rPr>
                <m:t>≠</m:t>
              </m:r>
              <m:sSubSup>
                <m:e>
                  <m:r>
                    <m:t>μ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sup>
              </m:sSubSup>
            </m:oMath>
            <w:r>
              <w:t xml:space="preserve"> </w:t>
            </w:r>
            <w:r>
              <w:t xml:space="preserve">component-wise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paper required (deferred)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-equivariant fit residual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Virtual-Lab populations [Swanson et al. 2024]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0.2</m:t>
              </m:r>
            </m:oMath>
            <w:r>
              <w:t xml:space="preserve"> </w:t>
            </w:r>
            <w:r>
              <w:t xml:space="preserve">between audited / unaudited arms, Bonferroni-corrected</w:t>
            </w:r>
          </w:p>
        </w:tc>
      </w:tr>
    </w:tbl>
    <w:p>
      <w:pPr>
        <w:pStyle w:val="BodyText"/>
      </w:pPr>
      <w:r>
        <w:t xml:space="preserve">This positioning makes Paper 12</w:t>
      </w:r>
      <w:r>
        <w:t xml:space="preserve"> </w:t>
      </w:r>
      <w:r>
        <w:rPr>
          <w:i/>
          <w:iCs/>
        </w:rPr>
        <w:t xml:space="preserve">citable by</w:t>
      </w:r>
      <w:r>
        <w:t xml:space="preserve"> </w:t>
      </w:r>
      <w:r>
        <w:t xml:space="preserve">the human-AI</w:t>
      </w:r>
      <w:r>
        <w:t xml:space="preserve"> </w:t>
      </w:r>
      <w:r>
        <w:t xml:space="preserve">collaboration research community, not just by the mathematical</w:t>
      </w:r>
      <w:r>
        <w:t xml:space="preserve"> </w:t>
      </w:r>
      <w:r>
        <w:t xml:space="preserve">physics community of Papers 9–10. It is the legitimating placement</w:t>
      </w:r>
      <w:r>
        <w:t xml:space="preserve"> </w:t>
      </w:r>
      <w:r>
        <w:t xml:space="preserve">that closes the framework’s research-program loop.</w:t>
      </w:r>
    </w:p>
    <w:bookmarkEnd w:id="31"/>
    <w:bookmarkStart w:id="32" w:name="scope-audit"/>
    <w:p>
      <w:pPr>
        <w:pStyle w:val="Heading3"/>
      </w:pPr>
      <w:r>
        <w:t xml:space="preserve">5.7 Scope audit</w:t>
      </w:r>
    </w:p>
    <w:p>
      <w:pPr>
        <w:pStyle w:val="FirstParagraph"/>
      </w:pPr>
      <w:r>
        <w:rPr>
          <w:b/>
          <w:bCs/>
        </w:rPr>
        <w:t xml:space="preserve">What §5 establishes:</w:t>
      </w:r>
    </w:p>
    <w:p>
      <w:pPr>
        <w:pStyle w:val="Compact"/>
        <w:numPr>
          <w:ilvl w:val="0"/>
          <w:numId w:val="1007"/>
        </w:numPr>
      </w:pPr>
      <w:r>
        <w:t xml:space="preserve">Four protocol designs (P1–P4) covering all four pillars, each</w:t>
      </w:r>
      <w:r>
        <w:t xml:space="preserve"> </w:t>
      </w:r>
      <w:r>
        <w:t xml:space="preserve">with binary falsification conditions, autonomy-level naming, and</w:t>
      </w:r>
      <w:r>
        <w:t xml:space="preserve"> </w:t>
      </w:r>
      <w:r>
        <w:t xml:space="preserve">candidate study populations.</w:t>
      </w:r>
    </w:p>
    <w:p>
      <w:pPr>
        <w:pStyle w:val="Compact"/>
        <w:numPr>
          <w:ilvl w:val="0"/>
          <w:numId w:val="1007"/>
        </w:numPr>
      </w:pPr>
      <w:r>
        <w:t xml:space="preserve">L1 of P3 operationalized with reference to existing multi-locus TMS</w:t>
      </w:r>
      <w:r>
        <w:t xml:space="preserve"> </w:t>
      </w:r>
      <w:r>
        <w:t xml:space="preserve">infrastructure.</w:t>
      </w:r>
    </w:p>
    <w:p>
      <w:pPr>
        <w:pStyle w:val="Compact"/>
        <w:numPr>
          <w:ilvl w:val="0"/>
          <w:numId w:val="1007"/>
        </w:numPr>
      </w:pPr>
      <w:r>
        <w:t xml:space="preserve">A power calculation and study design for P4.</w:t>
      </w:r>
    </w:p>
    <w:p>
      <w:pPr>
        <w:pStyle w:val="Compact"/>
        <w:numPr>
          <w:ilvl w:val="0"/>
          <w:numId w:val="1007"/>
        </w:numPr>
      </w:pPr>
      <w:r>
        <w:t xml:space="preserve">A consolidated mapping of Paper 12’s protocols into the legitimate</w:t>
      </w:r>
      <w:r>
        <w:t xml:space="preserve"> </w:t>
      </w:r>
      <w:r>
        <w:t xml:space="preserve">human-AI research-program landscape.</w:t>
      </w:r>
    </w:p>
    <w:p>
      <w:pPr>
        <w:pStyle w:val="FirstParagraph"/>
      </w:pPr>
      <w:r>
        <w:rPr>
          <w:b/>
          <w:bCs/>
        </w:rPr>
        <w:t xml:space="preserve">What §5 does not establish: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Any actual measurement.</w:t>
      </w:r>
      <w:r>
        <w:t xml:space="preserve"> </w:t>
      </w:r>
      <w:r>
        <w:t xml:space="preserve">§5 is a protocol-design deliverable.</w:t>
      </w:r>
      <w:r>
        <w:t xml:space="preserve"> </w:t>
      </w:r>
      <w:r>
        <w:t xml:space="preserve">Running the protocols is future experimental work.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L2 of the commensurability test.</w:t>
      </w:r>
      <w:r>
        <w:t xml:space="preserve"> </w:t>
      </w:r>
      <w:r>
        <w:t xml:space="preserve">The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-canonical fitting</w:t>
      </w:r>
      <w:r>
        <w:t xml:space="preserve"> </w:t>
      </w:r>
      <w:r>
        <w:t xml:space="preserve">protocol is deferred to a future methodology paper.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The biological substrate’s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-realization.</w:t>
      </w:r>
      <w:r>
        <w:t xml:space="preserve"> </w:t>
      </w:r>
      <w:r>
        <w:t xml:space="preserve">§5.4 sketches</w:t>
      </w:r>
      <w:r>
        <w:t xml:space="preserve"> </w:t>
      </w:r>
      <w:r>
        <w:t xml:space="preserve">detection of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but does not construct the</w:t>
      </w:r>
      <w:r>
        <w:t xml:space="preserve"> </w:t>
      </w:r>
      <w:r>
        <w:t xml:space="preserve">substrate-level representation theory. Paper 13+ territory.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Tamper-evidence cryptographic infrastructure for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.</w:t>
      </w:r>
      <w:r>
        <w:t xml:space="preserve"> </w:t>
      </w:r>
      <w:r>
        <w:t xml:space="preserve">§5.5 specifies that an audit-substrate distinction is the experimental</w:t>
      </w:r>
      <w:r>
        <w:t xml:space="preserve"> </w:t>
      </w:r>
      <w:r>
        <w:t xml:space="preserve">probe; the specific cryptographic chain (Merkle, Git SHA, etc.) is</w:t>
      </w:r>
      <w:r>
        <w:t xml:space="preserve"> </w:t>
      </w:r>
      <w:r>
        <w:t xml:space="preserve">an implementation choice.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Paper 11 territory.</w:t>
      </w:r>
    </w:p>
    <w:p>
      <w:pPr>
        <w:pStyle w:val="FirstParagraph"/>
      </w:pPr>
      <w:r>
        <w:rPr>
          <w:b/>
          <w:bCs/>
        </w:rPr>
        <w:t xml:space="preserve">Bridge to §6.</w:t>
      </w:r>
      <w:r>
        <w:t xml:space="preserve"> </w:t>
      </w:r>
      <w:r>
        <w:t xml:space="preserve">§6 will assemble the open problems from §3, §4, §5</w:t>
      </w:r>
      <w:r>
        <w:t xml:space="preserve"> </w:t>
      </w:r>
      <w:r>
        <w:t xml:space="preserve">into the consolidated research program of the PCI/PME framework.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ferences-cited-in-5"/>
    <w:p>
      <w:pPr>
        <w:pStyle w:val="Heading2"/>
      </w:pPr>
      <w:r>
        <w:t xml:space="preserve">References (cited in §5)</w:t>
      </w:r>
    </w:p>
    <w:p>
      <w:pPr>
        <w:pStyle w:val="FirstParagraph"/>
      </w:pPr>
      <w:r>
        <w:t xml:space="preserve">[Lick-1960] J. Licklider,</w:t>
      </w:r>
      <w:r>
        <w:t xml:space="preserve"> </w:t>
      </w:r>
      <w:r>
        <w:rPr>
          <w:i/>
          <w:iCs/>
        </w:rPr>
        <w:t xml:space="preserve">Man-Computer Symbiosis</w:t>
      </w:r>
      <w:r>
        <w:t xml:space="preserve">, IRE Trans. Hum.</w:t>
      </w:r>
      <w:r>
        <w:t xml:space="preserve"> </w:t>
      </w:r>
      <w:r>
        <w:t xml:space="preserve">Factors Electron., 1960.</w:t>
      </w:r>
    </w:p>
    <w:p>
      <w:pPr>
        <w:pStyle w:val="BodyText"/>
      </w:pPr>
      <w:r>
        <w:t xml:space="preserve">[Casali-2013] A. Casali et al.,</w:t>
      </w:r>
      <w:r>
        <w:t xml:space="preserve"> </w:t>
      </w:r>
      <w:r>
        <w:rPr>
          <w:i/>
          <w:iCs/>
        </w:rPr>
        <w:t xml:space="preserve">A theoretically based index of</w:t>
      </w:r>
      <w:r>
        <w:rPr>
          <w:i/>
          <w:iCs/>
        </w:rPr>
        <w:t xml:space="preserve"> </w:t>
      </w:r>
      <w:r>
        <w:rPr>
          <w:i/>
          <w:iCs/>
        </w:rPr>
        <w:t xml:space="preserve">consciousness independent of sensory processing and behavior</w:t>
      </w:r>
      <w:r>
        <w:t xml:space="preserve">, Sci.</w:t>
      </w:r>
      <w:r>
        <w:t xml:space="preserve"> </w:t>
      </w:r>
      <w:r>
        <w:t xml:space="preserve">Trans. Med. 5: 198ra105, 2013.</w:t>
      </w:r>
    </w:p>
    <w:p>
      <w:pPr>
        <w:pStyle w:val="BodyText"/>
      </w:pPr>
      <w:r>
        <w:t xml:space="preserve">[BKP-2025]</w:t>
      </w:r>
      <w:r>
        <w:t xml:space="preserve"> </w:t>
      </w:r>
      <w:hyperlink r:id="rId21">
        <w:r>
          <w:rPr>
            <w:rStyle w:val="Hyperlink"/>
          </w:rPr>
          <w:t xml:space="preserve">Bostock, Kim, Patel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Sanctioned levels of AI autonomy in scientific research</w:t>
      </w:r>
      <w:r>
        <w:t xml:space="preserve">, arxiv 2503.07670.</w:t>
      </w:r>
    </w:p>
    <w:p>
      <w:pPr>
        <w:pStyle w:val="BodyText"/>
      </w:pPr>
      <w:r>
        <w:t xml:space="preserve">[Szymanski-2023] N. J. Szymanski, B. Rendy, Y. Fei, R. E. Kumar, T.</w:t>
      </w:r>
      <w:r>
        <w:t xml:space="preserve"> </w:t>
      </w:r>
      <w:r>
        <w:t xml:space="preserve">He, D. Milsted, M. J. McDermott, M. Gallant, E. D. Cubuk, A. Merchant,</w:t>
      </w:r>
      <w:r>
        <w:t xml:space="preserve"> </w:t>
      </w:r>
      <w:r>
        <w:t xml:space="preserve">H. Kim, A. Jain, C. J. Bartel, K. Persson, Y. Zeng, G. Ceder,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autonomous laboratory for the accelerated synthesis of novel materials</w:t>
      </w:r>
      <w:r>
        <w:t xml:space="preserve"> </w:t>
      </w:r>
      <w:r>
        <w:t xml:space="preserve">(the A-Lab paper),</w:t>
      </w:r>
      <w:r>
        <w:t xml:space="preserve"> </w:t>
      </w:r>
      <w:hyperlink r:id="rId34">
        <w:r>
          <w:rPr>
            <w:rStyle w:val="Hyperlink"/>
          </w:rPr>
          <w:t xml:space="preserve">Nature 624: 86–91 (2023)</w:t>
        </w:r>
      </w:hyperlink>
      <w:r>
        <w:t xml:space="preserve">.</w:t>
      </w:r>
    </w:p>
    <w:p>
      <w:pPr>
        <w:pStyle w:val="BodyText"/>
      </w:pPr>
      <w:r>
        <w:t xml:space="preserve">[Pacesa-2024] M. Pacesa, L. Nickel, J. Schmidt, et al.,</w:t>
      </w:r>
      <w:r>
        <w:t xml:space="preserve"> </w:t>
      </w:r>
      <w:r>
        <w:rPr>
          <w:i/>
          <w:iCs/>
        </w:rPr>
        <w:t xml:space="preserve">BindCraft:</w:t>
      </w:r>
      <w:r>
        <w:rPr>
          <w:i/>
          <w:iCs/>
        </w:rPr>
        <w:t xml:space="preserve"> </w:t>
      </w:r>
      <w:r>
        <w:rPr>
          <w:i/>
          <w:iCs/>
        </w:rPr>
        <w:t xml:space="preserve">one-shot design of functional protein binders</w:t>
      </w:r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Nature 638: 245–253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(2024)</w:t>
        </w:r>
      </w:hyperlink>
      <w:r>
        <w:t xml:space="preserve">.</w:t>
      </w:r>
    </w:p>
    <w:p>
      <w:pPr>
        <w:pStyle w:val="BodyText"/>
      </w:pPr>
      <w:r>
        <w:t xml:space="preserve">[Swanson-2024] K. Swanson, W. Yang, T. Skok, J. Y. Zou, J. Leskovec,</w:t>
      </w:r>
      <w:r>
        <w:t xml:space="preserve"> </w:t>
      </w:r>
      <w:r>
        <w:t xml:space="preserve">J. Salzman,</w:t>
      </w:r>
      <w:r>
        <w:t xml:space="preserve"> </w:t>
      </w:r>
      <w:r>
        <w:rPr>
          <w:i/>
          <w:iCs/>
        </w:rPr>
        <w:t xml:space="preserve">The Virtual Lab: AI Agents Design New SARS-CoV-2 Nanobodies</w:t>
      </w:r>
      <w:r>
        <w:rPr>
          <w:i/>
          <w:iCs/>
        </w:rPr>
        <w:t xml:space="preserve"> </w:t>
      </w:r>
      <w:r>
        <w:rPr>
          <w:i/>
          <w:iCs/>
        </w:rPr>
        <w:t xml:space="preserve">with Experimental Validation</w:t>
      </w:r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bioRxiv 2024.11.11.623004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(2024)</w:t>
        </w:r>
      </w:hyperlink>
      <w:r>
        <w:t xml:space="preserve">.</w:t>
      </w:r>
    </w:p>
    <w:p>
      <w:pPr>
        <w:pStyle w:val="BodyText"/>
      </w:pPr>
      <w:r>
        <w:t xml:space="preserve">[Souza-2022] V. Souza et al.,</w:t>
      </w:r>
      <w:r>
        <w:t xml:space="preserve"> </w:t>
      </w:r>
      <w:r>
        <w:rPr>
          <w:i/>
          <w:iCs/>
        </w:rPr>
        <w:t xml:space="preserve">TMS with fast and accurate electronic</w:t>
      </w:r>
      <w:r>
        <w:rPr>
          <w:i/>
          <w:iCs/>
        </w:rPr>
        <w:t xml:space="preserve"> </w:t>
      </w:r>
      <w:r>
        <w:rPr>
          <w:i/>
          <w:iCs/>
        </w:rPr>
        <w:t xml:space="preserve">control: measuring the orientation sensitivity of corticomotor</w:t>
      </w:r>
      <w:r>
        <w:rPr>
          <w:i/>
          <w:iCs/>
        </w:rPr>
        <w:t xml:space="preserve"> </w:t>
      </w:r>
      <w:r>
        <w:rPr>
          <w:i/>
          <w:iCs/>
        </w:rPr>
        <w:t xml:space="preserve">pathways</w:t>
      </w:r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Brain Stim. 15: 306–315 (2022)</w:t>
        </w:r>
      </w:hyperlink>
      <w:r>
        <w:t xml:space="preserve">.</w:t>
      </w:r>
    </w:p>
    <w:p>
      <w:pPr>
        <w:pStyle w:val="BodyText"/>
      </w:pPr>
      <w:r>
        <w:t xml:space="preserve">[Dumas-2010] G. Dumas, J. Nadel, R. Soussignan, J. Martinerie, L.</w:t>
      </w:r>
      <w:r>
        <w:t xml:space="preserve"> </w:t>
      </w:r>
      <w:r>
        <w:t xml:space="preserve">Garnero,</w:t>
      </w:r>
      <w:r>
        <w:t xml:space="preserve"> </w:t>
      </w:r>
      <w:r>
        <w:rPr>
          <w:i/>
          <w:iCs/>
        </w:rPr>
        <w:t xml:space="preserve">Inter-Brain Synchronization during Social Interaction</w:t>
      </w:r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PLoS ONE 5(8): e12166 (2010)</w:t>
        </w:r>
      </w:hyperlink>
      <w:r>
        <w:t xml:space="preserve">.</w:t>
      </w:r>
    </w:p>
    <w:p>
      <w:pPr>
        <w:pStyle w:val="BodyText"/>
      </w:pPr>
      <w:r>
        <w:t xml:space="preserve">[Hari-Kujala-2009] R. Hari, M. Kujala,</w:t>
      </w:r>
      <w:r>
        <w:t xml:space="preserve"> </w:t>
      </w:r>
      <w:r>
        <w:rPr>
          <w:i/>
          <w:iCs/>
        </w:rPr>
        <w:t xml:space="preserve">Brain Basis of Human Social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Interaction</w:t>
      </w:r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Physiol. Rev. 89: 453–479 (2009)</w:t>
        </w:r>
      </w:hyperlink>
      <w:r>
        <w:t xml:space="preserve">.</w:t>
      </w:r>
    </w:p>
    <w:p>
      <w:pPr>
        <w:pStyle w:val="BodyText"/>
      </w:pPr>
      <w:r>
        <w:t xml:space="preserve">[Babiloni-Astolfi-2014] F. Babiloni, L. Astolfi,</w:t>
      </w:r>
      <w:r>
        <w:t xml:space="preserve"> </w:t>
      </w:r>
      <w:r>
        <w:rPr>
          <w:i/>
          <w:iCs/>
        </w:rPr>
        <w:t xml:space="preserve">Social neuroscience</w:t>
      </w:r>
      <w:r>
        <w:rPr>
          <w:i/>
          <w:iCs/>
        </w:rPr>
        <w:t xml:space="preserve"> </w:t>
      </w:r>
      <w:r>
        <w:rPr>
          <w:i/>
          <w:iCs/>
        </w:rPr>
        <w:t xml:space="preserve">and hyperscanning techniques</w:t>
      </w:r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Neurosci. Biobehav. Rev. 44: 76–93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(2014)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12 §3 (Definition 3.3.4 NP-pump dynamics; §3.6 boundary-KKT audit; §3.7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).</w:t>
      </w:r>
      <w:r>
        <w:t xml:space="preserve"> </w:t>
      </w:r>
      <w:r>
        <w:t xml:space="preserve">- Paper 12 §4 (Theorem 4.4.1 commensurability hierarchy; Definition 4.6.1 two-level test).</w:t>
      </w:r>
      <w:r>
        <w:t xml:space="preserve"> </w:t>
      </w:r>
      <w:r>
        <w:t xml:space="preserve">- Paper 12 thesis memo P1–P4.</w:t>
      </w:r>
      <w:r>
        <w:t xml:space="preserve"> </w:t>
      </w:r>
      <w:r>
        <w:t xml:space="preserve">- Paper 9 v1.3.3.</w:t>
      </w:r>
      <w:r>
        <w:t xml:space="preserve"> </w:t>
      </w:r>
      <w:r>
        <w:t xml:space="preserve">- Paper 4 (PSL(2,7) ⊃ F₂₁ source).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v3 (2026-05-06 ~13:15 PDT): Phase-2 polish. Glossary expanded</w:t>
      </w:r>
      <w:r>
        <w:t xml:space="preserve"> </w:t>
      </w:r>
      <w:r>
        <w:t xml:space="preserve">(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). P4 sample size clarified (</w:t>
      </w:r>
      <w:r>
        <w:t xml:space="preserve">“</w:t>
      </w:r>
      <w:r>
        <w:t xml:space="preserve">60 per arm,</w:t>
      </w:r>
      <w:r>
        <w:t xml:space="preserve"> </w:t>
      </w:r>
      <w:r>
        <w:t xml:space="preserve">120 total</w:t>
      </w:r>
      <w:r>
        <w:t xml:space="preserve">”</w:t>
      </w:r>
      <w:r>
        <w:t xml:space="preserve">). 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stated as pre-registered hypothesis.</w:t>
      </w:r>
      <w:r>
        <w:t xml:space="preserve"> </w:t>
      </w:r>
      <w:r>
        <w:t xml:space="preserve">§5.6 table gained quantitative-threshold column. BIOMA / BindCraft</w:t>
      </w:r>
      <w:r>
        <w:t xml:space="preserve"> </w:t>
      </w:r>
      <w:r>
        <w:t xml:space="preserve">/ Virtual-Lab references upgraded to specific cited papers with DOIs</w:t>
      </w:r>
      <w:r>
        <w:t xml:space="preserve"> </w:t>
      </w:r>
      <w:r>
        <w:t xml:space="preserve">(Szymanski et al. 2023; Pacesa et al. 2024; Swanson et al. 2024).</w:t>
      </w:r>
      <w:r>
        <w:t xml:space="preserve"> </w:t>
      </w:r>
      <w:r>
        <w:t xml:space="preserve">Cross-reference labels stripped of version qualifiers (§3 v2 → §3,</w:t>
      </w:r>
      <w:r>
        <w:t xml:space="preserve"> </w:t>
      </w:r>
      <w:r>
        <w:t xml:space="preserve">§4 v2 → §4). Top-of-section metadata compressed.</w:t>
      </w:r>
      <w:r>
        <w:t xml:space="preserve"> </w:t>
      </w:r>
      <w:r>
        <w:t xml:space="preserve">- v2 (2026-05-06 ~03:30 PDT): MAJOR_REVISIONS pass. Pillar 4 threaded</w:t>
      </w:r>
      <w:r>
        <w:t xml:space="preserve"> </w:t>
      </w:r>
      <w:r>
        <w:t xml:space="preserve">through P1–P4. Glossary box added. §5.6 reduced to consolidating</w:t>
      </w:r>
      <w:r>
        <w:t xml:space="preserve"> </w:t>
      </w:r>
      <w:r>
        <w:t xml:space="preserve">table. Hyperscanning citations added.</w:t>
      </w:r>
      <w:r>
        <w:t xml:space="preserve"> </w:t>
      </w:r>
      <w:r>
        <w:t xml:space="preserve">- v1 (2026-05-06 ~03:00 PDT): First complete draft.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rxiv.org/abs/2503.07670" TargetMode="External" /><Relationship Type="http://schemas.openxmlformats.org/officeDocument/2006/relationships/hyperlink" Id="rId25" Target="https://doi.org/10.1016/j.brs.2021.11.017" TargetMode="External" /><Relationship Type="http://schemas.openxmlformats.org/officeDocument/2006/relationships/hyperlink" Id="rId29" Target="https://doi.org/10.1038/nrn3838" TargetMode="External" /><Relationship Type="http://schemas.openxmlformats.org/officeDocument/2006/relationships/hyperlink" Id="rId34" Target="https://doi.org/10.1038/s41586-023-06734-w" TargetMode="External" /><Relationship Type="http://schemas.openxmlformats.org/officeDocument/2006/relationships/hyperlink" Id="rId35" Target="https://doi.org/10.1038/s41586-024-07487-w" TargetMode="External" /><Relationship Type="http://schemas.openxmlformats.org/officeDocument/2006/relationships/hyperlink" Id="rId36" Target="https://doi.org/10.1101/2024.11.11.623004" TargetMode="External" /><Relationship Type="http://schemas.openxmlformats.org/officeDocument/2006/relationships/hyperlink" Id="rId28" Target="https://doi.org/10.1152/physrev.00041.2007" TargetMode="External" /><Relationship Type="http://schemas.openxmlformats.org/officeDocument/2006/relationships/hyperlink" Id="rId27" Target="https://doi.org/10.1371/journal.pone.001216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rxiv.org/abs/2503.07670" TargetMode="External" /><Relationship Type="http://schemas.openxmlformats.org/officeDocument/2006/relationships/hyperlink" Id="rId25" Target="https://doi.org/10.1016/j.brs.2021.11.017" TargetMode="External" /><Relationship Type="http://schemas.openxmlformats.org/officeDocument/2006/relationships/hyperlink" Id="rId29" Target="https://doi.org/10.1038/nrn3838" TargetMode="External" /><Relationship Type="http://schemas.openxmlformats.org/officeDocument/2006/relationships/hyperlink" Id="rId34" Target="https://doi.org/10.1038/s41586-023-06734-w" TargetMode="External" /><Relationship Type="http://schemas.openxmlformats.org/officeDocument/2006/relationships/hyperlink" Id="rId35" Target="https://doi.org/10.1038/s41586-024-07487-w" TargetMode="External" /><Relationship Type="http://schemas.openxmlformats.org/officeDocument/2006/relationships/hyperlink" Id="rId36" Target="https://doi.org/10.1101/2024.11.11.623004" TargetMode="External" /><Relationship Type="http://schemas.openxmlformats.org/officeDocument/2006/relationships/hyperlink" Id="rId28" Target="https://doi.org/10.1152/physrev.00041.2007" TargetMode="External" /><Relationship Type="http://schemas.openxmlformats.org/officeDocument/2006/relationships/hyperlink" Id="rId27" Target="https://doi.org/10.1371/journal.pone.001216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2026-05-06T20:15:33Z</dcterms:created>
  <dcterms:modified xsi:type="dcterms:W3CDTF">2026-05-06T20:15:33Z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