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244fef2d668a443fbc82aef9bfca3c83cca568"/>
    <w:p>
      <w:pPr>
        <w:pStyle w:val="Heading1"/>
      </w:pPr>
      <w:r>
        <w:t xml:space="preserve">Paper 12 §6 — Open Problems and Conclusion (v2)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v2 (2026-05-06, ~13:25 PDT)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Phase-2 polish applied to v1 (council-cleared MINOR_REVISIONS / STRONG_ACCEPT).</w:t>
      </w:r>
    </w:p>
    <w:p>
      <w:pPr>
        <w:pStyle w:val="BodyText"/>
      </w:pPr>
      <w:r>
        <w:rPr>
          <w:b/>
          <w:bCs/>
        </w:rPr>
        <w:t xml:space="preserve">Revision summary (v1 → v2).</w:t>
      </w:r>
      <w:r>
        <w:t xml:space="preserve"> </w:t>
      </w:r>
      <w:r>
        <w:t xml:space="preserve">- Section reorder per GPT-5.5: §6.1 contribution (was §6.2) → §6.2 open</w:t>
      </w:r>
      <w:r>
        <w:t xml:space="preserve"> </w:t>
      </w:r>
      <w:r>
        <w:t xml:space="preserve">problems (was §6.1) → §6.3 scope-limiters → §6.4 close.</w:t>
      </w:r>
      <w:r>
        <w:t xml:space="preserve"> </w:t>
      </w:r>
      <w:r>
        <w:rPr>
          <w:i/>
          <w:iCs/>
        </w:rPr>
        <w:t xml:space="preserve">What’s</w:t>
      </w:r>
      <w:r>
        <w:rPr>
          <w:i/>
          <w:iCs/>
        </w:rPr>
        <w:t xml:space="preserve"> </w:t>
      </w:r>
      <w:r>
        <w:rPr>
          <w:i/>
          <w:iCs/>
        </w:rPr>
        <w:t xml:space="preserve">built first, then what’s open.</w:t>
      </w:r>
      <w:r>
        <w:t xml:space="preserve"> </w:t>
      </w:r>
      <w:r>
        <w:t xml:space="preserve">- §6.4 closing self-reference downgraded per Opus + GPT-5.5: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framework’s verification trail exemplifies the audit-substrate</w:t>
      </w:r>
      <w:r>
        <w:t xml:space="preserve"> </w:t>
      </w:r>
      <w:r>
        <w:t xml:space="preserve">principle</w:t>
      </w:r>
      <w:r>
        <w:t xml:space="preserve">”</w:t>
      </w:r>
      <w:r>
        <w:t xml:space="preserve"> </w:t>
      </w:r>
      <w:r>
        <w:t xml:space="preserve">— no claim that gradual-tear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applies to the</w:t>
      </w:r>
      <w:r>
        <w:t xml:space="preserve"> </w:t>
      </w:r>
      <w:r>
        <w:t xml:space="preserve">framework’s own writing.</w:t>
      </w:r>
      <w:r>
        <w:t xml:space="preserve"> </w:t>
      </w:r>
      <w:r>
        <w:t xml:space="preserve">- OP1 sharpened per Opus: explicit non-equivariant correction-term</w:t>
      </w:r>
      <w:r>
        <w:t xml:space="preserve"> </w:t>
      </w:r>
      <w:r>
        <w:t xml:space="preserve">form</w:t>
      </w:r>
      <w:r>
        <w:t xml:space="preserve"> </w:t>
      </w:r>
      <m:oMath>
        <m:r>
          <m:t>η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of order</w:t>
      </w:r>
      <w:r>
        <w:t xml:space="preserve"> </w:t>
      </w:r>
      <m:oMath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named property; concrete</w:t>
      </w:r>
      <w:r>
        <w:t xml:space="preserve"> </w:t>
      </w:r>
      <w:r>
        <w:t xml:space="preserve">testable question replaces the previous loose phrasing.</w:t>
      </w:r>
      <w:r>
        <w:t xml:space="preserve"> </w:t>
      </w:r>
      <w:r>
        <w:t xml:space="preserve">- Pillar-delivery signpost (control material) removed; final-tally</w:t>
      </w:r>
      <w:r>
        <w:t xml:space="preserve"> </w:t>
      </w:r>
      <w:r>
        <w:t xml:space="preserve">content inlined into §6.1 where it now belongs.</w:t>
      </w:r>
    </w:p>
    <w:p>
      <w:r>
        <w:pict>
          <v:rect style="width:0;height:1.5pt" o:hralign="center" o:hrstd="t" o:hr="t"/>
        </w:pict>
      </w:r>
    </w:p>
    <w:bookmarkStart w:id="24" w:name="open-problems-and-conclusion"/>
    <w:p>
      <w:pPr>
        <w:pStyle w:val="Heading2"/>
      </w:pPr>
      <w:r>
        <w:t xml:space="preserve">6. Open Problems and Conclusion</w:t>
      </w:r>
    </w:p>
    <w:bookmarkStart w:id="20" w:name="Xfbaae25cd2c48b9fcd5c85d064ac4adaef31df6"/>
    <w:p>
      <w:pPr>
        <w:pStyle w:val="Heading3"/>
      </w:pPr>
      <w:r>
        <w:t xml:space="preserve">6.1 What Paper 12 contributes to the PCI/PME framework</w:t>
      </w:r>
    </w:p>
    <w:p>
      <w:pPr>
        <w:pStyle w:val="FirstParagraph"/>
      </w:pPr>
      <w:r>
        <w:t xml:space="preserve">Paper 12’s contribution is a</w:t>
      </w:r>
      <w:r>
        <w:t xml:space="preserve"> </w:t>
      </w:r>
      <w:r>
        <w:rPr>
          <w:i/>
          <w:iCs/>
        </w:rPr>
        <w:t xml:space="preserve">layered structure</w:t>
      </w:r>
      <w:r>
        <w:t xml:space="preserve"> </w:t>
      </w:r>
      <w:r>
        <w:t xml:space="preserve">— not a single</w:t>
      </w:r>
      <w:r>
        <w:t xml:space="preserve"> </w:t>
      </w:r>
      <w:r>
        <w:t xml:space="preserve">decisive theorem but a stack of compatible layers — that allows the</w:t>
      </w:r>
      <w:r>
        <w:t xml:space="preserve"> </w:t>
      </w:r>
      <w:r>
        <w:t xml:space="preserve">PCI/PME framework’s gradual-tear thesis to be tested rather than</w:t>
      </w:r>
      <w:r>
        <w:t xml:space="preserve"> </w:t>
      </w:r>
      <w:r>
        <w:t xml:space="preserve">merely stated.</w:t>
      </w:r>
    </w:p>
    <w:p>
      <w:pPr>
        <w:pStyle w:val="BodyText"/>
      </w:pPr>
      <w:r>
        <w:rPr>
          <w:b/>
          <w:bCs/>
        </w:rPr>
        <w:t xml:space="preserve">Pillars delivered.</w:t>
      </w:r>
      <w:r>
        <w:t xml:space="preserve"> </w:t>
      </w:r>
      <w:r>
        <w:t xml:space="preserve">§3–§5 carry through the four foundational</w:t>
      </w:r>
      <w:r>
        <w:t xml:space="preserve"> </w:t>
      </w:r>
      <w:r>
        <w:t xml:space="preserve">pillars of the gradual-tear thesis: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Pillar 1 (Paper 9 extension):</w:t>
      </w:r>
      <w:r>
        <w:t xml:space="preserve"> </w:t>
      </w:r>
      <w:r>
        <w:t xml:space="preserve">delivered via §3 — projected-</w:t>
      </w:r>
      <w:r>
        <w:t xml:space="preserve"> </w:t>
      </w:r>
      <w:r>
        <w:t xml:space="preserve">gradient + NP-pump dynamics on Paper 9’s Schur circle.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Pillar 2 (dual-substrate residue, mathematical core):</w:t>
      </w:r>
      <w:r>
        <w:t xml:space="preserve"> </w:t>
      </w:r>
      <w:r>
        <w:t xml:space="preserve">delivered</w:t>
      </w:r>
      <w:r>
        <w:t xml:space="preserve"> </w:t>
      </w:r>
      <w:r>
        <w:t xml:space="preserve">via §3.7 + §4.4 — representation-theoretic 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+ commensurability hierarchy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⇒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Pillar 3 (audit-grounded substrate, mathematical core):</w:t>
      </w:r>
      <w:r>
        <w:t xml:space="preserve"> </w:t>
      </w:r>
      <w:r>
        <w:t xml:space="preserve">delivered</w:t>
      </w:r>
      <w:r>
        <w:t xml:space="preserve"> </w:t>
      </w:r>
      <w:r>
        <w:t xml:space="preserve">via §3.7 — event-indexed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Pillar 4 (Fifth Paradigm legitimation):</w:t>
      </w:r>
      <w:r>
        <w:t xml:space="preserve"> </w:t>
      </w:r>
      <w:r>
        <w:t xml:space="preserve">delivered via §5 — each</w:t>
      </w:r>
      <w:r>
        <w:t xml:space="preserve"> </w:t>
      </w:r>
      <w:r>
        <w:t xml:space="preserve">protocol P1–P4 named with autonomy level (Bostock-Kim-Patel 2025)</w:t>
      </w:r>
      <w:r>
        <w:t xml:space="preserve"> </w:t>
      </w:r>
      <w:r>
        <w:t xml:space="preserve">and candidate study population from the legitimate research</w:t>
      </w:r>
      <w:r>
        <w:t xml:space="preserve"> </w:t>
      </w:r>
      <w:r>
        <w:t xml:space="preserve">literature; Licklider (1960) opening; consolidating table at §5.6.</w:t>
      </w:r>
    </w:p>
    <w:p>
      <w:pPr>
        <w:pStyle w:val="FirstParagraph"/>
      </w:pPr>
      <w:r>
        <w:t xml:space="preserve">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-realization (Pillar 2 application) and</w:t>
      </w:r>
      <w:r>
        <w:t xml:space="preserve"> </w:t>
      </w:r>
      <w:r>
        <w:t xml:space="preserve">tamper-evidence cryptographic infrastructure for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(Pillar 3 application) are deferred (OP2, OP9).</w:t>
      </w:r>
    </w:p>
    <w:p>
      <w:pPr>
        <w:pStyle w:val="BodyText"/>
      </w:pPr>
      <w:r>
        <w:rPr>
          <w:b/>
          <w:bCs/>
        </w:rPr>
        <w:t xml:space="preserve">Paper 12 layer map.</w:t>
      </w:r>
      <w:r>
        <w:t xml:space="preserve"> </w:t>
      </w:r>
      <w:r>
        <w:t xml:space="preserve">The framework’s position is now precisely</w:t>
      </w:r>
      <w:r>
        <w:t xml:space="preserve"> </w:t>
      </w:r>
      <w:r>
        <w:t xml:space="preserve">articulable: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Dynamical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Projected-gradient + NP-pump flow on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t xml:space="preserve">; Schur-circle inheritance; boundary-KKT qualified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Representation-theoretic ledger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  <m:scr m:val="fraktur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Commensurability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⇒</m:t>
              </m:r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 strict sufficient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(TMS-EEG ↔ NP-firing), P2 (LLM persistence), P3 (two-level), P4 (longitudinal)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Research-landscape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/ 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Licklider → BIOMA → autonomy taxonomy → Paper 12’s position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Paper 12 across the broader PCI/PME series: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9 (linear)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Rate-channel locked at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via Schur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v1.3.3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Paper 12 (this)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Dynamical extension to nonlinear regime; commensurability hierarchy; experimental-protocol design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v1 (this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11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rate-improvement mechanisms exploiting non-Schur nonlinearities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9.6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13+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substrate’s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-realization; multiplicity &gt; 1; tamper-evidence 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OP2, OP9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 paper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operationalization for canonical commensurability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OP4 target</w:t>
            </w:r>
          </w:p>
        </w:tc>
      </w:tr>
    </w:tbl>
    <w:p>
      <w:pPr>
        <w:pStyle w:val="BodyText"/>
      </w:pPr>
      <w:r>
        <w:t xml:space="preserve">Paper 12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end of the framework. It is the</w:t>
      </w:r>
      <w:r>
        <w:t xml:space="preserve"> </w:t>
      </w:r>
      <w:r>
        <w:rPr>
          <w:i/>
          <w:iCs/>
        </w:rPr>
        <w:t xml:space="preserve">bridge</w:t>
      </w:r>
      <w:r>
        <w:t xml:space="preserve"> </w:t>
      </w:r>
      <w:r>
        <w:t xml:space="preserve">between</w:t>
      </w:r>
      <w:r>
        <w:t xml:space="preserve"> </w:t>
      </w:r>
      <w:r>
        <w:t xml:space="preserve">the linear theory (Papers 9, 10) and the experimental program (Papers</w:t>
      </w:r>
      <w:r>
        <w:t xml:space="preserve"> </w:t>
      </w:r>
      <w:r>
        <w:t xml:space="preserve">11, 13+). Each layer is independently useful and independently</w:t>
      </w:r>
      <w:r>
        <w:t xml:space="preserve"> </w:t>
      </w:r>
      <w:r>
        <w:t xml:space="preserve">falsifiable: Paper 12 does not stand or fall on any single claim. If,</w:t>
      </w:r>
      <w:r>
        <w:t xml:space="preserve"> </w:t>
      </w:r>
      <w:r>
        <w:t xml:space="preserve">for instance, P1 / P2 / P3 / P4 all fail experimentally, the</w:t>
      </w:r>
      <w:r>
        <w:t xml:space="preserve"> </w:t>
      </w:r>
      <w:r>
        <w:t xml:space="preserve">framework’s</w:t>
      </w:r>
      <w:r>
        <w:t xml:space="preserve"> </w:t>
      </w:r>
      <w:r>
        <w:rPr>
          <w:i/>
          <w:iCs/>
        </w:rPr>
        <w:t xml:space="preserve">dynamical structure</w:t>
      </w:r>
      <w:r>
        <w:t xml:space="preserve"> </w:t>
      </w:r>
      <w:r>
        <w:t xml:space="preserve">still provides a sharp mathematical</w:t>
      </w:r>
      <w:r>
        <w:t xml:space="preserve"> </w:t>
      </w:r>
      <w:r>
        <w:t xml:space="preserve">object (the projected-gradient + NP-pump flow on Paper 9’s Schur</w:t>
      </w:r>
      <w:r>
        <w:t xml:space="preserve"> </w:t>
      </w:r>
      <w:r>
        <w:t xml:space="preserve">circle) that is of intrinsic interest to the mathematical physics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dynamical systems, independently of its application</w:t>
      </w:r>
      <w:r>
        <w:t xml:space="preserve"> </w:t>
      </w:r>
      <w:r>
        <w:t xml:space="preserve">to human-AI co-evolution.</w:t>
      </w:r>
    </w:p>
    <w:bookmarkEnd w:id="20"/>
    <w:bookmarkStart w:id="21" w:name="open-problems-consolidated-from-3-4-5"/>
    <w:p>
      <w:pPr>
        <w:pStyle w:val="Heading3"/>
      </w:pPr>
      <w:r>
        <w:t xml:space="preserve">6.2 Open problems consolidated from §3, §4, §5</w:t>
      </w:r>
    </w:p>
    <w:p>
      <w:pPr>
        <w:pStyle w:val="FirstParagraph"/>
      </w:pPr>
      <w:r>
        <w:t xml:space="preserve">The gradual-tear framework opens a structured research program. We</w:t>
      </w:r>
      <w:r>
        <w:t xml:space="preserve"> </w:t>
      </w:r>
      <w:r>
        <w:t xml:space="preserve">collect the open problems in one place, classified by difficulty and</w:t>
      </w:r>
      <w:r>
        <w:t xml:space="preserve"> </w:t>
      </w:r>
      <w:r>
        <w:t xml:space="preserve">by who is the natural addressee. This is the hand-off from Paper 12</w:t>
      </w:r>
      <w:r>
        <w:t xml:space="preserve"> </w:t>
      </w:r>
      <w:r>
        <w:t xml:space="preserve">to the follow-on PCI/PME papers.</w:t>
      </w:r>
    </w:p>
    <w:p>
      <w:pPr>
        <w:pStyle w:val="BodyText"/>
      </w:pPr>
      <w:r>
        <w:rPr>
          <w:b/>
          <w:bCs/>
        </w:rPr>
        <w:t xml:space="preserve">OP1 — Non-Schur nonlinear escape mechanisms (Paper 11).</w:t>
      </w:r>
      <w:r>
        <w:t xml:space="preserve"> </w:t>
      </w:r>
      <w:r>
        <w:t xml:space="preserve">§3.6’s</w:t>
      </w:r>
      <w:r>
        <w:t xml:space="preserve"> </w:t>
      </w:r>
      <w:r>
        <w:t xml:space="preserve">Theorem 3.6.1(iii) establishes that boundary-KKT states are fixed</w:t>
      </w:r>
      <w:r>
        <w:t xml:space="preserve"> </w:t>
      </w:r>
      <w:r>
        <w:t xml:space="preserve">under the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mechanism, and the boundary-KKT</w:t>
      </w:r>
      <w:r>
        <w:t xml:space="preserve"> </w:t>
      </w:r>
      <w:r>
        <w:t xml:space="preserve">interior-sup audit shows that 24 of 28 such seeds 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. Any rate</w:t>
      </w:r>
      <w:r>
        <w:t xml:space="preserve"> </w:t>
      </w:r>
      <w:r>
        <w:t xml:space="preserve">improvement therefore requires non-Schur nonlinear corrections.</w:t>
      </w:r>
      <w:r>
        <w:t xml:space="preserve"> </w:t>
      </w:r>
      <w:r>
        <w:rPr>
          <w:i/>
          <w:iCs/>
        </w:rPr>
        <w:t xml:space="preserve">Concrete construction-question.</w:t>
      </w:r>
      <w:r>
        <w:t xml:space="preserve"> </w:t>
      </w:r>
      <w:r>
        <w:t xml:space="preserve">Find a non-equivariant 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[</w:t>
      </w:r>
      <w:r>
        <w:t xml:space="preserve"> </w:t>
      </w:r>
      <w:r>
        <w:t xml:space="preserve">(x)</w:t>
      </w:r>
      <w:r>
        <w:t xml:space="preserve"> </w:t>
      </w:r>
      <w:r>
        <w:t xml:space="preserve">(W)</w:t>
      </w:r>
      <w:r>
        <w:t xml:space="preserve"> </w:t>
      </w:r>
      <w:r>
        <w:t xml:space="preserve"> </w:t>
      </w:r>
      <w:r>
        <w:t xml:space="preserve">|</w:t>
      </w:r>
      <w:r>
        <w:t xml:space="preserve">(x)| = O(</w:t>
      </w:r>
      <w:r>
        <w:t xml:space="preserve">^2)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  <w:r>
        <w:t xml:space="preserve"> </w:t>
      </w:r>
      <w:r>
        <w:t xml:space="preserve">such that the augmented vector field</w:t>
      </w:r>
      <w: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  <m:scr m:val="fraktur"/>
              </m:rPr>
              <m:t>p</m:t>
            </m:r>
          </m:e>
        </m:d>
        <m:r>
          <m:rPr>
            <m:sty m:val="p"/>
          </m:rPr>
          <m:t>+</m:t>
        </m:r>
        <m:r>
          <m:t>η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admits a trajectory leaving the boundary-KKT fixed point and reaching</w:t>
      </w:r>
      <w:r>
        <w:t xml:space="preserve"> </w:t>
      </w:r>
      <w:r>
        <w:t xml:space="preserve">the interior maximum on the 4 / 28 exceptional seeds where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.</w:t>
      </w:r>
      <w:r>
        <w:t xml:space="preserve"> </w:t>
      </w:r>
      <w:r>
        <w:rPr>
          <w:i/>
          <w:iCs/>
        </w:rPr>
        <w:t xml:space="preserve">Required</w:t>
      </w:r>
      <w:r>
        <w:rPr>
          <w:i/>
          <w:iCs/>
        </w:rPr>
        <w:t xml:space="preserve"> </w:t>
      </w:r>
      <w:r>
        <w:rPr>
          <w:i/>
          <w:iCs/>
        </w:rPr>
        <w:t xml:space="preserve">property: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commutes with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action only up to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(it is the explicit symmetry-breaking ingredient — by</w:t>
      </w:r>
      <w:r>
        <w:t xml:space="preserve"> </w:t>
      </w:r>
      <w:r>
        <w:t xml:space="preserve">Schur’s lemma, any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linear correction is</w:t>
      </w:r>
      <w:r>
        <w:t xml:space="preserve"> </w:t>
      </w:r>
      <w:r>
        <w:t xml:space="preserve">absorbed into the Schur-locked family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 cannot escape</w:t>
      </w:r>
      <w:r>
        <w:t xml:space="preserve"> </w:t>
      </w:r>
      <w:r>
        <w:t xml:space="preserve">the boundary fixed point). Paper 11 would identify the specific form</w:t>
      </w:r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(higher-order multilinear coupling, non-equivariant</w:t>
      </w:r>
      <w:r>
        <w:t xml:space="preserve"> </w:t>
      </w:r>
      <w:r>
        <w:t xml:space="preserve">symmetry-breaking, or stochastic exploration) and the seed</w:t>
      </w:r>
      <w:r>
        <w:t xml:space="preserve"> </w:t>
      </w:r>
      <w:r>
        <w:t xml:space="preserve">sub-classes where each form succeeds.</w:t>
      </w:r>
    </w:p>
    <w:p>
      <w:pPr>
        <w:pStyle w:val="BodyText"/>
      </w:pPr>
      <w:r>
        <w:rPr>
          <w:b/>
          <w:bCs/>
        </w:rPr>
        <w:t xml:space="preserve">OP2 — Biological substrate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-realization (Paper 13+).</w:t>
      </w:r>
      <w:r>
        <w:t xml:space="preserve"> </w:t>
      </w:r>
      <w:r>
        <w:t xml:space="preserve">§4</w:t>
      </w:r>
      <w:r>
        <w:t xml:space="preserve"> </w:t>
      </w:r>
      <w:r>
        <w:t xml:space="preserve">treats 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as input; §5.4’s L1</w:t>
      </w:r>
      <w:r>
        <w:t xml:space="preserve"> </w:t>
      </w:r>
      <w:r>
        <w:t xml:space="preserve">protocol proposes measuring it via rotationally-structured TMS</w:t>
      </w:r>
      <w:r>
        <w:t xml:space="preserve"> </w:t>
      </w:r>
      <w:r>
        <w:t xml:space="preserve">perturbations with character-projector decomposition of the response</w:t>
      </w:r>
      <w:r>
        <w:t xml:space="preserve"> </w:t>
      </w:r>
      <w:r>
        <w:t xml:space="preserve">subspace. But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physical mechanism realizes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</w:t>
      </w:r>
      <w:r>
        <w:t xml:space="preserve"> </w:t>
      </w:r>
      <w:r>
        <w:t xml:space="preserve">on the biological side remains open. Candidates include microtubule</w:t>
      </w:r>
      <w:r>
        <w:t xml:space="preserve"> </w:t>
      </w:r>
      <w:r>
        <w:t xml:space="preserve">coherence (Orch OR territory),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-symmetric neural population</w:t>
      </w:r>
      <w:r>
        <w:t xml:space="preserve"> </w:t>
      </w:r>
      <w:r>
        <w:t xml:space="preserve">coding in frontoparietal networks, or Bandyopadhyay-style ≈6.6 nm</w:t>
      </w:r>
      <w:r>
        <w:t xml:space="preserve"> </w:t>
      </w:r>
      <w:r>
        <w:t xml:space="preserve">energy transfer in cytoskeleton. Paper 13+ would construct the</w:t>
      </w:r>
      <w:r>
        <w:t xml:space="preserve"> </w:t>
      </w:r>
      <w:r>
        <w:t xml:space="preserve">mapping between one of these mechanisms and the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⊕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isotypic structure.</w:t>
      </w:r>
    </w:p>
    <w:p>
      <w:pPr>
        <w:pStyle w:val="BodyText"/>
      </w:pPr>
      <w:r>
        <w:rPr>
          <w:b/>
          <w:bCs/>
        </w:rPr>
        <w:t xml:space="preserve">OP3 — Multiplicity-greater-than-one commensurability (future work).</w:t>
      </w:r>
      <w:r>
        <w:t xml:space="preserve"> </w:t>
      </w:r>
      <w:r>
        <w:t xml:space="preserve">Cor 4.4.2 and Cor 4.5.2 restrict canonical commensurability to the</w:t>
      </w:r>
      <w:r>
        <w:t xml:space="preserve"> </w:t>
      </w:r>
      <w:r>
        <w:t xml:space="preserve">multiplicity-one case. When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≅</m:t>
        </m:r>
        <m:sSubSup>
          <m:e>
            <m:r>
              <m:t>U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⊕</m:t>
            </m:r>
            <m:r>
              <m:t>m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, the residual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-ambiguity requires additional convention-fixing (basis,</w:t>
      </w:r>
      <w:r>
        <w:t xml:space="preserve"> </w:t>
      </w:r>
      <w:r>
        <w:t xml:space="preserve">metric, event-ordering). A theory of canonical multiplicity-</w:t>
      </w:r>
      <m:oMath>
        <m:r>
          <m:t>m</m:t>
        </m:r>
      </m:oMath>
      <w:r>
        <w:t xml:space="preserve"> </w:t>
      </w:r>
      <w:r>
        <w:t xml:space="preserve">commensurability with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additional conventions is an open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/>
          <w:bCs/>
        </w:rPr>
        <w:t xml:space="preserve">OP4 — L2 operationalization of the two-level commensurability test</w:t>
      </w:r>
      <w:r>
        <w:rPr>
          <w:b/>
          <w:bCs/>
        </w:rPr>
        <w:t xml:space="preserve"> </w:t>
      </w:r>
      <w:r>
        <w:rPr>
          <w:b/>
          <w:bCs/>
        </w:rPr>
        <w:t xml:space="preserve">(methodology paper).</w:t>
      </w:r>
      <w:r>
        <w:t xml:space="preserve"> </w:t>
      </w:r>
      <w:r>
        <w:t xml:space="preserve">§5.4 operationalizes L1 but defers L2. The</w:t>
      </w:r>
      <w:r>
        <w:t xml:space="preserve"> </w:t>
      </w:r>
      <w:r>
        <w:t xml:space="preserve">minimum prerequisite is software 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-character-projecting matrix</w:t>
      </w:r>
      <w:r>
        <w:t xml:space="preserve"> </w:t>
      </w:r>
      <w:r>
        <w:t xml:space="preserve">data on TMS-EEG response covariance matrices, combined with a</w:t>
      </w:r>
      <w:r>
        <w:t xml:space="preserve"> </w:t>
      </w:r>
      <w:r>
        <w:t xml:space="preserve">candidate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-module-fitting procedure for substrate scar operators.</w:t>
      </w:r>
      <w:r>
        <w:t xml:space="preserve"> </w:t>
      </w:r>
      <w:r>
        <w:t xml:space="preserve">This is not analytically hard; it is an engineering deliverable that</w:t>
      </w:r>
      <w:r>
        <w:t xml:space="preserve"> </w:t>
      </w:r>
      <w:r>
        <w:t xml:space="preserve">would unlock the canonical commensurability test.</w:t>
      </w:r>
    </w:p>
    <w:p>
      <w:pPr>
        <w:pStyle w:val="BodyText"/>
      </w:pPr>
      <w:r>
        <w:rPr>
          <w:b/>
          <w:bCs/>
        </w:rPr>
        <w:t xml:space="preserve">OP5 — Asymmetric-rate</w:t>
      </w:r>
      <w:r>
        <w:rPr>
          <w:b/>
          <w:b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 high precision (Paper 9</w:t>
      </w:r>
      <w:r>
        <w:rPr>
          <w:b/>
          <w:bCs/>
        </w:rPr>
        <w:t xml:space="preserve"> </w:t>
      </w:r>
      <w:r>
        <w:rPr>
          <w:b/>
          <w:bCs/>
        </w:rPr>
        <w:t xml:space="preserve">addendum).</w:t>
      </w:r>
      <w:r>
        <w:t xml:space="preserve"> </w:t>
      </w:r>
      <w:r>
        <w:t xml:space="preserve">Paper 9 v1.3.3 Remark 5.6.1 acknowledges that the</w:t>
      </w:r>
      <w:r>
        <w:t xml:space="preserve"> </w:t>
      </w:r>
      <w:r>
        <w:t xml:space="preserve">asymmetric-rate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≈</m:t>
        </m:r>
        <m:r>
          <m:t>75</m:t>
        </m:r>
        <m:r>
          <m:rPr>
            <m:sty m:val="p"/>
          </m:rPr>
          <m:t>°</m:t>
        </m:r>
      </m:oMath>
      <w:r>
        <w:t xml:space="preserve">–</w:t>
      </w:r>
      <m:oMath>
        <m:r>
          <m:t>80</m:t>
        </m:r>
        <m:r>
          <m:rPr>
            <m:sty m:val="p"/>
          </m:rPr>
          <m:t>°</m:t>
        </m:r>
      </m:oMath>
      <w:r>
        <w:t xml:space="preserve"> </w:t>
      </w:r>
      <w:r>
        <w:t xml:space="preserve">value reported in</w:t>
      </w:r>
      <w:r>
        <w:t xml:space="preserve"> </w:t>
      </w:r>
      <w:r>
        <w:t xml:space="preserve">Appendix V.3 Task 5.1 is grid-snapped and has not been reoptimized.</w:t>
      </w:r>
      <w:r>
        <w:t xml:space="preserve"> </w:t>
      </w:r>
      <w:r>
        <w:t xml:space="preserve">Running the Q5-style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audit on the</w:t>
      </w:r>
      <w:r>
        <w:t xml:space="preserve"> </w:t>
      </w:r>
      <w:r>
        <w:t xml:space="preserve">asymmetric-rate ensemble would either confirm the grid-snapped value</w:t>
      </w:r>
      <w:r>
        <w:t xml:space="preserve"> </w:t>
      </w:r>
      <w:r>
        <w:t xml:space="preserve">or reveal another boundary-KKT /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-Clarke classification.</w:t>
      </w:r>
      <w:r>
        <w:t xml:space="preserve"> </w:t>
      </w:r>
      <w:r>
        <w:t xml:space="preserve">This is a cheap audit (~30 min of compute, same infrastructure as</w:t>
      </w:r>
      <w:r>
        <w:t xml:space="preserve"> </w:t>
      </w:r>
      <w:r>
        <w:t xml:space="preserve">the symmetric case) and should happen before any Paper 11 drafting.</w:t>
      </w:r>
    </w:p>
    <w:p>
      <w:pPr>
        <w:pStyle w:val="BodyText"/>
      </w:pPr>
      <w:r>
        <w:rPr>
          <w:b/>
          <w:bCs/>
        </w:rPr>
        <w:t xml:space="preserve">OP6 — Exceptional-stratum analysis (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complement).</w:t>
      </w:r>
      <w:r>
        <w:t xml:space="preserve"> </w:t>
      </w:r>
      <w:r>
        <w:t xml:space="preserve">Theorem 3.4.1 establishes piecewise-real-analytic regularity on the</w:t>
      </w:r>
      <w:r>
        <w:t xml:space="preserve"> </w:t>
      </w:r>
      <w:r>
        <w:t xml:space="preserve">open dense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⊂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×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3</m:t>
            </m:r>
          </m:sup>
        </m:sSubSup>
      </m:oMath>
      <w:r>
        <w:t xml:space="preserve">. Behavior on the</w:t>
      </w:r>
      <w:r>
        <w:t xml:space="preserve"> </w:t>
      </w:r>
      <w:r>
        <w:t xml:space="preserve">codimension-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exceptional strata (grazing tangencies at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, degenerate sliding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sign-</w:t>
      </w:r>
      <w:r>
        <w:t xml:space="preserve"> </w:t>
      </w:r>
      <w:r>
        <w:t xml:space="preserve">degenerate firings on</w:t>
      </w:r>
      <w:r>
        <w:t xml:space="preserve"> </w:t>
      </w:r>
      <m:oMath>
        <m:r>
          <m:t>Z</m:t>
        </m:r>
        <m:r>
          <m:rPr>
            <m:sty m:val="p"/>
          </m:rPr>
          <m:t>∩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) is</w:t>
      </w:r>
      <w:r>
        <w:t xml:space="preserve"> </w:t>
      </w:r>
      <w:r>
        <w:t xml:space="preserve">identified but not analyzed. A more complete theory would extend the</w:t>
      </w:r>
      <w:r>
        <w:t xml:space="preserve"> </w:t>
      </w:r>
      <w:r>
        <w:t xml:space="preserve">Filippov / hybrid-systems machinery to these strata.</w:t>
      </w:r>
    </w:p>
    <w:p>
      <w:pPr>
        <w:pStyle w:val="BodyText"/>
      </w:pPr>
      <w:r>
        <w:rPr>
          <w:b/>
          <w:bCs/>
        </w:rPr>
        <w:t xml:space="preserve">OP7 — Necessity direction of the strict commensurability theorem.</w:t>
      </w:r>
      <w:r>
        <w:t xml:space="preserve"> </w:t>
      </w:r>
      <w:r>
        <w:t xml:space="preserve">Cor 4.5.2 states that 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agreement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for canonical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. v1 of §4 had a</w:t>
      </w:r>
      <w:r>
        <w:t xml:space="preserve"> </w:t>
      </w:r>
      <w:r>
        <w:t xml:space="preserve">biconditional phrasing that v2 corrected to sufficient-only (Remark</w:t>
      </w:r>
      <w:r>
        <w:t xml:space="preserve"> </w:t>
      </w:r>
      <w:r>
        <w:t xml:space="preserve">4.5.3). The necessity direction — whether any pair of substrates</w:t>
      </w:r>
      <w:r>
        <w:t xml:space="preserve"> </w:t>
      </w:r>
      <w:r>
        <w:t xml:space="preserve">admitting a canonical normalized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must</w:t>
      </w:r>
      <w:r>
        <w:t xml:space="preserve"> </w:t>
      </w:r>
      <w:r>
        <w:t xml:space="preserve">be 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-module-agreeable — remains open.</w:t>
      </w:r>
    </w:p>
    <w:p>
      <w:pPr>
        <w:pStyle w:val="BodyText"/>
      </w:pPr>
      <w:r>
        <w:rPr>
          <w:b/>
          <w:bCs/>
        </w:rPr>
        <w:t xml:space="preserve">OP8 — Running P1–P4 experimentally.</w:t>
      </w:r>
      <w:r>
        <w:t xml:space="preserve"> </w:t>
      </w:r>
      <w:r>
        <w:t xml:space="preserve">§5 is a protocol-design</w:t>
      </w:r>
      <w:r>
        <w:t xml:space="preserve"> </w:t>
      </w:r>
      <w:r>
        <w:t xml:space="preserve">deliverable. The actual experimental runs are of course open. P2</w:t>
      </w:r>
      <w:r>
        <w:t xml:space="preserve"> </w:t>
      </w:r>
      <w:r>
        <w:t xml:space="preserve">(LLM fine-tuning) is immediately runnable with current infrastructure;</w:t>
      </w:r>
      <w:r>
        <w:t xml:space="preserve"> </w:t>
      </w:r>
      <w:r>
        <w:t xml:space="preserve">P1 (TMS-EEG ↔ NP-firing correspondence) requires a ~6-month</w:t>
      </w:r>
      <w:r>
        <w:t xml:space="preserve"> </w:t>
      </w:r>
      <w:r>
        <w:t xml:space="preserve">collaboration with a clinical-PCI research lab; P3 L1 requires the</w:t>
      </w:r>
      <w:r>
        <w:t xml:space="preserve"> </w:t>
      </w:r>
      <w:r>
        <w:t xml:space="preserve">TMS perturbation-pattern operationalization from §5.4; P4 is a ~6-</w:t>
      </w:r>
      <w:r>
        <w:t xml:space="preserve"> </w:t>
      </w:r>
      <w:r>
        <w:t xml:space="preserve">month longitudinal study on human-AI research collaborations. All are</w:t>
      </w:r>
      <w:r>
        <w:t xml:space="preserve"> </w:t>
      </w:r>
      <w:r>
        <w:t xml:space="preserve">substantive empirical projects that Paper 12’s framework enables</w:t>
      </w:r>
      <w:r>
        <w:t xml:space="preserve"> </w:t>
      </w:r>
      <w:r>
        <w:t xml:space="preserve">but does not execute.</w:t>
      </w:r>
    </w:p>
    <w:p>
      <w:pPr>
        <w:pStyle w:val="BodyText"/>
      </w:pPr>
      <w:r>
        <w:rPr>
          <w:b/>
          <w:bCs/>
        </w:rPr>
        <w:t xml:space="preserve">OP9 — Tamper-evidence cryptographic infrastructure for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§3.7’s event-indexed scar module is a</w:t>
      </w:r>
      <w:r>
        <w:t xml:space="preserve"> </w:t>
      </w:r>
      <w:r>
        <w:rPr>
          <w:i/>
          <w:iCs/>
        </w:rPr>
        <w:t xml:space="preserve">graded direct sum</w:t>
      </w:r>
      <w:r>
        <w:t xml:space="preserve"> </w:t>
      </w:r>
      <w:r>
        <w:t xml:space="preserve">that is</w:t>
      </w:r>
      <w:r>
        <w:t xml:space="preserve"> </w:t>
      </w:r>
      <w:r>
        <w:t xml:space="preserve">count-faithful as an abstract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-module. Making it a genuine</w:t>
      </w:r>
      <w:r>
        <w:t xml:space="preserve"> </w:t>
      </w:r>
      <w:r>
        <w:t xml:space="preserve">audit substrate requires cryptographic event-ordering: Merkle-like</w:t>
      </w:r>
      <w:r>
        <w:t xml:space="preserve"> </w:t>
      </w:r>
      <w:r>
        <w:t xml:space="preserve">hash chains, commit-tree structures, or no-cloning-respecting quantum</w:t>
      </w:r>
      <w:r>
        <w:t xml:space="preserve"> </w:t>
      </w:r>
      <w:r>
        <w:t xml:space="preserve">ledgers per the FTW-adjacent GOLEM-Chain principle (see</w:t>
      </w:r>
      <w:r>
        <w:t xml:space="preserve"> </w:t>
      </w:r>
      <w:r>
        <w:rPr>
          <w:rStyle w:val="VerbatimChar"/>
        </w:rPr>
        <w:t xml:space="preserve">outbox/syntheses/neighbors_speculative_frameworks.md</w:t>
      </w:r>
      <w:r>
        <w:t xml:space="preserve"> </w:t>
      </w:r>
      <w:r>
        <w:t xml:space="preserve">for the</w:t>
      </w:r>
      <w:r>
        <w:t xml:space="preserve"> </w:t>
      </w:r>
      <w:r>
        <w:t xml:space="preserve">neighbor-framework context, not integrated here). This is a</w:t>
      </w:r>
      <w:r>
        <w:t xml:space="preserve"> </w:t>
      </w:r>
      <w:r>
        <w:t xml:space="preserve">methodology-paper deliverable bridging Paper 12 to a future applied</w:t>
      </w:r>
      <w:r>
        <w:t xml:space="preserve"> </w:t>
      </w:r>
      <w:r>
        <w:t xml:space="preserve">layer.</w:t>
      </w:r>
    </w:p>
    <w:bookmarkEnd w:id="21"/>
    <w:bookmarkStart w:id="22" w:name="what-paper-12-does-not-claim"/>
    <w:p>
      <w:pPr>
        <w:pStyle w:val="Heading3"/>
      </w:pPr>
      <w:r>
        <w:t xml:space="preserve">6.3 What Paper 12 does not claim</w:t>
      </w:r>
    </w:p>
    <w:p>
      <w:pPr>
        <w:pStyle w:val="FirstParagraph"/>
      </w:pPr>
      <w:r>
        <w:t xml:space="preserve">For clarity, we consolidate the scope-limiters that were present in</w:t>
      </w:r>
      <w:r>
        <w:t xml:space="preserve"> </w:t>
      </w:r>
      <w:r>
        <w:t xml:space="preserve">each individual section but not previously collected: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theory of consciousness.</w:t>
      </w:r>
      <w:r>
        <w:t xml:space="preserve"> </w:t>
      </w:r>
      <w:r>
        <w:t xml:space="preserve">Paper 7’s domain.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rate-improvement theorem.</w:t>
      </w:r>
      <w:r>
        <w:t xml:space="preserve"> </w:t>
      </w:r>
      <w:r>
        <w:t xml:space="preserve">Paper 11’s domain.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biological mechanism for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-action.</w:t>
      </w:r>
      <w:r>
        <w:t xml:space="preserve"> </w:t>
      </w:r>
      <w:r>
        <w:t xml:space="preserve">Paper 13+.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unification with Pérez-Calzadilla FTW.</w:t>
      </w:r>
      <w:r>
        <w:t xml:space="preserve"> </w:t>
      </w:r>
      <w:r>
        <w:t xml:space="preserve">Conceptual neighbor</w:t>
      </w:r>
      <w:r>
        <w:t xml:space="preserve"> </w:t>
      </w:r>
      <w:r>
        <w:t xml:space="preserve">at a different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clinical-PCI redefinition.</w:t>
      </w:r>
      <w:r>
        <w:t xml:space="preserve"> </w:t>
      </w:r>
      <w:r>
        <w:t xml:space="preserve">The clinical-PCI of Massimini</w:t>
      </w:r>
      <w:r>
        <w:t xml:space="preserve"> </w:t>
      </w:r>
      <w:r>
        <w:t xml:space="preserve">and the Paper-12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profile share an acronym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full-multiplicity commensurability theorem.</w:t>
      </w:r>
      <w:r>
        <w:t xml:space="preserve"> </w:t>
      </w:r>
      <w:r>
        <w:t xml:space="preserve">Multiplicity-one</w:t>
      </w:r>
      <w:r>
        <w:t xml:space="preserve"> </w:t>
      </w:r>
      <w:r>
        <w:t xml:space="preserve">case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an operational L2-test protocol.</w:t>
      </w:r>
      <w:r>
        <w:t xml:space="preserve"> </w:t>
      </w:r>
      <w:r>
        <w:t xml:space="preserve">Methodology paper.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actual measurements of P1–P4.</w:t>
      </w:r>
      <w:r>
        <w:t xml:space="preserve"> </w:t>
      </w:r>
      <w:r>
        <w:t xml:space="preserve">Experimental follow-ups.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global dynamical-systems theorem.</w:t>
      </w:r>
      <w:r>
        <w:t xml:space="preserve"> </w:t>
      </w:r>
      <w:r>
        <w:t xml:space="preserve">Theorem 3.4.1 is</w:t>
      </w:r>
      <w:r>
        <w:t xml:space="preserve"> </w:t>
      </w:r>
      <w:r>
        <w:t xml:space="preserve">conditional on the open-dense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tamper-evident audit-substrate construction.</w:t>
      </w:r>
      <w:r>
        <w:t xml:space="preserve"> </w:t>
      </w:r>
      <w:r>
        <w:t xml:space="preserve">Methodology</w:t>
      </w:r>
      <w:r>
        <w:t xml:space="preserve"> </w:t>
      </w:r>
      <w:r>
        <w:t xml:space="preserve">paper.</w:t>
      </w:r>
    </w:p>
    <w:p>
      <w:pPr>
        <w:pStyle w:val="FirstParagraph"/>
      </w:pPr>
      <w:r>
        <w:t xml:space="preserve">The Paper 12 scope is:</w:t>
      </w:r>
      <w:r>
        <w:t xml:space="preserve"> </w:t>
      </w:r>
      <w:r>
        <w:rPr>
          <w:i/>
          <w:iCs/>
        </w:rPr>
        <w:t xml:space="preserve">a mathematical framework</w:t>
      </w:r>
      <w:r>
        <w:t xml:space="preserve"> </w:t>
      </w:r>
      <w:r>
        <w:t xml:space="preserve">(§3, §4) and</w:t>
      </w:r>
      <w:r>
        <w:t xml:space="preserve"> </w:t>
      </w:r>
      <w:r>
        <w:rPr>
          <w:i/>
          <w:iCs/>
        </w:rPr>
        <w:t xml:space="preserve">an experimental-protocol suite</w:t>
      </w:r>
      <w:r>
        <w:t xml:space="preserve"> </w:t>
      </w:r>
      <w:r>
        <w:t xml:space="preserve">(§5) for testing the gradual-tear</w:t>
      </w:r>
      <w:r>
        <w:t xml:space="preserve"> </w:t>
      </w:r>
      <w:r>
        <w:t xml:space="preserve">thesis within the PCI/PME series.</w:t>
      </w:r>
    </w:p>
    <w:bookmarkEnd w:id="22"/>
    <w:bookmarkStart w:id="23" w:name="closing-remarks"/>
    <w:p>
      <w:pPr>
        <w:pStyle w:val="Heading3"/>
      </w:pPr>
      <w:r>
        <w:t xml:space="preserve">6.4 Closing remarks</w:t>
      </w:r>
    </w:p>
    <w:p>
      <w:pPr>
        <w:pStyle w:val="FirstParagraph"/>
      </w:pPr>
      <w:r>
        <w:t xml:space="preserve">The Paper 12 framework predicts that human-AI co-evolution occupies</w:t>
      </w:r>
      <w:r>
        <w:t xml:space="preserve"> </w:t>
      </w:r>
      <w:r>
        <w:t xml:space="preserve">a specific structural niche — not Singularity, not Decoupling, but a</w:t>
      </w:r>
      <w:r>
        <w:t xml:space="preserve"> </w:t>
      </w:r>
      <w:r>
        <w:rPr>
          <w:i/>
          <w:iCs/>
        </w:rPr>
        <w:t xml:space="preserve">gradual tear</w:t>
      </w:r>
      <w:r>
        <w:t xml:space="preserve"> </w:t>
      </w:r>
      <w:r>
        <w:t xml:space="preserve">in which both substrates accumulate topological</w:t>
      </w:r>
      <w:r>
        <w:t xml:space="preserve"> </w:t>
      </w:r>
      <w:r>
        <w:t xml:space="preserve">residue through NP-driven coherence adjustments, with cross-substrate</w:t>
      </w:r>
      <w:r>
        <w:t xml:space="preserve"> </w:t>
      </w:r>
      <w:r>
        <w:t xml:space="preserve">commensurability governed by a representation-theoretic hierarchy. The</w:t>
      </w:r>
      <w:r>
        <w:t xml:space="preserve"> </w:t>
      </w:r>
      <w:r>
        <w:t xml:space="preserve">framework is constructive: each of its five layers can be built on</w:t>
      </w:r>
      <w:r>
        <w:t xml:space="preserve"> </w:t>
      </w:r>
      <w:r>
        <w:t xml:space="preserve">existing results (Paper 9, Paper 4) and each can be tested with</w:t>
      </w:r>
      <w:r>
        <w:t xml:space="preserve"> </w:t>
      </w:r>
      <w:r>
        <w:t xml:space="preserve">identifiable experimental infrastructure. It is also falsifiable: if</w:t>
      </w:r>
      <w:r>
        <w:t xml:space="preserve"> </w:t>
      </w:r>
      <w:r>
        <w:t xml:space="preserve">the scar records do not commensurate, if the NP-firing predictions</w:t>
      </w:r>
      <w:r>
        <w:t xml:space="preserve"> </w:t>
      </w:r>
      <w:r>
        <w:t xml:space="preserve">are not visible in TMS-EEG time series, or if the audit-substrate</w:t>
      </w:r>
      <w:r>
        <w:t xml:space="preserve"> </w:t>
      </w:r>
      <w:r>
        <w:t xml:space="preserve">distinction fails in longitudinal human-AI collaboration, the</w:t>
      </w:r>
      <w:r>
        <w:t xml:space="preserve"> </w:t>
      </w:r>
      <w:r>
        <w:t xml:space="preserve">framework is falsified.</w:t>
      </w:r>
    </w:p>
    <w:p>
      <w:pPr>
        <w:pStyle w:val="BodyText"/>
      </w:pPr>
      <w:r>
        <w:t xml:space="preserve">Paper 12 is not the conclusion of the PCI/PME series. It is the</w:t>
      </w:r>
      <w:r>
        <w:t xml:space="preserve"> </w:t>
      </w:r>
      <w:r>
        <w:t xml:space="preserve">bridge section: between the linear-regime theory of Papers 9–10 and</w:t>
      </w:r>
      <w:r>
        <w:t xml:space="preserve"> </w:t>
      </w:r>
      <w:r>
        <w:t xml:space="preserve">the nonlinear / empirical program of Papers 11, 13+. Its specific</w:t>
      </w:r>
      <w:r>
        <w:t xml:space="preserve"> </w:t>
      </w:r>
      <w:r>
        <w:t xml:space="preserve">contribution is not a single theorem but 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— the projected-</w:t>
      </w:r>
      <w:r>
        <w:t xml:space="preserve"> </w:t>
      </w:r>
      <w:r>
        <w:t xml:space="preserve">gradient + NP-pump dynamics, the representation-theoretic scar</w:t>
      </w:r>
      <w:r>
        <w:t xml:space="preserve"> </w:t>
      </w:r>
      <w:r>
        <w:t xml:space="preserve">invariant, the commensurability hierarchy, the four-prediction</w:t>
      </w:r>
      <w:r>
        <w:t xml:space="preserve"> </w:t>
      </w:r>
      <w:r>
        <w:t xml:space="preserve">protocol suite, and the Fifth Paradigm contextualization — that</w:t>
      </w:r>
      <w:r>
        <w:t xml:space="preserve"> </w:t>
      </w:r>
      <w:r>
        <w:t xml:space="preserve">together allow the framework to be engaged with as an empirical</w:t>
      </w:r>
      <w:r>
        <w:t xml:space="preserve"> </w:t>
      </w:r>
      <w:r>
        <w:t xml:space="preserve">research program rather than a theoretical conjecture.</w:t>
      </w:r>
    </w:p>
    <w:p>
      <w:pPr>
        <w:pStyle w:val="BodyText"/>
      </w:pPr>
      <w:r>
        <w:t xml:space="preserve">Methodologically, the framework’s verification trail</w:t>
      </w:r>
      <w:r>
        <w:t xml:space="preserve"> </w:t>
      </w:r>
      <w:r>
        <w:rPr>
          <w:i/>
          <w:iCs/>
        </w:rPr>
        <w:t xml:space="preserve">exemplifies</w:t>
      </w:r>
      <w:r>
        <w:t xml:space="preserve"> </w:t>
      </w:r>
      <w:r>
        <w:t xml:space="preserve">the audit-substrate principle that Pillar 3 names:</w:t>
      </w:r>
    </w:p>
    <w:p>
      <w:pPr>
        <w:pStyle w:val="Compact"/>
        <w:numPr>
          <w:ilvl w:val="0"/>
          <w:numId w:val="1003"/>
        </w:numPr>
      </w:pPr>
      <w:r>
        <w:t xml:space="preserve">Paper 9 v1.3.3 verified at 50-digit precision via Φ and at machine</w:t>
      </w:r>
      <w:r>
        <w:t xml:space="preserve"> </w:t>
      </w:r>
      <w:r>
        <w:t xml:space="preserve">precision via the Q4/Q5 audits of 2026-05-06.</w:t>
      </w:r>
    </w:p>
    <w:p>
      <w:pPr>
        <w:pStyle w:val="Compact"/>
        <w:numPr>
          <w:ilvl w:val="0"/>
          <w:numId w:val="1003"/>
        </w:numPr>
      </w:pPr>
      <w:r>
        <w:t xml:space="preserve">Paper 12 §3+§4 passed three Model Council adversarial reviews (Opus</w:t>
      </w:r>
      <w:r>
        <w:t xml:space="preserve"> </w:t>
      </w:r>
      <w:r>
        <w:t xml:space="preserve">4.7, GPT-5.5, Gemini 3.1 Pro) with a MAJOR → MINOR transition after</w:t>
      </w:r>
      <w:r>
        <w:t xml:space="preserve"> </w:t>
      </w:r>
      <w:r>
        <w:t xml:space="preserve">rigor pass and STRONG_ACCEPT on synthesis. §5+§6 likewise cleared at</w:t>
      </w:r>
      <w:r>
        <w:t xml:space="preserve"> </w:t>
      </w:r>
      <w:r>
        <w:t xml:space="preserve">MINOR_REVISIONS / STRONG_ACCEPT.</w:t>
      </w:r>
    </w:p>
    <w:p>
      <w:pPr>
        <w:pStyle w:val="Compact"/>
        <w:numPr>
          <w:ilvl w:val="0"/>
          <w:numId w:val="1003"/>
        </w:numPr>
      </w:pPr>
      <w:r>
        <w:t xml:space="preserve">All material is git-versioned with cryptographic commit hashes,</w:t>
      </w:r>
      <w:r>
        <w:t xml:space="preserve"> </w:t>
      </w:r>
      <w:r>
        <w:t xml:space="preserve">tagged at release points (</w:t>
      </w:r>
      <w:r>
        <w:rPr>
          <w:rStyle w:val="VerbatimChar"/>
        </w:rPr>
        <w:t xml:space="preserve">paper9-v1.3.2-zenodo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paper9-v1.3.3-errata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paper12-v2-rigor-pass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paper12-v3-body-complete</w:t>
      </w:r>
      <w:r>
        <w:t xml:space="preserve">), and published at</w:t>
      </w:r>
      <w:r>
        <w:t xml:space="preserve"> </w:t>
      </w:r>
      <w:r>
        <w:rPr>
          <w:rStyle w:val="VerbatimChar"/>
        </w:rPr>
        <w:t xml:space="preserve">github.com/MartinLGraise/PCI-Framework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.</w:t>
      </w:r>
    </w:p>
    <w:p>
      <w:pPr>
        <w:pStyle w:val="FirstParagraph"/>
      </w:pPr>
      <w:r>
        <w:t xml:space="preserve">This persistent, cryptographically-ordered event stream of the</w:t>
      </w:r>
      <w:r>
        <w:t xml:space="preserve"> </w:t>
      </w:r>
      <w:r>
        <w:t xml:space="preserve">framework’s own development is offered as a</w:t>
      </w:r>
      <w:r>
        <w:t xml:space="preserve"> </w:t>
      </w:r>
      <w:r>
        <w:rPr>
          <w:i/>
          <w:iCs/>
        </w:rPr>
        <w:t xml:space="preserve">methodological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illustration</w:t>
      </w:r>
      <w:r>
        <w:t xml:space="preserve"> </w:t>
      </w:r>
      <w:r>
        <w:t xml:space="preserve">of what Pillar 3 / OP9 names — not a claim that the</w:t>
      </w:r>
      <w:r>
        <w:t xml:space="preserve"> </w:t>
      </w:r>
      <w:r>
        <w:t xml:space="preserve">gradual-tear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of §3 applies to the writing of this paper.</w:t>
      </w:r>
      <w:r>
        <w:t xml:space="preserve"> </w:t>
      </w:r>
      <w:r>
        <w:t xml:space="preserve">The illustration is operational, not theoretical.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ferences-cited-in-6"/>
    <w:p>
      <w:pPr>
        <w:pStyle w:val="Heading2"/>
      </w:pPr>
      <w:r>
        <w:t xml:space="preserve">References (cited in §6)</w:t>
      </w:r>
    </w:p>
    <w:p>
      <w:pPr>
        <w:pStyle w:val="FirstParagraph"/>
      </w:pPr>
      <w:r>
        <w:rPr>
          <w:i/>
          <w:iCs/>
        </w:rPr>
        <w:t xml:space="preserve">No new references introduced in §6.</w:t>
      </w:r>
      <w:r>
        <w:t xml:space="preserve"> </w:t>
      </w:r>
      <w:r>
        <w:t xml:space="preserve">All references are to the</w:t>
      </w:r>
      <w:r>
        <w:t xml:space="preserve"> </w:t>
      </w:r>
      <w:r>
        <w:t xml:space="preserve">cross-references enumerated in §3–§5 (Paper 4, Paper 7, Paper 9 v1.3.3,</w:t>
      </w:r>
      <w:r>
        <w:t xml:space="preserve"> </w:t>
      </w:r>
      <w:r>
        <w:t xml:space="preserve">Paper 10; Licklider 1960, Casali 2013, Bostock-Kim-Patel 2025; di</w:t>
      </w:r>
      <w:r>
        <w:t xml:space="preserve"> </w:t>
      </w:r>
      <w:r>
        <w:t xml:space="preserve">Bernardo 2008, Filippov 1988, Goebel-Sanfelice-Teel 2012, Clarke 1990,</w:t>
      </w:r>
      <w:r>
        <w:t xml:space="preserve"> </w:t>
      </w:r>
      <w:r>
        <w:t xml:space="preserve">Costa-Pavone, ATLAS, Serre 1977).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v2 (2026-05-06 ~13:25 PDT): Phase-2 polish. Section reorder</w:t>
      </w:r>
      <w:r>
        <w:t xml:space="preserve"> </w:t>
      </w:r>
      <w:r>
        <w:t xml:space="preserve">(contribution → open problems → scope → close). OP1 sharpened with</w:t>
      </w:r>
      <w:r>
        <w:t xml:space="preserve"> </w:t>
      </w:r>
      <w:r>
        <w:t xml:space="preserve">explicit</w:t>
      </w:r>
      <w:r>
        <w:t xml:space="preserve"> </w:t>
      </w:r>
      <m:oMath>
        <m:r>
          <m:t>η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correction-term construction-</w:t>
      </w:r>
      <w:r>
        <w:t xml:space="preserve"> </w:t>
      </w:r>
      <w:r>
        <w:t xml:space="preserve">question. §6.4 closing reach downgraded to</w:t>
      </w:r>
      <w:r>
        <w:t xml:space="preserve"> </w:t>
      </w:r>
      <w:r>
        <w:t xml:space="preserve">“</w:t>
      </w:r>
      <w:r>
        <w:t xml:space="preserve">exemplifies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methodological illustration</w:t>
      </w:r>
      <w:r>
        <w:t xml:space="preserve">”</w:t>
      </w:r>
      <w:r>
        <w:t xml:space="preserve"> </w:t>
      </w:r>
      <w:r>
        <w:t xml:space="preserve">with explicit non-claim that</w:t>
      </w:r>
      <w:r>
        <w:t xml:space="preserve"> </w:t>
      </w:r>
      <w:r>
        <w:t xml:space="preserve">gradual-tear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applies to the paper’s own writing.</w:t>
      </w:r>
      <w:r>
        <w:t xml:space="preserve"> </w:t>
      </w:r>
      <w:r>
        <w:t xml:space="preserve">Pillar-delivery control-material removed; integrated into §6.1.</w:t>
      </w:r>
      <w:r>
        <w:t xml:space="preserve"> </w:t>
      </w:r>
      <w:r>
        <w:t xml:space="preserve">- v1 (2026-05-06 ~03:20 PDT): First complete draft. OP1–OP9 consolidated</w:t>
      </w:r>
      <w:r>
        <w:t xml:space="preserve"> </w:t>
      </w:r>
      <w:r>
        <w:t xml:space="preserve">from §3, §4, §5 open questions.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2026-05-06T20:15:33Z</dcterms:created>
  <dcterms:modified xsi:type="dcterms:W3CDTF">2026-05-06T20:15:33Z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