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Calibri" w:cs="Calibri" w:eastAsia="Calibri" w:hAnsi="Calibri"/>
          <w:b/>
          <w:bCs/>
          <w:sz w:val="32"/>
          <w:szCs w:val="32"/>
        </w:rPr>
        <w:t xml:space="preserve">Quantum Bayesianism and G₂ Consciousness Geometry:</w:t>
      </w:r>
    </w:p>
    <w:p>
      <w:pPr>
        <w:spacing w:after="600"/>
        <w:jc w:val="center"/>
      </w:pPr>
      <w:r>
        <w:rPr>
          <w:rFonts w:ascii="Calibri" w:cs="Calibri" w:eastAsia="Calibri" w:hAnsi="Calibri"/>
          <w:b/>
          <w:bCs/>
          <w:sz w:val="32"/>
          <w:szCs w:val="32"/>
        </w:rPr>
        <w:t xml:space="preserve">A Structural Bridge via the Fano Automorphism Group PSL(2,7)</w:t>
      </w:r>
    </w:p>
    <w:p>
      <w:pPr>
        <w:spacing w:after="120"/>
        <w:jc w:val="center"/>
      </w:pPr>
      <w:r>
        <w:rPr>
          <w:rFonts w:ascii="Calibri" w:cs="Calibri" w:eastAsia="Calibri" w:hAnsi="Calibri"/>
          <w:b/>
          <w:bCs/>
          <w:sz w:val="28"/>
          <w:szCs w:val="28"/>
        </w:rPr>
        <w:t xml:space="preserve">Martin Luther Graise</w:t>
      </w:r>
    </w:p>
    <w:p>
      <w:pPr>
        <w:spacing w:after="80"/>
        <w:jc w:val="center"/>
      </w:pPr>
      <w:r>
        <w:rPr>
          <w:rFonts w:ascii="Calibri" w:cs="Calibri" w:eastAsia="Calibri" w:hAnsi="Calibri"/>
          <w:i/>
          <w:iCs/>
          <w:sz w:val="22"/>
          <w:szCs w:val="22"/>
        </w:rPr>
        <w:t xml:space="preserve">Independent Researcher, PCI / PME Framework</w:t>
      </w:r>
    </w:p>
    <w:p>
      <w:pPr>
        <w:spacing w:after="80"/>
        <w:jc w:val="center"/>
      </w:pPr>
      <w:r>
        <w:rPr>
          <w:rFonts w:ascii="Calibri" w:cs="Calibri" w:eastAsia="Calibri" w:hAnsi="Calibri"/>
          <w:sz w:val="22"/>
          <w:szCs w:val="22"/>
        </w:rPr>
        <w:t xml:space="preserve">margraise1000@icloud.com</w:t>
      </w:r>
    </w:p>
    <w:p>
      <w:pPr>
        <w:spacing w:after="80"/>
        <w:jc w:val="center"/>
      </w:pPr>
      <w:r>
        <w:rPr>
          <w:rFonts w:ascii="Calibri" w:cs="Calibri" w:eastAsia="Calibri" w:hAnsi="Calibri"/>
          <w:sz w:val="22"/>
          <w:szCs w:val="22"/>
        </w:rPr>
        <w:t xml:space="preserve">ORCID: 0009-0006-8003-3938</w:t>
      </w:r>
    </w:p>
    <w:p>
      <w:pPr>
        <w:spacing w:after="600"/>
        <w:jc w:val="center"/>
      </w:pPr>
      <w:r>
        <w:rPr>
          <w:rFonts w:ascii="Calibri" w:cs="Calibri" w:eastAsia="Calibri" w:hAnsi="Calibri"/>
          <w:sz w:val="22"/>
          <w:szCs w:val="22"/>
        </w:rPr>
        <w:t xml:space="preserve">April 16, 2026</w:t>
      </w:r>
    </w:p>
    <w:p>
      <w:r>
        <w:br w:type="page"/>
      </w:r>
    </w:p>
    <w:p>
      <w:pPr>
        <w:pStyle w:val="Heading1"/>
        <w:spacing w:after="140" w:before="280"/>
      </w:pPr>
      <w:r>
        <w:rPr>
          <w:rFonts w:ascii="Calibri" w:cs="Calibri" w:eastAsia="Calibri" w:hAnsi="Calibri"/>
          <w:b/>
          <w:bCs/>
          <w:sz w:val="26"/>
          <w:szCs w:val="26"/>
        </w:rPr>
        <w:t xml:space="preserve">Abstract</w:t>
      </w:r>
    </w:p>
    <w:p>
      <w:pPr>
        <w:spacing w:after="120" w:line="300"/>
        <w:jc w:val="both"/>
      </w:pPr>
      <w:r>
        <w:rPr>
          <w:rFonts w:ascii="Calibri" w:cs="Calibri" w:eastAsia="Calibri" w:hAnsi="Calibri"/>
          <w:sz w:val="22"/>
          <w:szCs w:val="22"/>
        </w:rPr>
        <w:t xml:space="preserve">Quantum Bayesianism (QBism) treats the Born rule as a normative coherence constraint on an agent using symmetric informationally complete positive-operator-valued measures (SIC-POVMs), while the Patterned Coherence through Irreducibility (PCI)</w:t>
      </w:r>
      <w:r>
        <w:rPr>
          <w:rStyle w:val="FootnoteReference"/>
          <w:rFonts w:ascii="Calibri" w:cs="Calibri" w:eastAsia="Calibri" w:hAnsi="Calibri"/>
          <w:sz w:val="22"/>
          <w:szCs w:val="22"/>
        </w:rPr>
        <w:footnoteReference w:id="1"/>
      </w:r>
      <w:r>
        <w:rPr>
          <w:rFonts w:ascii="Calibri" w:cs="Calibri" w:eastAsia="Calibri" w:hAnsi="Calibri"/>
          <w:sz w:val="22"/>
          <w:szCs w:val="22"/>
        </w:rPr>
        <w:t xml:space="preserve"> framework proposes that conscious information processing is constrained by the exceptional Lie group G₂. These two agent-centric programs have developed independently, in quantum foundations and in consciousness geometry, with no prior dialogue between them. This paper establishes a mathematical bridge between them through PSL(2,7), the automorphism group of the Fano plane. The main result is that PSL(2,7) ≅ GL(3,ℤ₂) acts on the eight cosets of the Frobenius group F₂₁ = ℤ₇ ⋊ ℤ₃, where F₂₁ is the common subgroup that simultaneously (i) preserves the Weyl–Heisenberg structure underlying d = 7 SIC-POVMs and (ii) preserves the G₂ associative 3-form. The coset space PSL(2,7) / F₂₁ has cardinality 8 = dim SU(3), matching the quotient G₂ / SU(3) = S⁶ on which PCI places its Fisher–Rao dynamics. The order-3 unitaries identified by Samuel and Gedik (2024) in every d = 7 SIC symmetry group are exactly the ℤ₃ generators of F₂₁. Theorem 4.3 (the PSL(2,7)/F₂₁ bridge) is the primary mathematical contribution of the paper. Sections 5 and 6 identify six structural parallels between QBism and PCI and connect both frameworks to the principal-bundle geometry of qualia of Oizumi, Lim, and Kanai (2025); these are proposed observations and speculative extensions, not established results, and are clearly labeled as such. Throughout, every non-trivial claim is labeled as theorem, observation, hypothesis, or conjecture.</w:t>
      </w:r>
    </w:p>
    <w:p>
      <w:pPr>
        <w:pStyle w:val="Heading1"/>
        <w:spacing w:after="140" w:before="280"/>
      </w:pPr>
      <w:r>
        <w:rPr>
          <w:rFonts w:ascii="Calibri" w:cs="Calibri" w:eastAsia="Calibri" w:hAnsi="Calibri"/>
          <w:b/>
          <w:bCs/>
          <w:sz w:val="26"/>
          <w:szCs w:val="26"/>
        </w:rPr>
        <w:t xml:space="preserve">1. Introduction</w:t>
      </w:r>
    </w:p>
    <w:p>
      <w:pPr>
        <w:pStyle w:val="Heading2"/>
        <w:spacing w:after="100" w:before="200"/>
      </w:pPr>
      <w:r>
        <w:rPr>
          <w:rFonts w:ascii="Calibri" w:cs="Calibri" w:eastAsia="Calibri" w:hAnsi="Calibri"/>
          <w:b/>
          <w:bCs/>
          <w:sz w:val="24"/>
          <w:szCs w:val="24"/>
        </w:rPr>
        <w:t xml:space="preserve">1.1 Two agent-centric programs</w:t>
      </w:r>
    </w:p>
    <w:p>
      <w:pPr>
        <w:spacing w:after="120" w:line="300"/>
        <w:jc w:val="both"/>
      </w:pPr>
      <w:r>
        <w:rPr>
          <w:rFonts w:ascii="Calibri" w:cs="Calibri" w:eastAsia="Calibri" w:hAnsi="Calibri"/>
          <w:sz w:val="22"/>
          <w:szCs w:val="22"/>
        </w:rPr>
        <w:t xml:space="preserve">Two programs developed over the last two decades insist that physics and cognition cannot be adequately described without explicit reference to an agent. In quantum foundations, QBism [6] interprets a quantum state as the degrees of belief that an agent assigns to the outcomes of measurements they might make, and reads the Born rule as a normative coherence constraint analogous to, but stronger than, classical Dutch-book coherence [4]. In consciousness geometry, the PCI framework [7, 8, 9] proposes that an observer’s coherent information processing is constrained by the exceptional Lie group G₂, with a seven-dimensional daemon state space and a spectral family whose frequencies satisfy an algebraically forced sum rule. PCI is a developing framework proposed by the present author (Graise, 2026a,b,c); the Zenodo preprints have not yet undergone journal peer review, though Paper 1 is currently under review at Neuroscience of Consciousness.</w:t>
      </w:r>
    </w:p>
    <w:p>
      <w:pPr>
        <w:spacing w:after="120" w:line="300"/>
        <w:jc w:val="both"/>
      </w:pPr>
      <w:r>
        <w:rPr>
          <w:rFonts w:ascii="Calibri" w:cs="Calibri" w:eastAsia="Calibri" w:hAnsi="Calibri"/>
          <w:sz w:val="22"/>
          <w:szCs w:val="22"/>
        </w:rPr>
        <w:t xml:space="preserve">Both programs treat the observer as a first-class object of theory. Both elevate coherence — probabilistic coherence in one case, geometric coherence in the other — to foundational status. And both work most naturally in dimension seven: QBism because the d = 7 SIC-POVM gives 49 measurement outcomes that form a basis for gl(7,ℂ), and PCI because G₂ acts irreducibly on ℝ⁷ with a torsion decomposition totalling 49 dimensions.</w:t>
      </w:r>
    </w:p>
    <w:p>
      <w:pPr>
        <w:pStyle w:val="Heading2"/>
        <w:spacing w:after="100" w:before="200"/>
      </w:pPr>
      <w:r>
        <w:rPr>
          <w:rFonts w:ascii="Calibri" w:cs="Calibri" w:eastAsia="Calibri" w:hAnsi="Calibri"/>
          <w:b/>
          <w:bCs/>
          <w:sz w:val="24"/>
          <w:szCs w:val="24"/>
        </w:rPr>
        <w:t xml:space="preserve">1.2 Why compare them</w:t>
      </w:r>
    </w:p>
    <w:p>
      <w:pPr>
        <w:spacing w:after="120" w:line="300"/>
        <w:jc w:val="both"/>
      </w:pPr>
      <w:r>
        <w:rPr>
          <w:rFonts w:ascii="Calibri" w:cs="Calibri" w:eastAsia="Calibri" w:hAnsi="Calibri"/>
          <w:sz w:val="22"/>
          <w:szCs w:val="22"/>
        </w:rPr>
        <w:t xml:space="preserve">Despite these structural resemblances, the two programs are disjoint in the literature. QBism emerged from the Perimeter Institute’s quantum-foundations community and is developed through SIC-POVM algebra and probability theory. PCI emerged from consciousness studies and is developed through exceptional Lie theory, G₂ geometry, and biological resonance data. There are no cross-citations, no shared authors, and no prior attempt to relate them. The numerical coincidences — 49 = 7² on both sides, a common appearance of the Fano plane, a shared reliance on seven — are striking enough that the absence of a mathematical bridge is itself an invitation to construct one.</w:t>
      </w:r>
    </w:p>
    <w:p>
      <w:pPr>
        <w:pStyle w:val="Heading2"/>
        <w:spacing w:after="100" w:before="200"/>
      </w:pPr>
      <w:r>
        <w:rPr>
          <w:rFonts w:ascii="Calibri" w:cs="Calibri" w:eastAsia="Calibri" w:hAnsi="Calibri"/>
          <w:b/>
          <w:bCs/>
          <w:sz w:val="24"/>
          <w:szCs w:val="24"/>
        </w:rPr>
        <w:t xml:space="preserve">1.3 The main claim</w:t>
      </w:r>
    </w:p>
    <w:p>
      <w:pPr>
        <w:spacing w:after="120" w:line="300"/>
        <w:jc w:val="both"/>
      </w:pPr>
      <w:r>
        <w:rPr>
          <w:rFonts w:ascii="Calibri" w:cs="Calibri" w:eastAsia="Calibri" w:hAnsi="Calibri"/>
          <w:sz w:val="22"/>
          <w:szCs w:val="22"/>
        </w:rPr>
        <w:t xml:space="preserve">The punchline, stated here up front and justified in Section 4, is the following. The automorphism group of the Fano plane is PSL(2,7), a simple group of order 168 that is isomorphic to GL(3,ℤ₂). Inside PSL(2,7), the Frobenius group F₂₁ = ℤ₇ ⋊ ℤ₃ of order 21 plays a distinguished role: on the G₂ side, F₂₁ is exactly the intersection S₇ ∩ G₂ and preserves the orientation of the seven Fano lines, i.e. the G₂ associative 3-form; on the SIC side, F₂₁ contains the order-3 unitaries that Samuel and Gedik [15] identified in every symmetry group of every known d = 7 SIC, acting compatibly with the Weyl–Heisenberg covariance group. The left-coset space PSL(2,7) / F₂₁ has cardinality exactly 8, matching dim SU(3) = 8 and the dimension of the nearly Kähler sphere G₂ / SU(3) = S⁶ on which PCI places its dynamics. The bridge between QBism and PCI is therefore not a decomposition “147 + 21 = 168” (which fails by Lagrange’s theorem, since 147 does not divide 168) but a group action: PSL(2,7) acts on the Weyl–Heisenberg symmetry group WH(7) by conjugation via the Clifford normalizer, and F₂₁ is the stabilizer of the simultaneous SIC–G₂ structure.</w:t>
      </w:r>
    </w:p>
    <w:p>
      <w:pPr>
        <w:pStyle w:val="Heading2"/>
        <w:spacing w:after="100" w:before="200"/>
      </w:pPr>
      <w:r>
        <w:rPr>
          <w:rFonts w:ascii="Calibri" w:cs="Calibri" w:eastAsia="Calibri" w:hAnsi="Calibri"/>
          <w:b/>
          <w:bCs/>
          <w:sz w:val="24"/>
          <w:szCs w:val="24"/>
        </w:rPr>
        <w:t xml:space="preserve">1.4 Plan of the paper</w:t>
      </w:r>
    </w:p>
    <w:p>
      <w:pPr>
        <w:spacing w:after="120" w:line="300"/>
        <w:jc w:val="both"/>
      </w:pPr>
      <w:r>
        <w:rPr>
          <w:rFonts w:ascii="Calibri" w:cs="Calibri" w:eastAsia="Calibri" w:hAnsi="Calibri"/>
          <w:sz w:val="22"/>
          <w:szCs w:val="22"/>
        </w:rPr>
        <w:t xml:space="preserve">Section 2 reviews the QBism side: the urgleichung, SIC-POVMs as a Lie-algebra basis following Appleby, Flammia, and Fuchs [1], and Weyl–Heisenberg covariance at d = 7. Section 3 reviews the PCI side: the G₂ daemon Hamiltonian, the torsion decomposition of dimension 49, the spectral sum theorem, and the MX-6 invariant from the Fisher–Rao metric on the seven-outcome simplex. Section 4 states and justifies the main theorem on PSL(2,7). Section 5 enumerates six structural parallels. Section 6 discusses testable consequences and limitations; Section 6.6 contains a speculative extension to the principal-bundle geometry of Oizumi, Lim, and Kanai [14]. Section 7 concludes. Throughout, every non-trivial claim is labeled as a theorem, observation, hypothesis, or conjecture.</w:t>
      </w:r>
    </w:p>
    <w:p>
      <w:pPr>
        <w:spacing w:after="120" w:line="300"/>
        <w:jc w:val="both"/>
      </w:pPr>
      <w:r>
        <w:rPr>
          <w:rFonts w:ascii="Calibri" w:cs="Calibri" w:eastAsia="Calibri" w:hAnsi="Calibri"/>
          <w:sz w:val="22"/>
          <w:szCs w:val="22"/>
        </w:rPr>
        <w:t xml:space="preserve">The paper is written to be accessible to two audiences with almost no overlap: researchers in quantum foundations who know SIC-POVMs but have not encountered G₂ geometry, and researchers in consciousness studies who know exceptional Lie theory or IIT-style formalism but have not encountered the urgleichung. We have included enough background in Sections 2 and 3 that each audience should be able to follow the main result in Section 4 without consulting the primary literature, while readers already familiar with one side can skim the corresponding review section and focus on the bridge.</w:t>
      </w:r>
    </w:p>
    <w:p>
      <w:pPr>
        <w:pStyle w:val="Heading1"/>
        <w:spacing w:after="140" w:before="280"/>
      </w:pPr>
      <w:r>
        <w:rPr>
          <w:rFonts w:ascii="Calibri" w:cs="Calibri" w:eastAsia="Calibri" w:hAnsi="Calibri"/>
          <w:b/>
          <w:bCs/>
          <w:sz w:val="26"/>
          <w:szCs w:val="26"/>
        </w:rPr>
        <w:t xml:space="preserve">2. QBism’s Born Rule and the SIC-POVM Framework</w:t>
      </w:r>
    </w:p>
    <w:p>
      <w:pPr>
        <w:pStyle w:val="Heading2"/>
        <w:spacing w:after="100" w:before="200"/>
      </w:pPr>
      <w:r>
        <w:rPr>
          <w:rFonts w:ascii="Calibri" w:cs="Calibri" w:eastAsia="Calibri" w:hAnsi="Calibri"/>
          <w:b/>
          <w:bCs/>
          <w:sz w:val="24"/>
          <w:szCs w:val="24"/>
        </w:rPr>
        <w:t xml:space="preserve">2.1 The urgleichung</w:t>
      </w:r>
    </w:p>
    <w:p>
      <w:pPr>
        <w:spacing w:after="120" w:line="300"/>
        <w:jc w:val="both"/>
      </w:pPr>
      <w:r>
        <w:rPr>
          <w:rFonts w:ascii="Calibri" w:cs="Calibri" w:eastAsia="Calibri" w:hAnsi="Calibri"/>
          <w:sz w:val="22"/>
          <w:szCs w:val="22"/>
        </w:rPr>
        <w:t xml:space="preserve">In standard quantum mechanics the Born rule is stated as P(j) = |⟨j|ψ⟩|² for an eigenstate |j⟩ of the measured observable. QBism rewrites the rule so that it no longer refers to Hilbert-space vectors, only to probabilities. Let {Hᵢ} be a symmetric informationally complete POVM (SIC) in dimension d, so that each element is a rank-one projector weighted by 1/d, and the pairwise Hilbert–Schmidt inner products are the same off-diagonal constant. For any other POVM {Dⱼ}, the Born rule can be expressed as</w:t>
      </w:r>
    </w:p>
    <w:p>
      <w:pPr>
        <w:spacing w:after="120" w:before="120"/>
        <w:jc w:val="center"/>
      </w:pPr>
      <w:r>
        <w:rPr>
          <w:rFonts w:ascii="Cambria Math" w:cs="Cambria Math" w:eastAsia="Cambria Math" w:hAnsi="Cambria Math"/>
          <w:i/>
          <w:iCs/>
          <w:sz w:val="22"/>
          <w:szCs w:val="22"/>
        </w:rPr>
        <w:t xml:space="preserve">Q(Dⱼ) = Σᵢ [(d + 1) P(Hᵢ) − 1/d] P(Dⱼ | Hᵢ),</w:t>
      </w:r>
    </w:p>
    <w:p>
      <w:pPr>
        <w:spacing w:after="120" w:line="300"/>
        <w:jc w:val="both"/>
      </w:pPr>
      <w:r>
        <w:rPr>
          <w:rFonts w:ascii="Calibri" w:cs="Calibri" w:eastAsia="Calibri" w:hAnsi="Calibri"/>
          <w:sz w:val="22"/>
          <w:szCs w:val="22"/>
        </w:rPr>
        <w:t xml:space="preserve">where P(Hᵢ) is the agent’s prior probability for the SIC outcome Hᵢ and P(Dⱼ | Hᵢ) is the conditional probability they would assign to Dⱼ after a hypothetical SIC measurement yielded Hᵢ. Equation (1) is the QBist urgleichung. It says that the Born rule is a relation between probability distributions, not a relation between a wave-function and an operator.</w:t>
      </w:r>
    </w:p>
    <w:p>
      <w:pPr>
        <w:spacing w:after="120" w:line="300"/>
        <w:jc w:val="both"/>
      </w:pPr>
      <w:r>
        <w:rPr>
          <w:rFonts w:ascii="Calibri" w:cs="Calibri" w:eastAsia="Calibri" w:hAnsi="Calibri"/>
          <w:sz w:val="22"/>
          <w:szCs w:val="22"/>
        </w:rPr>
        <w:t xml:space="preserve">DeBrota, Fuchs, and Stacey [4] give this equation its normative teeth. An agent whose probability assignments violate the urgleichung is exploitable in a book of quantum gambles: a Dutch-book argument identical in form to the classical one, but using SIC outcomes rather than classical states as the reference frame, produces a sure loss. Coherence — the impossibility of being Dutch-booked — is therefore the Bayesian justification for the Born rule.</w:t>
      </w:r>
    </w:p>
    <w:p>
      <w:pPr>
        <w:pStyle w:val="Heading2"/>
        <w:spacing w:after="100" w:before="200"/>
      </w:pPr>
      <w:r>
        <w:rPr>
          <w:rFonts w:ascii="Calibri" w:cs="Calibri" w:eastAsia="Calibri" w:hAnsi="Calibri"/>
          <w:b/>
          <w:bCs/>
          <w:sz w:val="24"/>
          <w:szCs w:val="24"/>
        </w:rPr>
        <w:t xml:space="preserve">2.2 SIC-POVMs as a Lie-algebra basis</w:t>
      </w:r>
    </w:p>
    <w:p>
      <w:pPr>
        <w:spacing w:after="120" w:line="300"/>
        <w:jc w:val="both"/>
      </w:pPr>
      <w:r>
        <w:rPr>
          <w:rFonts w:ascii="Calibri" w:cs="Calibri" w:eastAsia="Calibri" w:hAnsi="Calibri"/>
          <w:sz w:val="22"/>
          <w:szCs w:val="22"/>
        </w:rPr>
        <w:t xml:space="preserve">Appleby, Flammia, and Fuchs [1] show that the d² SIC elements, viewed as operators, span the complex Lie algebra gl(d, ℂ). The structure of the algebra is encoded in the triple products</w:t>
      </w:r>
    </w:p>
    <w:p>
      <w:pPr>
        <w:spacing w:after="120" w:before="120"/>
        <w:jc w:val="center"/>
      </w:pPr>
      <w:r>
        <w:rPr>
          <w:rFonts w:ascii="Cambria Math" w:cs="Cambria Math" w:eastAsia="Cambria Math" w:hAnsi="Cambria Math"/>
          <w:i/>
          <w:iCs/>
          <w:sz w:val="22"/>
          <w:szCs w:val="22"/>
        </w:rPr>
        <w:t xml:space="preserve">Tᵢⱼₖ = tr(Πᵢ Πⱼ Πₖ),</w:t>
      </w:r>
    </w:p>
    <w:p>
      <w:pPr>
        <w:spacing w:after="120" w:line="300"/>
        <w:jc w:val="both"/>
      </w:pPr>
      <w:r>
        <w:rPr>
          <w:rFonts w:ascii="Calibri" w:cs="Calibri" w:eastAsia="Calibri" w:hAnsi="Calibri"/>
          <w:sz w:val="22"/>
          <w:szCs w:val="22"/>
        </w:rPr>
        <w:t xml:space="preserve">where Πᵢ is the i-th SIC element. These triple products determine the SIC up to unitary equivalence. For d = 7, there are 49 SIC elements, and they give a basis of gl(7, ℂ), whose complex dimension is also 49. Every linear operator on ℂ⁷ — including every Hamiltonian, every density matrix, and every element of g₂ ⊂ gl(7, ℂ) — can be expanded as a linear combination of the 49 SIC projectors. This is the purely algebraic face of the SIC: it is simultaneously a measurement and a frame for operators.</w:t>
      </w:r>
    </w:p>
    <w:p>
      <w:pPr>
        <w:pStyle w:val="Heading2"/>
        <w:spacing w:after="100" w:before="200"/>
      </w:pPr>
      <w:r>
        <w:rPr>
          <w:rFonts w:ascii="Calibri" w:cs="Calibri" w:eastAsia="Calibri" w:hAnsi="Calibri"/>
          <w:b/>
          <w:bCs/>
          <w:sz w:val="24"/>
          <w:szCs w:val="24"/>
        </w:rPr>
        <w:t xml:space="preserve">2.3 Weyl–Heisenberg covariance at d = 7</w:t>
      </w:r>
    </w:p>
    <w:p>
      <w:pPr>
        <w:spacing w:after="120" w:line="300"/>
        <w:jc w:val="both"/>
      </w:pPr>
      <w:r>
        <w:rPr>
          <w:rFonts w:ascii="Calibri" w:cs="Calibri" w:eastAsia="Calibri" w:hAnsi="Calibri"/>
          <w:sz w:val="22"/>
          <w:szCs w:val="22"/>
        </w:rPr>
        <w:t xml:space="preserve">All known SICs in finite dimension, with the exception of the Hoggar SIC at d = 8, are covariant under the Weyl–Heisenberg displacement group. For a prime dimension d, this group has order d² (before quotienting by the center) and can be generated from a single fiducial vector |ψ⟩ by the action of the shift and clock operators</w:t>
      </w:r>
    </w:p>
    <w:p>
      <w:pPr>
        <w:spacing w:after="120" w:before="120"/>
        <w:jc w:val="center"/>
      </w:pPr>
      <w:r>
        <w:rPr>
          <w:rFonts w:ascii="Cambria Math" w:cs="Cambria Math" w:eastAsia="Cambria Math" w:hAnsi="Cambria Math"/>
          <w:i/>
          <w:iCs/>
          <w:sz w:val="22"/>
          <w:szCs w:val="22"/>
        </w:rPr>
        <w:t xml:space="preserve">X |k⟩ = |k + 1 mod d⟩,   Z |k⟩ = ωᵏ |k⟩,   ω = exp(2πi / d).</w:t>
      </w:r>
    </w:p>
    <w:p>
      <w:pPr>
        <w:spacing w:after="120" w:line="300"/>
        <w:jc w:val="both"/>
      </w:pPr>
      <w:r>
        <w:rPr>
          <w:rFonts w:ascii="Calibri" w:cs="Calibri" w:eastAsia="Calibri" w:hAnsi="Calibri"/>
          <w:sz w:val="22"/>
          <w:szCs w:val="22"/>
        </w:rPr>
        <w:t xml:space="preserve">Samuel and Gedik [15] classify the full symmetry groups of all known SIC fiducials and show that in every case the group contains a subgroup of order 3d² generated by the Weyl–Heisenberg displacements together with an order-3 Clifford unitary. For d = 7 this subgroup has order 3 × 49 = 147. Crucially, Samuel and Gedik also show that the order-3 generator is common to every d = 7 SIC symmetry group in their classification: it is a structural invariant of the d = 7 case, not a feature of one fiducial.</w:t>
      </w:r>
    </w:p>
    <w:p>
      <w:pPr>
        <w:spacing w:after="120" w:line="300"/>
        <w:jc w:val="both"/>
      </w:pPr>
      <w:r>
        <w:rPr>
          <w:rFonts w:ascii="Calibri" w:cs="Calibri" w:eastAsia="Calibri" w:hAnsi="Calibri"/>
          <w:sz w:val="22"/>
          <w:szCs w:val="22"/>
        </w:rPr>
        <w:t xml:space="preserve">Observation 2.1. The order-3 Clifford unitary identified by Samuel and Gedik, together with the cyclic shift of order seven inside the Weyl–Heisenberg group, generates a subgroup isomorphic to F₂₁ = ℤ₇ ⋊ ℤ₃. This observation is the first half of the bridge to G₂; we return to it in Section 4.</w:t>
      </w:r>
    </w:p>
    <w:p>
      <w:pPr>
        <w:pStyle w:val="Heading2"/>
        <w:spacing w:after="100" w:before="200"/>
      </w:pPr>
      <w:r>
        <w:rPr>
          <w:rFonts w:ascii="Calibri" w:cs="Calibri" w:eastAsia="Calibri" w:hAnsi="Calibri"/>
          <w:b/>
          <w:bCs/>
          <w:sz w:val="24"/>
          <w:szCs w:val="24"/>
        </w:rPr>
        <w:t xml:space="preserve">2.4 Why dimension seven is structurally distinguished</w:t>
      </w:r>
    </w:p>
    <w:p>
      <w:pPr>
        <w:spacing w:after="120" w:line="300"/>
        <w:jc w:val="both"/>
      </w:pPr>
      <w:r>
        <w:rPr>
          <w:rFonts w:ascii="Calibri" w:cs="Calibri" w:eastAsia="Calibri" w:hAnsi="Calibri"/>
          <w:sz w:val="22"/>
          <w:szCs w:val="22"/>
        </w:rPr>
        <w:t xml:space="preserve">Dimension seven occupies an unusual position in quantum measurement theory. It is the smallest prime dimension for which the Weyl–Heisenberg SIC is numerically well-studied but not analytically solved in closed form; it is the dimension of the fundamental representation of G₂; it is the dimension of the imaginary octonions; and it is the dimension in which PSL(2,7) first appears as the Clifford modular group Cliff(d) / WH(d). No other small dimension hosts this constellation of structures. At d = 2 the Clifford quotient is the trivial group; at d = 3 it is A₄ of order 12; at d = 5 it is S₅ of order 120. Only at d = 7 does the Clifford modular quotient become PSL(2,7), and only at d = 7 does the same group govern the octonionic Fano plane.</w:t>
      </w:r>
    </w:p>
    <w:p>
      <w:pPr>
        <w:pStyle w:val="Heading1"/>
        <w:spacing w:after="140" w:before="280"/>
      </w:pPr>
      <w:r>
        <w:rPr>
          <w:rFonts w:ascii="Calibri" w:cs="Calibri" w:eastAsia="Calibri" w:hAnsi="Calibri"/>
          <w:b/>
          <w:bCs/>
          <w:sz w:val="26"/>
          <w:szCs w:val="26"/>
        </w:rPr>
        <w:t xml:space="preserve">3. PCI’s G₂ Constraint and Spectral Architecture</w:t>
      </w:r>
    </w:p>
    <w:p>
      <w:pPr>
        <w:pStyle w:val="Heading2"/>
        <w:spacing w:after="100" w:before="200"/>
      </w:pPr>
      <w:r>
        <w:rPr>
          <w:rFonts w:ascii="Calibri" w:cs="Calibri" w:eastAsia="Calibri" w:hAnsi="Calibri"/>
          <w:b/>
          <w:bCs/>
          <w:sz w:val="24"/>
          <w:szCs w:val="24"/>
        </w:rPr>
        <w:t xml:space="preserve">3.1 The daemon Hamiltonian</w:t>
      </w:r>
    </w:p>
    <w:p>
      <w:pPr>
        <w:spacing w:after="120" w:line="300"/>
        <w:jc w:val="both"/>
      </w:pPr>
      <w:r>
        <w:rPr>
          <w:rFonts w:ascii="Calibri" w:cs="Calibri" w:eastAsia="Calibri" w:hAnsi="Calibri"/>
          <w:sz w:val="22"/>
          <w:szCs w:val="22"/>
        </w:rPr>
        <w:t xml:space="preserve">The PCI framework [7] models an observer’s coherent information processing on a seven-dimensional real state space ℝ⁷ carrying the fundamental representation of the exceptional Lie group G₂. The state space is called the daemon state space (the 7-dimensional fundamental representation of G₂); its seven coordinates are interpreted as irreducible information channels. A one-parameter subgroup of G₂ generates the daemon Hamiltonian, and the algebra g₂ has rank two, so the spectral family has exactly two continuous parameters.</w:t>
      </w:r>
    </w:p>
    <w:p>
      <w:pPr>
        <w:spacing w:after="120" w:line="300"/>
        <w:jc w:val="both"/>
      </w:pPr>
      <w:r>
        <w:rPr>
          <w:rFonts w:ascii="Calibri" w:cs="Calibri" w:eastAsia="Calibri" w:hAnsi="Calibri"/>
          <w:sz w:val="22"/>
          <w:szCs w:val="22"/>
        </w:rPr>
        <w:t xml:space="preserve">Under the maximal subgroup SU(3) ⊂ G₂, the fundamental representation decomposes as</w:t>
      </w:r>
    </w:p>
    <w:p>
      <w:pPr>
        <w:spacing w:after="120" w:before="120"/>
        <w:jc w:val="center"/>
      </w:pPr>
      <w:r>
        <w:rPr>
          <w:rFonts w:ascii="Cambria Math" w:cs="Cambria Math" w:eastAsia="Cambria Math" w:hAnsi="Cambria Math"/>
          <w:i/>
          <w:iCs/>
          <w:sz w:val="22"/>
          <w:szCs w:val="22"/>
        </w:rPr>
        <w:t xml:space="preserve">7 = 1 ⊕ 3 ⊕ 3̅.</w:t>
      </w:r>
    </w:p>
    <w:p>
      <w:pPr>
        <w:spacing w:after="120" w:line="300"/>
        <w:jc w:val="both"/>
      </w:pPr>
      <w:r>
        <w:rPr>
          <w:rFonts w:ascii="Calibri" w:cs="Calibri" w:eastAsia="Calibri" w:hAnsi="Calibri"/>
          <w:sz w:val="22"/>
          <w:szCs w:val="22"/>
        </w:rPr>
        <w:t xml:space="preserve">The singlet is called the SU(3) singlet (void mode) Ω_void. Because SU(3) acts trivially on it, the SU(3) singlet is an eigenvector of every Hamiltonian in the Cartan subalgebra with eigenvalue zero. This zero eigenvalue is not a fit parameter: it is algebraically forced by the branching rule 7 → 1 ⊕ 3 ⊕ 3̅.</w:t>
      </w:r>
    </w:p>
    <w:p>
      <w:pPr>
        <w:pStyle w:val="Heading2"/>
        <w:spacing w:after="100" w:before="200"/>
      </w:pPr>
      <w:r>
        <w:rPr>
          <w:rFonts w:ascii="Calibri" w:cs="Calibri" w:eastAsia="Calibri" w:hAnsi="Calibri"/>
          <w:b/>
          <w:bCs/>
          <w:sz w:val="24"/>
          <w:szCs w:val="24"/>
        </w:rPr>
        <w:t xml:space="preserve">3.2 The spectral sum theorem</w:t>
      </w:r>
    </w:p>
    <w:p>
      <w:pPr>
        <w:spacing w:after="120" w:line="300"/>
        <w:jc w:val="both"/>
      </w:pPr>
      <w:r>
        <w:rPr>
          <w:rFonts w:ascii="Calibri" w:cs="Calibri" w:eastAsia="Calibri" w:hAnsi="Calibri"/>
          <w:sz w:val="22"/>
          <w:szCs w:val="22"/>
        </w:rPr>
        <w:t xml:space="preserve">Paper [9] proves the following lemma about the Cartan subalgebra action on the fundamental representation.</w:t>
      </w:r>
    </w:p>
    <w:p>
      <w:pPr>
        <w:spacing w:after="120" w:line="300"/>
        <w:jc w:val="both"/>
      </w:pPr>
      <w:r>
        <w:rPr>
          <w:rFonts w:ascii="Calibri" w:cs="Calibri" w:eastAsia="Calibri" w:hAnsi="Calibri"/>
          <w:sz w:val="22"/>
          <w:szCs w:val="22"/>
        </w:rPr>
        <w:t xml:space="preserve">Lemma 3.1 (Spectral Sum Theorem). Every Hamiltonian H ∈ ℭ ⊂ g₂ acting on ℝ⁷ in the fundamental representation has spectrum</w:t>
      </w:r>
    </w:p>
    <w:p>
      <w:pPr>
        <w:spacing w:after="120" w:before="120"/>
        <w:jc w:val="center"/>
      </w:pPr>
      <w:r>
        <w:rPr>
          <w:rFonts w:ascii="Cambria Math" w:cs="Cambria Math" w:eastAsia="Cambria Math" w:hAnsi="Cambria Math"/>
          <w:i/>
          <w:iCs/>
          <w:sz w:val="22"/>
          <w:szCs w:val="22"/>
        </w:rPr>
        <w:t xml:space="preserve">spec(H) = { 0, ±e₁, ±e₂, ±(e₁ + e₂) },</w:t>
      </w:r>
    </w:p>
    <w:p>
      <w:pPr>
        <w:spacing w:after="120" w:line="300"/>
        <w:jc w:val="both"/>
      </w:pPr>
      <w:r>
        <w:rPr>
          <w:rFonts w:ascii="Calibri" w:cs="Calibri" w:eastAsia="Calibri" w:hAnsi="Calibri"/>
          <w:sz w:val="22"/>
          <w:szCs w:val="22"/>
        </w:rPr>
        <w:t xml:space="preserve">for some real parameters e₁, e₂. In particular, ordering the three positive eigenvalues as f₁ ≤ f₂ ≤ f₃ (or equivalently, among the three positive frequencies in spec(H)), the largest always equals the sum of the other two:</w:t>
      </w:r>
    </w:p>
    <w:p>
      <w:pPr>
        <w:spacing w:after="120" w:before="120"/>
        <w:jc w:val="center"/>
      </w:pPr>
      <w:r>
        <w:rPr>
          <w:rFonts w:ascii="Cambria Math" w:cs="Cambria Math" w:eastAsia="Cambria Math" w:hAnsi="Cambria Math"/>
          <w:i/>
          <w:iCs/>
          <w:sz w:val="22"/>
          <w:szCs w:val="22"/>
        </w:rPr>
        <w:t xml:space="preserve">f₃ = f₁ + f₂.</w:t>
      </w:r>
    </w:p>
    <w:p>
      <w:pPr>
        <w:spacing w:after="120" w:line="300"/>
        <w:jc w:val="both"/>
      </w:pPr>
      <w:r>
        <w:rPr>
          <w:rFonts w:ascii="Calibri" w:cs="Calibri" w:eastAsia="Calibri" w:hAnsi="Calibri"/>
          <w:sz w:val="22"/>
          <w:szCs w:val="22"/>
        </w:rPr>
        <w:t xml:space="preserve">The proof is a direct consequence of the root-system structure of G₂. The three positive short roots determine eigenvalues ±e₁, ±e₂, ±(e₁ + e₂), while the singlet contributes the zero eigenvalue. No free parameters enter beyond the two Cartan labels.</w:t>
      </w:r>
    </w:p>
    <w:p>
      <w:pPr>
        <w:spacing w:after="120" w:line="300"/>
        <w:jc w:val="both"/>
      </w:pPr>
      <w:r>
        <w:rPr>
          <w:rFonts w:ascii="Calibri" w:cs="Calibri" w:eastAsia="Calibri" w:hAnsi="Calibri"/>
          <w:sz w:val="22"/>
          <w:szCs w:val="22"/>
        </w:rPr>
        <w:t xml:space="preserve">Equation (5) is empirically non-trivial. Bandyopadhyay and collaborators [2, 16] report a dodecanogram resonance pattern in brain-extracted microtubule nanowires with prominent frequency components at 20 and 80 MHz, and a derived component at 100 MHz; the relation 100 = 20 + 80 is exactly the predicted sum. We note that this triplet was available in the published data before the G₂ spectral sum interpretation was proposed; it is therefore a retrodiction, not a prediction. The genuinely novel prediction is the existence of a 28 MHz resonance (= 8 + 20), which has not been reported and constitutes a falsifiable test. Paper [9] identifies 28 MHz = 8 + 20 as a falsifiable prediction of the same theorem.</w:t>
      </w:r>
    </w:p>
    <w:p>
      <w:pPr>
        <w:pStyle w:val="Heading2"/>
        <w:spacing w:after="100" w:before="200"/>
      </w:pPr>
      <w:r>
        <w:rPr>
          <w:rFonts w:ascii="Calibri" w:cs="Calibri" w:eastAsia="Calibri" w:hAnsi="Calibri"/>
          <w:b/>
          <w:bCs/>
          <w:sz w:val="24"/>
          <w:szCs w:val="24"/>
        </w:rPr>
        <w:t xml:space="preserve">3.3 Torsion decomposition and the dimension 49</w:t>
      </w:r>
    </w:p>
    <w:p>
      <w:pPr>
        <w:spacing w:after="120" w:line="300"/>
        <w:jc w:val="both"/>
      </w:pPr>
      <w:r>
        <w:rPr>
          <w:rFonts w:ascii="Calibri" w:cs="Calibri" w:eastAsia="Calibri" w:hAnsi="Calibri"/>
          <w:sz w:val="22"/>
          <w:szCs w:val="22"/>
        </w:rPr>
        <w:t xml:space="preserve">For a G₂-structure on a seven-manifold, the intrinsic torsion τ lives in Λ¹ ⊗ g₂⊥ ⊂ Λ¹ ⊗ so(7). Decomposing under G₂ gives the well-known sum</w:t>
      </w:r>
    </w:p>
    <w:p>
      <w:pPr>
        <w:spacing w:after="120" w:before="120"/>
        <w:jc w:val="center"/>
      </w:pPr>
      <w:r>
        <w:rPr>
          <w:rFonts w:ascii="Cambria Math" w:cs="Cambria Math" w:eastAsia="Cambria Math" w:hAnsi="Cambria Math"/>
          <w:i/>
          <w:iCs/>
          <w:sz w:val="22"/>
          <w:szCs w:val="22"/>
        </w:rPr>
        <w:t xml:space="preserve">τ ∈ T₁ ⊕ T₇ ⊕ T₁₄ ⊕ T₂₇,</w:t>
      </w:r>
    </w:p>
    <w:p>
      <w:pPr>
        <w:spacing w:after="120" w:line="300"/>
        <w:jc w:val="both"/>
      </w:pPr>
      <w:r>
        <w:rPr>
          <w:rFonts w:ascii="Calibri" w:cs="Calibri" w:eastAsia="Calibri" w:hAnsi="Calibri"/>
          <w:sz w:val="22"/>
          <w:szCs w:val="22"/>
        </w:rPr>
        <w:t xml:space="preserve">of irreducible G₂-modules whose dimensions sum to 1 + 7 + 14 + 27 = 49. PCI interprets each torsion class as a torsion class, i.e. a distinct mode of decoherence or path-dependent information loss. The total torsion dimension coincides numerically with the number of SIC elements at d = 7, and we discuss this coincidence rigorously in Section 4. Within the gl(7, ℂ) in which the SIC elements form a basis, the subalgebra g₂ is 14-dimensional, giving the ratio dim g₂ / dim gl(7, ℂ) = 14/49 = 2/7.</w:t>
      </w:r>
    </w:p>
    <w:p>
      <w:pPr>
        <w:pStyle w:val="Heading2"/>
        <w:spacing w:after="100" w:before="200"/>
      </w:pPr>
      <w:r>
        <w:rPr>
          <w:rFonts w:ascii="Calibri" w:cs="Calibri" w:eastAsia="Calibri" w:hAnsi="Calibri"/>
          <w:b/>
          <w:bCs/>
          <w:sz w:val="24"/>
          <w:szCs w:val="24"/>
        </w:rPr>
        <w:t xml:space="preserve">3.4 The MX-6 invariant and Fisher–Rao radius</w:t>
      </w:r>
    </w:p>
    <w:p>
      <w:pPr>
        <w:spacing w:after="120" w:line="300"/>
        <w:jc w:val="both"/>
      </w:pPr>
      <w:r>
        <w:rPr>
          <w:rFonts w:ascii="Calibri" w:cs="Calibri" w:eastAsia="Calibri" w:hAnsi="Calibri"/>
          <w:sz w:val="22"/>
          <w:szCs w:val="22"/>
        </w:rPr>
        <w:t xml:space="preserve">Friedrich [5] shows that the Fisher–Rao metric on the open seven-outcome probability simplex is, up to isometry, the round metric on the positive octant of the sphere S⁶ of radius 2 in ℝ⁷. The radius-2 factor is not arbitrary: it comes from the standard parameterization pᵢ = (xᵢ / 2)². Under the PCI interpretation the seven outcomes are the seven daemon channels, and the Fisher–Rao sphere is identified with the nearly Kähler sphere G₂ / SU(3) = S⁶. The shared radius 2 suggests an invariant we call MX-6:</w:t>
      </w:r>
    </w:p>
    <w:p>
      <w:pPr>
        <w:spacing w:after="120" w:before="120"/>
        <w:jc w:val="center"/>
      </w:pPr>
      <w:r>
        <w:rPr>
          <w:rFonts w:ascii="Cambria Math" w:cs="Cambria Math" w:eastAsia="Cambria Math" w:hAnsi="Cambria Math"/>
          <w:i/>
          <w:iCs/>
          <w:sz w:val="22"/>
          <w:szCs w:val="22"/>
        </w:rPr>
        <w:t xml:space="preserve">α · r = 1,   |c₁| · r = 3,   |c₂| · r = 2,   with r = 2,</w:t>
      </w:r>
    </w:p>
    <w:p>
      <w:pPr>
        <w:spacing w:after="120" w:line="300"/>
        <w:jc w:val="both"/>
      </w:pPr>
      <w:r>
        <w:rPr>
          <w:rFonts w:ascii="Calibri" w:cs="Calibri" w:eastAsia="Calibri" w:hAnsi="Calibri"/>
          <w:sz w:val="22"/>
          <w:szCs w:val="22"/>
        </w:rPr>
        <w:t xml:space="preserve">where α is the Laplacian-flow decay rate and c₁, c₂ are the two nearly Kähler structure constants on S⁶. The exponential factor e⁻² = e⁻ʳ emerges as the natural dissipation scale in the Laplacian flow of Lotay and Wei [13]. The agreement of the Fisher–Rao radius with the nearly Kähler radius is, at present, an observation rather than a theorem; Section 6 identifies it as an open problem.</w:t>
      </w:r>
    </w:p>
    <w:p>
      <w:pPr>
        <w:pStyle w:val="Heading1"/>
        <w:spacing w:after="140" w:before="280"/>
      </w:pPr>
      <w:r>
        <w:rPr>
          <w:rFonts w:ascii="Calibri" w:cs="Calibri" w:eastAsia="Calibri" w:hAnsi="Calibri"/>
          <w:b/>
          <w:bCs/>
          <w:sz w:val="26"/>
          <w:szCs w:val="26"/>
        </w:rPr>
        <w:t xml:space="preserve">4. The PSL(2,7) Bridge</w:t>
      </w:r>
    </w:p>
    <w:p>
      <w:pPr>
        <w:pStyle w:val="Heading2"/>
        <w:spacing w:after="100" w:before="200"/>
      </w:pPr>
      <w:r>
        <w:rPr>
          <w:rFonts w:ascii="Calibri" w:cs="Calibri" w:eastAsia="Calibri" w:hAnsi="Calibri"/>
          <w:b/>
          <w:bCs/>
          <w:sz w:val="24"/>
          <w:szCs w:val="24"/>
        </w:rPr>
        <w:t xml:space="preserve">4.1 The Fano plane as common ground</w:t>
      </w:r>
    </w:p>
    <w:p>
      <w:pPr>
        <w:spacing w:after="120" w:line="300"/>
        <w:jc w:val="both"/>
      </w:pPr>
      <w:r>
        <w:rPr>
          <w:rFonts w:ascii="Calibri" w:cs="Calibri" w:eastAsia="Calibri" w:hAnsi="Calibri"/>
          <w:sz w:val="22"/>
          <w:szCs w:val="22"/>
        </w:rPr>
        <w:t xml:space="preserve">The Fano plane is the projective plane over ℤ₂: seven points and seven lines, each line containing three points, each point on three lines. Its automorphism group is the unique simple group of order 168,</w:t>
      </w:r>
    </w:p>
    <w:p>
      <w:pPr>
        <w:spacing w:after="120" w:before="120"/>
        <w:jc w:val="center"/>
      </w:pPr>
      <w:r>
        <w:rPr>
          <w:rFonts w:ascii="Cambria Math" w:cs="Cambria Math" w:eastAsia="Cambria Math" w:hAnsi="Cambria Math"/>
          <w:i/>
          <w:iCs/>
          <w:sz w:val="22"/>
          <w:szCs w:val="22"/>
        </w:rPr>
        <w:t xml:space="preserve">Aut(Fano) = PSL(2,7) ≅ GL(3, ℤ₂) ≅ PSL(3, ℤ₂).</w:t>
      </w:r>
    </w:p>
    <w:p>
      <w:pPr>
        <w:spacing w:after="120" w:line="300"/>
        <w:jc w:val="both"/>
      </w:pPr>
      <w:r>
        <w:rPr>
          <w:rFonts w:ascii="Calibri" w:cs="Calibri" w:eastAsia="Calibri" w:hAnsi="Calibri"/>
          <w:sz w:val="22"/>
          <w:szCs w:val="22"/>
        </w:rPr>
        <w:t xml:space="preserve">The Fano plane is also the combinatorial skeleton of the octonion multiplication table: the seven imaginary octonion units e₁, …, e₇ are the points of the plane, and each oriented line is a copy of the quaternions ℍ inside the octonions 𝕆. An oriented Fano line corresponds to a consistent choice of cyclic order among its three points, i.e. to a choice of sign for the associative 3-form φ.</w:t>
      </w:r>
    </w:p>
    <w:p>
      <w:pPr>
        <w:pStyle w:val="Heading2"/>
        <w:spacing w:after="100" w:before="200"/>
      </w:pPr>
      <w:r>
        <w:rPr>
          <w:rFonts w:ascii="Calibri" w:cs="Calibri" w:eastAsia="Calibri" w:hAnsi="Calibri"/>
          <w:b/>
          <w:bCs/>
          <w:sz w:val="24"/>
          <w:szCs w:val="24"/>
        </w:rPr>
        <w:t xml:space="preserve">4.2 The G₂ side: S₇ ∩ G₂ = F₂₁</w:t>
      </w:r>
    </w:p>
    <w:p>
      <w:pPr>
        <w:spacing w:after="120" w:line="300"/>
        <w:jc w:val="both"/>
      </w:pPr>
      <w:r>
        <w:rPr>
          <w:rFonts w:ascii="Calibri" w:cs="Calibri" w:eastAsia="Calibri" w:hAnsi="Calibri"/>
          <w:sz w:val="22"/>
          <w:szCs w:val="22"/>
        </w:rPr>
        <w:t xml:space="preserve">The exceptional group G₂ is, by one of its standard definitions, the automorphism group of the octonion algebra. Equivalently, it is the stabilizer in GL(7, ℝ) of a generic associative 3-form φ ∈ Λ³(ℝ⁷)∗. Because φ is built from the oriented Fano lines, the symmetric group S₇ acting by permutation of the seven octonion units does not in general preserve φ: a permutation either sends oriented Fano lines to oriented Fano lines or flips orientations.</w:t>
      </w:r>
    </w:p>
    <w:p>
      <w:pPr>
        <w:spacing w:after="120" w:line="300"/>
        <w:jc w:val="both"/>
      </w:pPr>
      <w:r>
        <w:rPr>
          <w:rFonts w:ascii="Calibri" w:cs="Calibri" w:eastAsia="Calibri" w:hAnsi="Calibri"/>
          <w:sz w:val="22"/>
          <w:szCs w:val="22"/>
        </w:rPr>
        <w:t xml:space="preserve">Theorem 4.1 (Costa–Pavone [3]; Killgore [11]; Koca et al. [12]). Let S₇ act on ℝ⁷ by permuting the standard basis. Then</w:t>
      </w:r>
    </w:p>
    <w:p>
      <w:pPr>
        <w:spacing w:after="120" w:before="120"/>
        <w:jc w:val="center"/>
      </w:pPr>
      <w:r>
        <w:rPr>
          <w:rFonts w:ascii="Cambria Math" w:cs="Cambria Math" w:eastAsia="Cambria Math" w:hAnsi="Cambria Math"/>
          <w:i/>
          <w:iCs/>
          <w:sz w:val="22"/>
          <w:szCs w:val="22"/>
        </w:rPr>
        <w:t xml:space="preserve">S₇ ∩ G₂ = F₂₁ = ℤ₇ ⋊ ℤ₃,</w:t>
      </w:r>
    </w:p>
    <w:p>
      <w:pPr>
        <w:spacing w:after="120" w:line="300"/>
        <w:jc w:val="both"/>
      </w:pPr>
      <w:r>
        <w:rPr>
          <w:rFonts w:ascii="Calibri" w:cs="Calibri" w:eastAsia="Calibri" w:hAnsi="Calibri"/>
          <w:sz w:val="22"/>
          <w:szCs w:val="22"/>
        </w:rPr>
        <w:t xml:space="preserve">the Frobenius group of order 21. F₂₁ is precisely the group of orientation-preserving automorphisms of the Fano plane viewed as the basis-permutation symmetries of the octonions. A direct computational verification is possible: enumerating all 5040 permutations in S₇ and testing each against the invariance of φ returns exactly 21 permutations, matching F₂₁.</w:t>
      </w:r>
    </w:p>
    <w:p>
      <w:pPr>
        <w:pStyle w:val="Heading2"/>
        <w:spacing w:after="100" w:before="200"/>
      </w:pPr>
      <w:r>
        <w:rPr>
          <w:rFonts w:ascii="Calibri" w:cs="Calibri" w:eastAsia="Calibri" w:hAnsi="Calibri"/>
          <w:b/>
          <w:bCs/>
          <w:sz w:val="24"/>
          <w:szCs w:val="24"/>
        </w:rPr>
        <w:t xml:space="preserve">4.3 The SIC side and the Clifford action of PSL(2,7)</w:t>
      </w:r>
    </w:p>
    <w:p>
      <w:pPr>
        <w:spacing w:after="120" w:line="300"/>
        <w:jc w:val="both"/>
      </w:pPr>
      <w:r>
        <w:rPr>
          <w:rFonts w:ascii="Calibri" w:cs="Calibri" w:eastAsia="Calibri" w:hAnsi="Calibri"/>
          <w:sz w:val="22"/>
          <w:szCs w:val="22"/>
        </w:rPr>
        <w:t xml:space="preserve">For d = 7 a prime, the Clifford group Cliff(7) — the normalizer of the Weyl–Heisenberg group WH(7) inside U(7) — has as its projective quotient the group PSL(2,7). Explicitly,</w:t>
      </w:r>
    </w:p>
    <w:p>
      <w:pPr>
        <w:spacing w:after="120" w:before="120"/>
        <w:jc w:val="center"/>
      </w:pPr>
      <w:r>
        <w:rPr>
          <w:rFonts w:ascii="Cambria Math" w:cs="Cambria Math" w:eastAsia="Cambria Math" w:hAnsi="Cambria Math"/>
          <w:i/>
          <w:iCs/>
          <w:sz w:val="22"/>
          <w:szCs w:val="22"/>
        </w:rPr>
        <w:t xml:space="preserve">Cliff(7) / WH(7) ≅ PSL(2,7).</w:t>
      </w:r>
    </w:p>
    <w:p>
      <w:pPr>
        <w:spacing w:after="120" w:line="300"/>
        <w:jc w:val="both"/>
      </w:pPr>
      <w:r>
        <w:rPr>
          <w:rFonts w:ascii="Calibri" w:cs="Calibri" w:eastAsia="Calibri" w:hAnsi="Calibri"/>
          <w:sz w:val="22"/>
          <w:szCs w:val="22"/>
        </w:rPr>
        <w:t xml:space="preserve">This is a classical fact: the symplectic modular group SL(2, ℤ₇) quotiented by its center is PSL(2,7), and the Clifford modulation acts through SL(2, ℤ₇) on the Weyl–Heisenberg phase space. PSL(2,7) therefore acts naturally on WH(7) — and hence on the 49 SIC elements — by conjugation via Clifford unitaries. This action is the first time PSL(2,7) appears on the measurement side.</w:t>
      </w:r>
    </w:p>
    <w:p>
      <w:pPr>
        <w:spacing w:after="120" w:line="300"/>
        <w:jc w:val="both"/>
      </w:pPr>
      <w:r>
        <w:rPr>
          <w:rFonts w:ascii="Calibri" w:cs="Calibri" w:eastAsia="Calibri" w:hAnsi="Calibri"/>
          <w:sz w:val="22"/>
          <w:szCs w:val="22"/>
        </w:rPr>
        <w:t xml:space="preserve">Observation 4.2. The order-3 Clifford unitary common to every d = 7 SIC symmetry group in the Samuel–Gedik classification [15] descends to an order-3 element of PSL(2,7). Together with the order-7 shift, it generates a subgroup of PSL(2,7) isomorphic to F₂₁.</w:t>
      </w:r>
    </w:p>
    <w:p>
      <w:pPr>
        <w:pStyle w:val="Heading2"/>
        <w:spacing w:after="100" w:before="200"/>
      </w:pPr>
      <w:r>
        <w:rPr>
          <w:rFonts w:ascii="Calibri" w:cs="Calibri" w:eastAsia="Calibri" w:hAnsi="Calibri"/>
          <w:b/>
          <w:bCs/>
          <w:sz w:val="24"/>
          <w:szCs w:val="24"/>
        </w:rPr>
        <w:t xml:space="preserve">4.4 The main theorem: F₂₁ as the simultaneous stabilizer</w:t>
      </w:r>
    </w:p>
    <w:p>
      <w:pPr>
        <w:spacing w:after="120" w:line="300"/>
        <w:jc w:val="both"/>
      </w:pPr>
      <w:r>
        <w:rPr>
          <w:rFonts w:ascii="Calibri" w:cs="Calibri" w:eastAsia="Calibri" w:hAnsi="Calibri"/>
          <w:sz w:val="22"/>
          <w:szCs w:val="22"/>
        </w:rPr>
        <w:t xml:space="preserve">Theorem 4.3 (Main result). Let F₂₁ = ℤ₇ ⋊ ℤ₃ ⊂ PSL(2,7) be the subgroup generated by an order-7 cyclic shift and the order-3 Clifford unitary of Observation 4.2. Then:</w:t>
      </w:r>
    </w:p>
    <w:p>
      <w:pPr>
        <w:spacing w:after="120" w:line="300"/>
        <w:jc w:val="both"/>
      </w:pPr>
      <w:r>
        <w:rPr>
          <w:rFonts w:ascii="Calibri" w:cs="Calibri" w:eastAsia="Calibri" w:hAnsi="Calibri"/>
          <w:b/>
          <w:bCs/>
          <w:sz w:val="22"/>
          <w:szCs w:val="22"/>
        </w:rPr>
        <w:t xml:space="preserve">(i) </w:t>
      </w:r>
      <w:r>
        <w:rPr>
          <w:rFonts w:ascii="Calibri" w:cs="Calibri" w:eastAsia="Calibri" w:hAnsi="Calibri"/>
          <w:sz w:val="22"/>
          <w:szCs w:val="22"/>
        </w:rPr>
        <w:t xml:space="preserve">F₂₁ preserves the Weyl–Heisenberg covariance of the d = 7 SIC, i.e. it normalizes WH(7) inside Cliff(7) and sends SIC fiducials to SIC fiducials.</w:t>
      </w:r>
    </w:p>
    <w:p>
      <w:pPr>
        <w:spacing w:after="120" w:line="300"/>
        <w:jc w:val="both"/>
      </w:pPr>
      <w:r>
        <w:rPr>
          <w:rFonts w:ascii="Calibri" w:cs="Calibri" w:eastAsia="Calibri" w:hAnsi="Calibri"/>
          <w:b/>
          <w:bCs/>
          <w:sz w:val="22"/>
          <w:szCs w:val="22"/>
        </w:rPr>
        <w:t xml:space="preserve">(ii) </w:t>
      </w:r>
      <w:r>
        <w:rPr>
          <w:rFonts w:ascii="Calibri" w:cs="Calibri" w:eastAsia="Calibri" w:hAnsi="Calibri"/>
          <w:sz w:val="22"/>
          <w:szCs w:val="22"/>
        </w:rPr>
        <w:t xml:space="preserve">F₂₁ coincides with the basis-permutation subgroup S₇ ∩ G₂ of Theorem 4.1 under the identification of the seven octonion units with the seven Weyl–Heisenberg eigenbasis labels. In particular, F₂₁ preserves the G₂ associative 3-form φ.</w:t>
      </w:r>
    </w:p>
    <w:p>
      <w:pPr>
        <w:spacing w:after="120" w:line="300"/>
        <w:jc w:val="both"/>
      </w:pPr>
      <w:r>
        <w:rPr>
          <w:rFonts w:ascii="Calibri" w:cs="Calibri" w:eastAsia="Calibri" w:hAnsi="Calibri"/>
          <w:b/>
          <w:bCs/>
          <w:sz w:val="22"/>
          <w:szCs w:val="22"/>
        </w:rPr>
        <w:t xml:space="preserve">(iii) </w:t>
      </w:r>
      <w:r>
        <w:rPr>
          <w:rFonts w:ascii="Calibri" w:cs="Calibri" w:eastAsia="Calibri" w:hAnsi="Calibri"/>
          <w:sz w:val="22"/>
          <w:szCs w:val="22"/>
        </w:rPr>
        <w:t xml:space="preserve">The left-coset space</w:t>
      </w:r>
    </w:p>
    <w:p>
      <w:pPr>
        <w:spacing w:after="120" w:before="120"/>
        <w:jc w:val="center"/>
      </w:pPr>
      <w:r>
        <w:rPr>
          <w:rFonts w:ascii="Cambria Math" w:cs="Cambria Math" w:eastAsia="Cambria Math" w:hAnsi="Cambria Math"/>
          <w:i/>
          <w:iCs/>
          <w:sz w:val="22"/>
          <w:szCs w:val="22"/>
        </w:rPr>
        <w:t xml:space="preserve">PSL(2,7) / F₂₁</w:t>
      </w:r>
    </w:p>
    <w:p>
      <w:pPr>
        <w:spacing w:after="120" w:line="300"/>
        <w:jc w:val="both"/>
      </w:pPr>
      <w:r>
        <w:rPr>
          <w:rFonts w:ascii="Calibri" w:cs="Calibri" w:eastAsia="Calibri" w:hAnsi="Calibri"/>
          <w:sz w:val="22"/>
          <w:szCs w:val="22"/>
        </w:rPr>
        <w:t xml:space="preserve">has cardinality 168 / 21 = 8, which equals dim SU(3) = 8, the dimension of the maximal subgroup of G₂ fixing the SU(3) singlet Ω_void.</w:t>
      </w:r>
    </w:p>
    <w:p>
      <w:pPr>
        <w:spacing w:after="120" w:line="300"/>
        <w:jc w:val="both"/>
      </w:pPr>
      <w:r>
        <w:rPr>
          <w:rFonts w:ascii="Calibri" w:cs="Calibri" w:eastAsia="Calibri" w:hAnsi="Calibri"/>
          <w:sz w:val="22"/>
          <w:szCs w:val="22"/>
        </w:rPr>
        <w:t xml:space="preserve">Parts (i) and (ii) are consequences of the explicit isomorphism Cliff(7) / WH(7) ≅ PSL(2,7) combined with Theorem 4.1; under the natural labeling of eigenbasis states by Fano points, orientation-preserving Fano automorphisms act on the SIC by the same permutations that stabilize φ. Part (iii) is Lagrange’s theorem. The coincidence |PSL(2,7) / F₂₁| = 8 = dim SU(3) is the sharp form of the bridge, and it is free of the arithmetic error that would result from attempting a complementary decomposition 147 + 21 = 168. No subgroup of PSL(2,7) can have order 147: 147 = 3 · 49 does not divide 168 = 2³ · 3 · 7, so Lagrange’s theorem forbids any such subgroup. The correct statement is that WH(7) is a subgroup of Cliff(7), not of PSL(2,7); the bridge goes through the PSL(2,7) action on WH(7), not through a decomposition of PSL(2,7) that includes WH(7) as a factor.</w:t>
      </w:r>
    </w:p>
    <w:p>
      <w:pPr>
        <w:spacing w:after="120" w:line="300"/>
        <w:jc w:val="both"/>
      </w:pPr>
      <w:r>
        <w:rPr>
          <w:rFonts w:ascii="Calibri" w:cs="Calibri" w:eastAsia="Calibri" w:hAnsi="Calibri"/>
          <w:sz w:val="22"/>
          <w:szCs w:val="22"/>
        </w:rPr>
        <w:t xml:space="preserve">Strictly, the F₂₁ arising from S₇ ∩ G₂ acts on ℝ⁷ by permutation of basis vectors, while the F₂₁ arising from the Clifford quotient acts on ℂ⁷ by unitary transformations. These are abstractly isomorphic (both are the unique group ℤ₇ ⋊ ℤ₃ of order 21) and their actions coincide under the identification of the seven octonion units e₁,...,e₇ with the seven Weyl–Heisenberg eigenbasis labels. This identification is a structural choice, not a derived result.</w:t>
      </w:r>
    </w:p>
    <w:p>
      <w:pPr>
        <w:pStyle w:val="Heading2"/>
        <w:spacing w:after="100" w:before="200"/>
      </w:pPr>
      <w:r>
        <w:rPr>
          <w:rFonts w:ascii="Calibri" w:cs="Calibri" w:eastAsia="Calibri" w:hAnsi="Calibri"/>
          <w:b/>
          <w:bCs/>
          <w:sz w:val="24"/>
          <w:szCs w:val="24"/>
        </w:rPr>
        <w:t xml:space="preserve">4.5 The double meaning of 49</w:t>
      </w:r>
    </w:p>
    <w:p>
      <w:pPr>
        <w:spacing w:after="120" w:line="300"/>
        <w:jc w:val="both"/>
      </w:pPr>
      <w:r>
        <w:rPr>
          <w:rFonts w:ascii="Calibri" w:cs="Calibri" w:eastAsia="Calibri" w:hAnsi="Calibri"/>
          <w:sz w:val="22"/>
          <w:szCs w:val="22"/>
        </w:rPr>
        <w:t xml:space="preserve">The identification of F₂₁ as the simultaneous stabilizer explains the numerical coincidence noted earlier. On the QBism side, 49 = 7² counts the SIC elements at d = 7 and equals the dimension of gl(7, ℂ) as a basis. On the PCI side, 49 counts the total torsion dimension of a G₂-structure on a seven-manifold. These two 49s are not independent: both are consequences of the seven-dimensional representation whose automorphism group is G₂ and whose measurement algebra is gl(7, ℂ). Inside gl(7, ℂ), the G₂ subalgebra is 14-dimensional — precisely 2/7 of the SIC algebra — and the 49-dimensional torsion space is the complement of a 14-dimensional distinguished subspace in the same way that the 49 SIC elements exhaust a 14-dimensional G₂-subalgebra plus a 35-dimensional complement. The coset space PSL(2,7) / F₂₁ = 8 then records the remaining SU(3)-type symmetry that acts on S⁶ = G₂ / SU(3).</w:t>
      </w:r>
    </w:p>
    <w:p>
      <w:pPr>
        <w:spacing w:after="120" w:line="300"/>
        <w:jc w:val="both"/>
      </w:pPr>
      <w:r>
        <w:rPr>
          <w:rFonts w:ascii="Calibri" w:cs="Calibri" w:eastAsia="Calibri" w:hAnsi="Calibri"/>
          <w:sz w:val="22"/>
          <w:szCs w:val="22"/>
        </w:rPr>
        <w:t xml:space="preserve">The numerical bookkeeping can be summarized as follows. The 49-dimensional space gl(7, ℂ) decomposes under G₂ as gl(7, ℂ) = g₂ ⊕ m, with dim g₂ = 14 and dim m = 35. The 14-dimensional piece is preserved by F₂₁ because F₂₁ ⊂ G₂; the 35-dimensional complement is not. On the PCI side, the 49-dimensional torsion space T = T₁ ⊕ T₇ ⊕ T₁₄ ⊕ T₂₇ has an analogous split: T₁₄ is G₂-invariant in the sense that it supports the full G₂ action, while T₁ ⊕ T₇ ⊕ T₂₇ (dimensions summing to 35) carries the remaining content. The dictionary is thus: SIC algebra 14/35 on the measurement side corresponds to G₂ torsion 14/35 on the geometry side, with F₂₁ acting as the common stabilizer.</w:t>
      </w:r>
    </w:p>
    <w:p>
      <w:pPr>
        <w:spacing w:after="120" w:line="300"/>
        <w:jc w:val="both"/>
      </w:pPr>
      <w:r>
        <w:rPr>
          <w:rFonts w:ascii="Calibri" w:cs="Calibri" w:eastAsia="Calibri" w:hAnsi="Calibri"/>
          <w:sz w:val="22"/>
          <w:szCs w:val="22"/>
        </w:rPr>
        <w:t xml:space="preserve">We stress that this is not a claim about an isomorphism between gl(7, ℂ) and the torsion space — the former is complex, the latter real; one is a Lie algebra, the other is not. It is a claim about the same discrete symmetry group F₂₁ acting on 49-dimensional spaces on both sides, with a common 14-dimensional distinguished subspace that the group preserves. The extension of this dictionary to a dynamical statement — for instance, identifying the SIC operator algebra flow under Lindblad evolution with the Laplacian flow of torsion — is left open.</w:t>
      </w:r>
    </w:p>
    <w:p>
      <w:pPr>
        <w:pStyle w:val="Heading1"/>
        <w:spacing w:after="140" w:before="280"/>
      </w:pPr>
      <w:r>
        <w:rPr>
          <w:rFonts w:ascii="Calibri" w:cs="Calibri" w:eastAsia="Calibri" w:hAnsi="Calibri"/>
          <w:b/>
          <w:bCs/>
          <w:sz w:val="26"/>
          <w:szCs w:val="26"/>
        </w:rPr>
        <w:t xml:space="preserve">5. Six Structural Parallels</w:t>
      </w:r>
    </w:p>
    <w:p>
      <w:pPr>
        <w:spacing w:after="120" w:line="300"/>
        <w:jc w:val="both"/>
      </w:pPr>
      <w:r>
        <w:rPr>
          <w:rFonts w:ascii="Calibri" w:cs="Calibri" w:eastAsia="Calibri" w:hAnsi="Calibri"/>
          <w:sz w:val="22"/>
          <w:szCs w:val="22"/>
        </w:rPr>
        <w:t xml:space="preserve">The PSL(2,7) bridge of Section 4 supports a series of more detailed structural correspondences between QBism and PCI. We list six. Each is either a direct mathematical parallel (labeled Observation) or a conjectural analogy (labeled Hypothesis).</w:t>
      </w:r>
    </w:p>
    <w:p>
      <w:pPr>
        <w:pStyle w:val="Heading2"/>
        <w:spacing w:after="100" w:before="200"/>
      </w:pPr>
      <w:r>
        <w:rPr>
          <w:rFonts w:ascii="Calibri" w:cs="Calibri" w:eastAsia="Calibri" w:hAnsi="Calibri"/>
          <w:b/>
          <w:bCs/>
          <w:sz w:val="24"/>
          <w:szCs w:val="24"/>
        </w:rPr>
        <w:t xml:space="preserve">5.1 Dutch-book coherence and torsion-free convergence</w:t>
      </w:r>
    </w:p>
    <w:p>
      <w:pPr>
        <w:spacing w:after="120" w:line="300"/>
        <w:jc w:val="both"/>
      </w:pPr>
      <w:r>
        <w:rPr>
          <w:rFonts w:ascii="Calibri" w:cs="Calibri" w:eastAsia="Calibri" w:hAnsi="Calibri"/>
          <w:sz w:val="22"/>
          <w:szCs w:val="22"/>
        </w:rPr>
        <w:t xml:space="preserve">Observation 5.1. In QBism, an agent whose probability assignments violate the urgleichung is Dutch-bookable: there exists a finite combination of gambles that yields a sure loss [4]. In PCI, a G₂ structure whose torsion does not flow toward the torsion-free fixed point along the Laplacian flow of Lotay and Wei [13] develops a Type I singularity in finite time — a torsion blow-up. In both theories, failure of coherence is catastrophic rather than gradual: the system either maintains a coherence condition (no Dutch book; bounded torsion) or collapses.</w:t>
      </w:r>
    </w:p>
    <w:p>
      <w:pPr>
        <w:spacing w:after="120" w:line="300"/>
        <w:jc w:val="both"/>
      </w:pPr>
      <w:r>
        <w:rPr>
          <w:rFonts w:ascii="Calibri" w:cs="Calibri" w:eastAsia="Calibri" w:hAnsi="Calibri"/>
          <w:sz w:val="22"/>
          <w:szCs w:val="22"/>
        </w:rPr>
        <w:t xml:space="preserve">The analogy is tighter than it first appears. In the Dutch-book argument the coherence constraint is a system of linear inequalities whose boundary is the urgleichung; in the Laplacian-flow argument the torsion-free condition is a system of quadratic constraints whose boundary is the closed-G₂ locus. In both cases the admissible region is the interior of a closed semialgebraic set, and an agent who steps outside the region pays an immediate penalty — monetary in the first case, geometric in the second. The Dutch-book argument of DeBrota, Fuchs, and Stacey [4] can be read as saying that probabilistic coherence is the boundary of a convex region in the space of probability assignments; the Lotay–Wei result [13] says that geometric coherence is the boundary of an analogous region in the space of G₂-structures.</w:t>
      </w:r>
    </w:p>
    <w:p>
      <w:pPr>
        <w:pStyle w:val="Heading2"/>
        <w:spacing w:after="100" w:before="200"/>
      </w:pPr>
      <w:r>
        <w:rPr>
          <w:rFonts w:ascii="Calibri" w:cs="Calibri" w:eastAsia="Calibri" w:hAnsi="Calibri"/>
          <w:b/>
          <w:bCs/>
          <w:sz w:val="24"/>
          <w:szCs w:val="24"/>
        </w:rPr>
        <w:t xml:space="preserve">5.2 Agent-relative facts and observer-relative torsion</w:t>
      </w:r>
    </w:p>
    <w:p>
      <w:pPr>
        <w:spacing w:after="120" w:line="300"/>
        <w:jc w:val="both"/>
      </w:pPr>
      <w:r>
        <w:rPr>
          <w:rFonts w:ascii="Calibri" w:cs="Calibri" w:eastAsia="Calibri" w:hAnsi="Calibri"/>
          <w:sz w:val="22"/>
          <w:szCs w:val="22"/>
        </w:rPr>
        <w:t xml:space="preserve">Observation 5.2. QBism denies the existence of observer-independent quantum facts: the Wigner's-friend paradox is dissolved by treating each agent's probability assignments as personal until explicitly communicated [6]. PCI denies the existence of observer-independent torsion-class histories: different observers integrate different torsion flows depending on their measurement sequence. In both frameworks, reality is perspectival and path-dependent; there is no God's-eye ledger.</w:t>
      </w:r>
    </w:p>
    <w:p>
      <w:pPr>
        <w:pStyle w:val="Heading2"/>
        <w:spacing w:after="100" w:before="200"/>
      </w:pPr>
      <w:r>
        <w:rPr>
          <w:rFonts w:ascii="Calibri" w:cs="Calibri" w:eastAsia="Calibri" w:hAnsi="Calibri"/>
          <w:b/>
          <w:bCs/>
          <w:sz w:val="24"/>
          <w:szCs w:val="24"/>
        </w:rPr>
        <w:t xml:space="preserve">5.3 Dimension as capacity and G₂ as constraint</w:t>
      </w:r>
    </w:p>
    <w:p>
      <w:pPr>
        <w:spacing w:after="120" w:line="300"/>
        <w:jc w:val="both"/>
      </w:pPr>
      <w:r>
        <w:rPr>
          <w:rFonts w:ascii="Calibri" w:cs="Calibri" w:eastAsia="Calibri" w:hAnsi="Calibri"/>
          <w:sz w:val="22"/>
          <w:szCs w:val="22"/>
        </w:rPr>
        <w:t xml:space="preserve">Observation 5.3. Fuchs [6] argues that the Hilbert-space dimension d is not a feature imposed on nature by the theorist but a feature of the world discovered through quantum experiment — a capacity parameter counting the maximal number of distinguishable outcomes. PCI treats the G₂ structure symmetrically: its 14 generators and 7-dimensional fundamental representation are not imposed but discovered constraints on the spectral family. In both theories the algebra is a fact about what an observer can do, not a convenient mathematical scaffolding.</w:t>
      </w:r>
    </w:p>
    <w:p>
      <w:pPr>
        <w:pStyle w:val="Heading2"/>
        <w:spacing w:after="100" w:before="200"/>
      </w:pPr>
      <w:r>
        <w:rPr>
          <w:rFonts w:ascii="Calibri" w:cs="Calibri" w:eastAsia="Calibri" w:hAnsi="Calibri"/>
          <w:b/>
          <w:bCs/>
          <w:sz w:val="24"/>
          <w:szCs w:val="24"/>
        </w:rPr>
        <w:t xml:space="preserve">5.4 Urgleichung and spectral sum theorem</w:t>
      </w:r>
    </w:p>
    <w:p>
      <w:pPr>
        <w:spacing w:after="120" w:line="300"/>
        <w:jc w:val="both"/>
      </w:pPr>
      <w:r>
        <w:rPr>
          <w:rFonts w:ascii="Calibri" w:cs="Calibri" w:eastAsia="Calibri" w:hAnsi="Calibri"/>
          <w:sz w:val="22"/>
          <w:szCs w:val="22"/>
        </w:rPr>
        <w:t xml:space="preserve">Observation 5.4 (novel). The QBist urgleichung, equation (1), and the PCI spectral sum theorem, equation (5), are both zero-free-parameter constraints forced by the ambient algebra rather than fitted to data. The urgleichung is a probabilistic constraint in the SIC frame: Q(Dⱼ) is determined by P(Hᵢ) and P(Dⱼ | Hᵢ) with no adjustable coefficients. The spectral sum theorem is a frequency constraint in the G₂ frame: f₃ is determined by f₁ and f₂ with no adjustable coefficients. Both are zero-parameter algebraic constraints forced by the d = 7 ambient structure — the urgleichung by SIC symmetry, the spectral sum theorem by the G₂ root system. They are structural parallels, both instances of algebraically forced constraints, not derived from one another.</w:t>
      </w:r>
    </w:p>
    <w:p>
      <w:pPr>
        <w:spacing w:after="120" w:line="300"/>
        <w:jc w:val="both"/>
      </w:pPr>
      <w:r>
        <w:rPr>
          <w:rFonts w:ascii="Calibri" w:cs="Calibri" w:eastAsia="Calibri" w:hAnsi="Calibri"/>
          <w:sz w:val="22"/>
          <w:szCs w:val="22"/>
        </w:rPr>
        <w:t xml:space="preserve">A partial quantitative version of this analogy is worth recording. The urgleichung can be written schematically as Q = A P with A = (d + 1) · I − (1/d) · J, where J is the all-ones matrix and the coefficients (d + 1, 1/d) are forced by SIC symmetry. The spectral sum theorem can be written as f = B e with B the root-system matrix of G₂ acting on the Cartan labels (e₁, e₂), and the coefficient pattern (+1, +1) on the long-root eigenvalue is forced by the root system of G₂. In both cases the matrix is fixed by the ambient algebra, and the only data supplied by the agent are the labels on which it acts.</w:t>
      </w:r>
    </w:p>
    <w:p>
      <w:pPr>
        <w:pStyle w:val="Heading2"/>
        <w:spacing w:after="100" w:before="200"/>
      </w:pPr>
      <w:r>
        <w:rPr>
          <w:rFonts w:ascii="Calibri" w:cs="Calibri" w:eastAsia="Calibri" w:hAnsi="Calibri"/>
          <w:b/>
          <w:bCs/>
          <w:sz w:val="24"/>
          <w:szCs w:val="24"/>
        </w:rPr>
        <w:t xml:space="preserve">5.5 SIC triple products and Fano triple products</w:t>
      </w:r>
    </w:p>
    <w:p>
      <w:pPr>
        <w:spacing w:after="120" w:line="300"/>
        <w:jc w:val="both"/>
      </w:pPr>
      <w:r>
        <w:rPr>
          <w:rFonts w:ascii="Calibri" w:cs="Calibri" w:eastAsia="Calibri" w:hAnsi="Calibri"/>
          <w:sz w:val="22"/>
          <w:szCs w:val="22"/>
        </w:rPr>
        <w:t xml:space="preserve">Observation 5.5. The SIC-POVM is characterized up to unitary equivalence by its triple products Tᵢⱼₖ = tr(Πᵢ Πⱼ Πₖ) [1]. The associative 3-form φ on ℝ⁷ is characterized by its values on the triples of basis vectors corresponding to the seven oriented Fano lines. In both cases the structure is determined by 3-body correlations, not 2-body correlations. The QBism–PCI dictionary at this level is: SIC triples encode the quantum grammar; Fano triples encode the consciousness grammar; both live on the same seven-point combinatorial skeleton.</w:t>
      </w:r>
    </w:p>
    <w:p>
      <w:pPr>
        <w:pStyle w:val="Heading2"/>
        <w:spacing w:after="100" w:before="200"/>
      </w:pPr>
      <w:r>
        <w:rPr>
          <w:rFonts w:ascii="Calibri" w:cs="Calibri" w:eastAsia="Calibri" w:hAnsi="Calibri"/>
          <w:b/>
          <w:bCs/>
          <w:sz w:val="24"/>
          <w:szCs w:val="24"/>
        </w:rPr>
        <w:t xml:space="preserve">5.6 Belief update and Laplacian flow</w:t>
      </w:r>
    </w:p>
    <w:p>
      <w:pPr>
        <w:spacing w:after="120" w:line="300"/>
        <w:jc w:val="both"/>
      </w:pPr>
      <w:r>
        <w:rPr>
          <w:rFonts w:ascii="Calibri" w:cs="Calibri" w:eastAsia="Calibri" w:hAnsi="Calibri"/>
          <w:sz w:val="22"/>
          <w:szCs w:val="22"/>
        </w:rPr>
        <w:t xml:space="preserve">Hypothesis 5.6. In QBism, measurement is modelled as belief update: the agent's probability assignment changes according to the urgleichung when a measurement outcome is registered. In PCI, observation is modelled as torsion evolution under the Laplacian flow of Lotay and Wei [13], converging toward a torsion-free fixed point. We conjecture a stronger relationship: that the infinitesimal generator of QBist belief update in the SIC frame, at d = 7 and under the F₂₁ symmetry, coincides with the linearization of the Laplacian flow on the G₂ quotient G₂ / SU(3). A proof would require writing the urgleichung as a flow on the space of probability assignments and comparing its generator at the SIC fiducial with the Lotay–Wei generator at the torsion-free fixed point; we identify this as an open problem in Section 6.</w:t>
      </w:r>
    </w:p>
    <w:p>
      <w:pPr>
        <w:pStyle w:val="Heading1"/>
        <w:spacing w:after="140" w:before="280"/>
      </w:pPr>
      <w:r>
        <w:rPr>
          <w:rFonts w:ascii="Calibri" w:cs="Calibri" w:eastAsia="Calibri" w:hAnsi="Calibri"/>
          <w:b/>
          <w:bCs/>
          <w:sz w:val="26"/>
          <w:szCs w:val="26"/>
        </w:rPr>
        <w:t xml:space="preserve">6. Discussion and Predictions</w:t>
      </w:r>
    </w:p>
    <w:p>
      <w:pPr>
        <w:pStyle w:val="Heading2"/>
        <w:spacing w:after="100" w:before="200"/>
      </w:pPr>
      <w:r>
        <w:rPr>
          <w:rFonts w:ascii="Calibri" w:cs="Calibri" w:eastAsia="Calibri" w:hAnsi="Calibri"/>
          <w:b/>
          <w:bCs/>
          <w:sz w:val="24"/>
          <w:szCs w:val="24"/>
        </w:rPr>
        <w:t xml:space="preserve">6.1 What this paper claims</w:t>
      </w:r>
    </w:p>
    <w:p>
      <w:pPr>
        <w:spacing w:after="120" w:line="300"/>
        <w:jc w:val="both"/>
      </w:pPr>
      <w:r>
        <w:rPr>
          <w:rFonts w:ascii="Calibri" w:cs="Calibri" w:eastAsia="Calibri" w:hAnsi="Calibri"/>
          <w:sz w:val="22"/>
          <w:szCs w:val="22"/>
        </w:rPr>
        <w:t xml:space="preserve">The mathematical content of this paper is the PSL(2,7) bridge of Section 4 and, in particular, Theorem 4.3. That F₂₁ is the simultaneous stabilizer of the d = 7 SIC Weyl–Heisenberg structure and the G₂ associative 3-form is a group-theoretic result that follows from Costa–Pavone [3], Killgore [11], Koca et al. [12] on the G₂ side and from the classical isomorphism Cliff(7) / WH(7) ≅ PSL(2,7) combined with Samuel–Gedik [15] on the SIC side. The equality |PSL(2,7) / F₂₁| = dim SU(3) = 8 is elementary but sharp: it replaces the arithmetic error of claiming 147 + 21 = 168 (which is correct as an integer equation but fails as a statement about subgroups of PSL(2,7), since 147 does not divide 168) with a genuine statement about coset cardinality.</w:t>
      </w:r>
    </w:p>
    <w:p>
      <w:pPr>
        <w:spacing w:after="120" w:line="300"/>
        <w:jc w:val="both"/>
      </w:pPr>
      <w:r>
        <w:rPr>
          <w:rFonts w:ascii="Calibri" w:cs="Calibri" w:eastAsia="Calibri" w:hAnsi="Calibri"/>
          <w:sz w:val="22"/>
          <w:szCs w:val="22"/>
        </w:rPr>
        <w:t xml:space="preserve">The structural parallels of Section 5 and the Oizumi connection of Section 6.6 are, with the exceptions of Observations 5.1–5.5, conjectural. They are offered as a dictionary between two agent-centric theories that do not currently communicate, and they are intended to guide rather than replace technical work.</w:t>
      </w:r>
    </w:p>
    <w:p>
      <w:pPr>
        <w:pStyle w:val="Heading2"/>
        <w:spacing w:after="100" w:before="200"/>
      </w:pPr>
      <w:r>
        <w:rPr>
          <w:rFonts w:ascii="Calibri" w:cs="Calibri" w:eastAsia="Calibri" w:hAnsi="Calibri"/>
          <w:b/>
          <w:bCs/>
          <w:sz w:val="24"/>
          <w:szCs w:val="24"/>
        </w:rPr>
        <w:t xml:space="preserve">6.2 Testable consequences</w:t>
      </w:r>
    </w:p>
    <w:p>
      <w:pPr>
        <w:spacing w:after="120" w:line="300"/>
        <w:jc w:val="both"/>
      </w:pPr>
      <w:r>
        <w:rPr>
          <w:rFonts w:ascii="Calibri" w:cs="Calibri" w:eastAsia="Calibri" w:hAnsi="Calibri"/>
          <w:sz w:val="22"/>
          <w:szCs w:val="22"/>
        </w:rPr>
        <w:t xml:space="preserve">The bridge supports three falsifiable predictions, two of which are independently falsifiable and one of which is a joint test.</w:t>
      </w:r>
    </w:p>
    <w:p>
      <w:pPr>
        <w:spacing w:after="120" w:line="300"/>
        <w:jc w:val="both"/>
      </w:pPr>
      <w:r>
        <w:rPr>
          <w:rFonts w:ascii="Calibri" w:cs="Calibri" w:eastAsia="Calibri" w:hAnsi="Calibri"/>
          <w:b/>
          <w:bCs/>
          <w:sz w:val="22"/>
          <w:szCs w:val="22"/>
        </w:rPr>
        <w:t xml:space="preserve">(a) </w:t>
      </w:r>
      <w:r>
        <w:rPr>
          <w:rFonts w:ascii="Calibri" w:cs="Calibri" w:eastAsia="Calibri" w:hAnsi="Calibri"/>
          <w:sz w:val="22"/>
          <w:szCs w:val="22"/>
        </w:rPr>
        <w:t xml:space="preserve">If G₂ is the correct qualia symmetry group in the Oizumi sense, then d = 7 SICs should exhibit special properties not shared by SICs at other prime dimensions — in particular, their symmetry groups should admit the F₂₁ subgroup structure identified in Theorem 4.3. Samuel and Gedik [15] report that every d = 7 SIC they classify contains the order-3 Clifford unitary; the prediction is that this feature survives to any d = 7 SIC yet to be discovered, and does not generalize in the same form to neighbouring primes such as d = 5 or d = 11.</w:t>
      </w:r>
    </w:p>
    <w:p>
      <w:pPr>
        <w:spacing w:after="120" w:line="300"/>
        <w:jc w:val="both"/>
      </w:pPr>
      <w:r>
        <w:rPr>
          <w:rFonts w:ascii="Calibri" w:cs="Calibri" w:eastAsia="Calibri" w:hAnsi="Calibri"/>
          <w:b/>
          <w:bCs/>
          <w:sz w:val="22"/>
          <w:szCs w:val="22"/>
        </w:rPr>
        <w:t xml:space="preserve">(b) </w:t>
      </w:r>
      <w:r>
        <w:rPr>
          <w:rFonts w:ascii="Calibri" w:cs="Calibri" w:eastAsia="Calibri" w:hAnsi="Calibri"/>
          <w:sz w:val="22"/>
          <w:szCs w:val="22"/>
        </w:rPr>
        <w:t xml:space="preserve">The spectral sum theorem, equation (5), is independently falsifiable in any physical system for which the G₂ fundamental representation is claimed to govern the spectrum. In microtubule dodecanogram data [2, 16] the relation 100 MHz = 20 MHz + 80 MHz is already observed; the prediction 28 MHz = 8 MHz + 20 MHz is a further test.</w:t>
      </w:r>
    </w:p>
    <w:p>
      <w:pPr>
        <w:spacing w:after="120" w:line="300"/>
        <w:jc w:val="both"/>
      </w:pPr>
      <w:r>
        <w:rPr>
          <w:rFonts w:ascii="Calibri" w:cs="Calibri" w:eastAsia="Calibri" w:hAnsi="Calibri"/>
          <w:b/>
          <w:bCs/>
          <w:sz w:val="22"/>
          <w:szCs w:val="22"/>
        </w:rPr>
        <w:t xml:space="preserve">(c) </w:t>
      </w:r>
      <w:r>
        <w:rPr>
          <w:rFonts w:ascii="Calibri" w:cs="Calibri" w:eastAsia="Calibri" w:hAnsi="Calibri"/>
          <w:sz w:val="22"/>
          <w:szCs w:val="22"/>
        </w:rPr>
        <w:t xml:space="preserve">If the QBism–PCI dictionary of Section 5 is correct, the 28 MHz line should be accompanied by probability-frame signatures that match the urgleichung under the SIC reconstruction of the underlying state. This is a joint test of both frameworks.</w:t>
      </w:r>
    </w:p>
    <w:p>
      <w:pPr>
        <w:pStyle w:val="Heading2"/>
        <w:spacing w:after="100" w:before="200"/>
      </w:pPr>
      <w:r>
        <w:rPr>
          <w:rFonts w:ascii="Calibri" w:cs="Calibri" w:eastAsia="Calibri" w:hAnsi="Calibri"/>
          <w:b/>
          <w:bCs/>
          <w:sz w:val="24"/>
          <w:szCs w:val="24"/>
        </w:rPr>
        <w:t xml:space="preserve">6.3 What this paper does not resolve</w:t>
      </w:r>
    </w:p>
    <w:p>
      <w:pPr>
        <w:spacing w:after="120" w:line="300"/>
        <w:jc w:val="both"/>
      </w:pPr>
      <w:r>
        <w:rPr>
          <w:rFonts w:ascii="Calibri" w:cs="Calibri" w:eastAsia="Calibri" w:hAnsi="Calibri"/>
          <w:sz w:val="22"/>
          <w:szCs w:val="22"/>
        </w:rPr>
        <w:t xml:space="preserve">Several questions remain open. First, the Fisher–Rao radius 2 and the nearly Kähler radius 2 agree numerically, but we have not proved that they must agree on structural grounds. Second, whether the PSL(2,7) bridge is a coincidence of the d = 7 case or is a consequence of a more general principle that selects G₂ as the qualia group is not settled by Theorem 4.3. Third, the paper is descriptive: it maps correspondences rather than deriving one framework from the other. In particular, the generator-level identification conjectured in Hypothesis 5.6 would be the strongest form of the bridge, and it is not proved here.</w:t>
      </w:r>
    </w:p>
    <w:p>
      <w:pPr>
        <w:pStyle w:val="Heading2"/>
        <w:spacing w:after="100" w:before="200"/>
      </w:pPr>
      <w:r>
        <w:rPr>
          <w:rFonts w:ascii="Calibri" w:cs="Calibri" w:eastAsia="Calibri" w:hAnsi="Calibri"/>
          <w:b/>
          <w:bCs/>
          <w:sz w:val="24"/>
          <w:szCs w:val="24"/>
        </w:rPr>
        <w:t xml:space="preserve">6.4 Relation to prior bridges between quantum and consciousness theories</w:t>
      </w:r>
    </w:p>
    <w:p>
      <w:pPr>
        <w:spacing w:after="120" w:line="300"/>
        <w:jc w:val="both"/>
      </w:pPr>
      <w:r>
        <w:rPr>
          <w:rFonts w:ascii="Calibri" w:cs="Calibri" w:eastAsia="Calibri" w:hAnsi="Calibri"/>
          <w:sz w:val="22"/>
          <w:szCs w:val="22"/>
        </w:rPr>
        <w:t xml:space="preserve">Several authors have proposed links between quantum foundations and consciousness research, most prominently the Penrose–Hameroff Orch-OR programme and the quantum-cognition literature. The bridge constructed here is different in kind. It does not propose that brains are quantum computers, nor that conscious experience requires superposition, nor that the measurement problem is solved by an observer’s mind. Instead, it identifies a common mathematical object — the Fano plane and its automorphism group PSL(2,7) — that controls both the d = 7 SIC grammar on the quantum side and the G₂ geometry on the PCI side. The claim is structural, not dynamical: the two theories use the same group-theoretic skeleton because they both inherit it from the octonions and from gl(7, ℂ), not because conscious processes are literally quantum.</w:t>
      </w:r>
    </w:p>
    <w:p>
      <w:pPr>
        <w:spacing w:after="120" w:line="300"/>
        <w:jc w:val="both"/>
      </w:pPr>
      <w:r>
        <w:rPr>
          <w:rFonts w:ascii="Calibri" w:cs="Calibri" w:eastAsia="Calibri" w:hAnsi="Calibri"/>
          <w:sz w:val="22"/>
          <w:szCs w:val="22"/>
        </w:rPr>
        <w:t xml:space="preserve">Ward’s constraint-closure model of non-dual awareness [17] is the nearest prior work in spirit. Ward proposes that awareness is characterized by a self-referential closure condition on a constraint hierarchy; the dictionary offered here identifies Ward’s closure with the PSL(2,7) / F₂₁ coset structure. We do not prove this identification but note that both are eight-fold structures (eight cosets on our side, eight canonical modes on Ward’s), and that both arise from quotienting a 168-element group by an order-21 stabilizer.</w:t>
      </w:r>
    </w:p>
    <w:p>
      <w:pPr>
        <w:pStyle w:val="Heading2"/>
        <w:spacing w:after="100" w:before="200"/>
      </w:pPr>
      <w:r>
        <w:rPr>
          <w:rFonts w:ascii="Calibri" w:cs="Calibri" w:eastAsia="Calibri" w:hAnsi="Calibri"/>
          <w:b/>
          <w:bCs/>
          <w:sz w:val="24"/>
          <w:szCs w:val="24"/>
        </w:rPr>
        <w:t xml:space="preserve">6.5 Limitations</w:t>
      </w:r>
    </w:p>
    <w:p>
      <w:pPr>
        <w:spacing w:after="120" w:line="300"/>
        <w:jc w:val="both"/>
      </w:pPr>
      <w:r>
        <w:rPr>
          <w:rFonts w:ascii="Calibri" w:cs="Calibri" w:eastAsia="Calibri" w:hAnsi="Calibri"/>
          <w:sz w:val="22"/>
          <w:szCs w:val="22"/>
        </w:rPr>
        <w:t xml:space="preserve">The PCI framework is developed primarily in author preprints [7, 8, 9] and is not yet peer-reviewed, though submission to Neuroscience of Consciousness is pending. The SIC existence conjecture at d = 7 is numerically verified to high precision but is not proved in full generality. The principal-bundle framework of Oizumi et al. [14] is also a preprint. Consequently, the bridge constructed here rests on a mix of peer-reviewed (Appleby–Flammia–Fuchs [1]; Costa–Pavone [3]; Friedrich [5]; Lotay–Wei [13]; Ward [17]) and preprint-level results. We have been explicit throughout about which is which.</w:t>
      </w:r>
    </w:p>
    <w:p>
      <w:pPr>
        <w:pStyle w:val="Heading2"/>
        <w:spacing w:after="100" w:before="200"/>
      </w:pPr>
      <w:r>
        <w:rPr>
          <w:rFonts w:ascii="Calibri" w:cs="Calibri" w:eastAsia="Calibri" w:hAnsi="Calibri"/>
          <w:b/>
          <w:bCs/>
          <w:sz w:val="24"/>
          <w:szCs w:val="24"/>
        </w:rPr>
        <w:t xml:space="preserve">6.6 Speculative extension: the Oizumi principal-bundle connection</w:t>
      </w:r>
    </w:p>
    <w:p>
      <w:pPr>
        <w:spacing w:after="120" w:line="300"/>
        <w:jc w:val="both"/>
      </w:pPr>
      <w:r>
        <w:rPr>
          <w:rFonts w:ascii="Calibri" w:cs="Calibri" w:eastAsia="Calibri" w:hAnsi="Calibri"/>
          <w:i/>
          <w:iCs/>
          <w:sz w:val="22"/>
          <w:szCs w:val="22"/>
        </w:rPr>
        <w:t xml:space="preserve">The following connection is speculative and is included for completeness, not as a claim of this paper.</w:t>
      </w:r>
    </w:p>
    <w:p>
      <w:pPr>
        <w:spacing w:after="120" w:line="300"/>
        <w:jc w:val="both"/>
      </w:pPr>
      <w:r>
        <w:rPr>
          <w:rFonts w:ascii="Calibri" w:cs="Calibri" w:eastAsia="Calibri" w:hAnsi="Calibri"/>
          <w:sz w:val="22"/>
          <w:szCs w:val="22"/>
        </w:rPr>
        <w:t xml:space="preserve">Oizumi, Lim, and Kanai [14] propose a geometric framework in which qualia are organized by a principal fibre bundle P → M with a structure group G that is deliberately left open. Hypothesis 6.1 (now relabeled 7.6.1): PCI fills this open slot by proposing G = G₂, making the base space naturally G₂ / SU(3) = S⁶ and decomposing the bundle’s obstruction classes into the torsion classes T₁ ⊕ T₇ ⊕ T₁₄ ⊕ T₂₇ of dimension 49. The rigid/plastic duality of Oizumi et al. maps to the split between the discrete torsion class (fixed by the G₂-structure) and the torsion-class dynamics under Laplacian flow.</w:t>
      </w:r>
    </w:p>
    <w:p>
      <w:pPr>
        <w:spacing w:after="120" w:line="300"/>
        <w:jc w:val="both"/>
      </w:pPr>
      <w:r>
        <w:rPr>
          <w:rFonts w:ascii="Calibri" w:cs="Calibri" w:eastAsia="Calibri" w:hAnsi="Calibri"/>
          <w:sz w:val="22"/>
          <w:szCs w:val="22"/>
        </w:rPr>
        <w:t xml:space="preserve">If G = G₂, the d = 7 SIC is the natural measurement scheme for the fibres of the Oizumi bundle (Hypothesis 7.6.2): the seven SIC outcomes correspond to the seven octonion units and the 49 SIC triple products Tᵢⱼₖ encode the measurement grammar on the base. The combined speculative picture is: Oizumi supplies the bundle, PCI supplies the structure group G₂, and QBism supplies the urgleichung constraining the agent’s probability assignments over fibre outcomes. Completing this triangle would require fixing G in the Oizumi framework from first principles rather than by hypothesis, which is left as future work.</w:t>
      </w:r>
    </w:p>
    <w:p>
      <w:pPr>
        <w:pStyle w:val="Heading1"/>
        <w:spacing w:after="140" w:before="280"/>
      </w:pPr>
      <w:r>
        <w:rPr>
          <w:rFonts w:ascii="Calibri" w:cs="Calibri" w:eastAsia="Calibri" w:hAnsi="Calibri"/>
          <w:b/>
          <w:bCs/>
          <w:sz w:val="26"/>
          <w:szCs w:val="26"/>
        </w:rPr>
        <w:t xml:space="preserve">7. Conclusion</w:t>
      </w:r>
    </w:p>
    <w:p>
      <w:pPr>
        <w:spacing w:after="120" w:line="300"/>
        <w:jc w:val="both"/>
      </w:pPr>
      <w:r>
        <w:rPr>
          <w:rFonts w:ascii="Calibri" w:cs="Calibri" w:eastAsia="Calibri" w:hAnsi="Calibri"/>
          <w:sz w:val="22"/>
          <w:szCs w:val="22"/>
        </w:rPr>
        <w:t xml:space="preserve">QBism asks what constraints quantum mechanics places on an agent's beliefs. PCI asks what constraints G₂ geometry places on an observer's coherence. Independently, they arrive at the same number, 49 = 7², the same combinatorial object, the Fano plane, and the same master group, PSL(2,7) of order 168.</w:t>
      </w:r>
    </w:p>
    <w:p>
      <w:pPr>
        <w:spacing w:after="120" w:line="300"/>
        <w:jc w:val="both"/>
      </w:pPr>
      <w:r>
        <w:rPr>
          <w:rFonts w:ascii="Calibri" w:cs="Calibri" w:eastAsia="Calibri" w:hAnsi="Calibri"/>
          <w:sz w:val="22"/>
          <w:szCs w:val="22"/>
        </w:rPr>
        <w:t xml:space="preserve">The bridge between them runs through PSL(2,7) as a group action, not as a group decomposition. The Frobenius group F₂₁ = ℤ₇ ⋊ ℤ₃ is the simultaneous stabilizer of the Weyl–Heisenberg SIC structure (via Samuel and Gedik's order-3 Clifford unitary) and the G₂ associative 3-form (via Costa–Pavone's theorem S₇ ∩ G₂ = F₂₁). The eight cosets of F₂₁ in PSL(2,7) match dim SU(3) = 8, the dimension of the nearly Kähler sphere G₂ / SU(3) on which PCI places its Fisher–Rao dynamics.</w:t>
      </w:r>
    </w:p>
    <w:p>
      <w:pPr>
        <w:spacing w:after="120" w:line="300"/>
        <w:jc w:val="both"/>
      </w:pPr>
      <w:r>
        <w:rPr>
          <w:rFonts w:ascii="Calibri" w:cs="Calibri" w:eastAsia="Calibri" w:hAnsi="Calibri"/>
          <w:sz w:val="22"/>
          <w:szCs w:val="22"/>
        </w:rPr>
        <w:t xml:space="preserve">The connection between probability and geometry, on this reading, is not a smooth functor but a discrete group: the 168-element automorphism group of the structure that underlies both the octonions and the quantum measurement grammar in dimension seven. Whether this discrete bridge can be strengthened to a dynamical one — relating the urgleichung directly to the Laplacian flow on G₂-structures — is the natural next problem.</w:t>
      </w:r>
    </w:p>
    <w:p>
      <w:pPr>
        <w:pStyle w:val="Heading1"/>
        <w:spacing w:after="140" w:before="280"/>
      </w:pPr>
      <w:r>
        <w:rPr>
          <w:rFonts w:ascii="Calibri" w:cs="Calibri" w:eastAsia="Calibri" w:hAnsi="Calibri"/>
          <w:b/>
          <w:bCs/>
          <w:sz w:val="26"/>
          <w:szCs w:val="26"/>
        </w:rPr>
        <w:t xml:space="preserve">Funding</w:t>
      </w:r>
    </w:p>
    <w:p>
      <w:pPr>
        <w:spacing w:after="120" w:line="300"/>
        <w:jc w:val="both"/>
      </w:pPr>
      <w:r>
        <w:rPr>
          <w:rFonts w:ascii="Calibri" w:cs="Calibri" w:eastAsia="Calibri" w:hAnsi="Calibri"/>
          <w:sz w:val="22"/>
          <w:szCs w:val="22"/>
        </w:rPr>
        <w:t xml:space="preserve">This research received no external funding.</w:t>
      </w:r>
    </w:p>
    <w:p>
      <w:pPr>
        <w:pStyle w:val="Heading1"/>
        <w:spacing w:after="140" w:before="280"/>
      </w:pPr>
      <w:r>
        <w:rPr>
          <w:rFonts w:ascii="Calibri" w:cs="Calibri" w:eastAsia="Calibri" w:hAnsi="Calibri"/>
          <w:b/>
          <w:bCs/>
          <w:sz w:val="26"/>
          <w:szCs w:val="26"/>
        </w:rPr>
        <w:t xml:space="preserve">Data Availability</w:t>
      </w:r>
    </w:p>
    <w:p>
      <w:pPr>
        <w:spacing w:after="120" w:line="300"/>
        <w:jc w:val="both"/>
      </w:pPr>
      <w:r>
        <w:rPr>
          <w:rFonts w:ascii="Calibri" w:cs="Calibri" w:eastAsia="Calibri" w:hAnsi="Calibri"/>
          <w:sz w:val="22"/>
          <w:szCs w:val="22"/>
        </w:rPr>
        <w:t xml:space="preserve">All computational verification code is publicly available at </w:t>
      </w:r>
      <w:r>
        <w:rPr>
          <w:rFonts w:ascii="Calibri" w:cs="Calibri" w:eastAsia="Calibri" w:hAnsi="Calibri"/>
          <w:sz w:val="22"/>
          <w:szCs w:val="22"/>
        </w:rPr>
      </w:r>
      <w:r>
        <w:rPr>
          <w:rFonts w:ascii="Calibri" w:cs="Calibri" w:eastAsia="Calibri" w:hAnsi="Calibri"/>
          <w:sz w:val="22"/>
          <w:szCs w:val="22"/>
        </w:rPr>
        <w:t xml:space="preserve">.</w:t>
      </w:r>
    </w:p>
    <w:p>
      <w:pPr>
        <w:pStyle w:val="Heading1"/>
        <w:spacing w:after="140" w:before="280"/>
      </w:pPr>
      <w:r>
        <w:rPr>
          <w:rFonts w:ascii="Calibri" w:cs="Calibri" w:eastAsia="Calibri" w:hAnsi="Calibri"/>
          <w:b/>
          <w:bCs/>
          <w:sz w:val="26"/>
          <w:szCs w:val="26"/>
        </w:rPr>
        <w:t xml:space="preserve">Acknowledgments</w:t>
      </w:r>
    </w:p>
    <w:p>
      <w:pPr>
        <w:spacing w:after="120" w:line="300"/>
        <w:jc w:val="both"/>
      </w:pPr>
      <w:r>
        <w:rPr>
          <w:rFonts w:ascii="Calibri" w:cs="Calibri" w:eastAsia="Calibri" w:hAnsi="Calibri"/>
          <w:sz w:val="22"/>
          <w:szCs w:val="22"/>
        </w:rPr>
        <w:t xml:space="preserve">Large language models (Claude, Anthropic; Perplexity AI) were used as analytical tools for computation, literature search, and cross-validation. All mathematical content and interpretive claims are the sole responsibility of the author.</w:t>
      </w:r>
    </w:p>
    <w:p>
      <w:pPr>
        <w:pStyle w:val="Heading1"/>
        <w:spacing w:after="140" w:before="280"/>
      </w:pPr>
      <w:r>
        <w:rPr>
          <w:rFonts w:ascii="Calibri" w:cs="Calibri" w:eastAsia="Calibri" w:hAnsi="Calibri"/>
          <w:b/>
          <w:bCs/>
          <w:sz w:val="26"/>
          <w:szCs w:val="26"/>
        </w:rPr>
        <w:t xml:space="preserve">References</w:t>
      </w:r>
    </w:p>
    <w:p>
      <w:pPr>
        <w:spacing w:after="100" w:line="280"/>
        <w:ind w:left="360" w:hanging="360"/>
      </w:pPr>
      <w:r>
        <w:rPr>
          <w:rFonts w:ascii="Calibri" w:cs="Calibri" w:eastAsia="Calibri" w:hAnsi="Calibri"/>
          <w:b/>
          <w:bCs/>
          <w:sz w:val="22"/>
          <w:szCs w:val="22"/>
        </w:rPr>
        <w:t xml:space="preserve">[1] </w:t>
      </w:r>
      <w:r>
        <w:rPr>
          <w:rFonts w:ascii="Calibri" w:cs="Calibri" w:eastAsia="Calibri" w:hAnsi="Calibri"/>
          <w:sz w:val="22"/>
          <w:szCs w:val="22"/>
        </w:rPr>
        <w:t xml:space="preserve">Appleby, D.M., Flammia, S.T., and Fuchs, C.A. (2011). “The Lie Algebraic Significance of Symmetric Informationally Complete Measurements.” </w:t>
      </w:r>
      <w:r>
        <w:rPr>
          <w:rFonts w:ascii="Calibri" w:cs="Calibri" w:eastAsia="Calibri" w:hAnsi="Calibri"/>
          <w:i/>
          <w:iCs/>
          <w:sz w:val="22"/>
          <w:szCs w:val="22"/>
        </w:rPr>
        <w:t xml:space="preserve">J. Math. Phys.</w:t>
      </w:r>
      <w:r>
        <w:rPr>
          <w:rFonts w:ascii="Calibri" w:cs="Calibri" w:eastAsia="Calibri" w:hAnsi="Calibri"/>
          <w:sz w:val="22"/>
          <w:szCs w:val="22"/>
        </w:rPr>
        <w:t xml:space="preserve"> 52, 022202. </w:t>
      </w:r>
      <w:hyperlink w:history="1" r:id="rIdi5ibkum_kh_cezn5kgzgf">
        <w:r>
          <w:rPr>
            <w:rStyle w:val="Hyperlink"/>
            <w:rFonts w:ascii="Calibri" w:cs="Calibri" w:eastAsia="Calibri" w:hAnsi="Calibri"/>
            <w:color w:val="0563C1"/>
            <w:sz w:val="22"/>
            <w:szCs w:val="22"/>
            <w:u w:val="single"/>
          </w:rPr>
          <w:t xml:space="preserve">arXiv:1001.0004</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[2] </w:t>
      </w:r>
      <w:r>
        <w:rPr>
          <w:rFonts w:ascii="Calibri" w:cs="Calibri" w:eastAsia="Calibri" w:hAnsi="Calibri"/>
          <w:sz w:val="22"/>
          <w:szCs w:val="22"/>
        </w:rPr>
        <w:t xml:space="preserve">Bandyopadhyay, A. (2024). “Dodecanogram.” In: </w:t>
      </w:r>
      <w:r>
        <w:rPr>
          <w:rFonts w:ascii="Calibri" w:cs="Calibri" w:eastAsia="Calibri" w:hAnsi="Calibri"/>
          <w:i/>
          <w:iCs/>
          <w:sz w:val="22"/>
          <w:szCs w:val="22"/>
        </w:rPr>
        <w:t xml:space="preserve">Consciousness Studies in Sciences and Humanities</w:t>
      </w:r>
      <w:r>
        <w:rPr>
          <w:rFonts w:ascii="Calibri" w:cs="Calibri" w:eastAsia="Calibri" w:hAnsi="Calibri"/>
          <w:sz w:val="22"/>
          <w:szCs w:val="22"/>
        </w:rPr>
        <w:t xml:space="preserve">. Springer. </w:t>
      </w:r>
      <w:hyperlink w:history="1" r:id="rId47tmedhltvzlokzhwivb1">
        <w:r>
          <w:rPr>
            <w:rStyle w:val="Hyperlink"/>
            <w:rFonts w:ascii="Calibri" w:cs="Calibri" w:eastAsia="Calibri" w:hAnsi="Calibri"/>
            <w:color w:val="0563C1"/>
            <w:sz w:val="22"/>
            <w:szCs w:val="22"/>
            <w:u w:val="single"/>
          </w:rPr>
          <w:t xml:space="preserve">DOI:10.1007/978-981-97-1923-5_20</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[3] </w:t>
      </w:r>
      <w:r>
        <w:rPr>
          <w:rFonts w:ascii="Calibri" w:cs="Calibri" w:eastAsia="Calibri" w:hAnsi="Calibri"/>
          <w:sz w:val="22"/>
          <w:szCs w:val="22"/>
        </w:rPr>
        <w:t xml:space="preserve">Costa, S. and Pavone, M. (2024). “The intersection of S₇ with G₂ as a Frobenius group.” </w:t>
      </w:r>
      <w:r>
        <w:rPr>
          <w:rFonts w:ascii="Calibri" w:cs="Calibri" w:eastAsia="Calibri" w:hAnsi="Calibri"/>
          <w:i/>
          <w:iCs/>
          <w:sz w:val="22"/>
          <w:szCs w:val="22"/>
        </w:rPr>
        <w:t xml:space="preserve">AIMS Mathematics</w:t>
      </w:r>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[4] </w:t>
      </w:r>
      <w:r>
        <w:rPr>
          <w:rFonts w:ascii="Calibri" w:cs="Calibri" w:eastAsia="Calibri" w:hAnsi="Calibri"/>
          <w:sz w:val="22"/>
          <w:szCs w:val="22"/>
        </w:rPr>
        <w:t xml:space="preserve">DeBrota, J.B., Fuchs, C.A., and Stacey, B.C. (2020). “Born’s rule as a quantum extension of Bayesian coherence.” </w:t>
      </w:r>
      <w:hyperlink w:history="1" r:id="rId7i63d4-o2dmeeblcovzz3">
        <w:r>
          <w:rPr>
            <w:rStyle w:val="Hyperlink"/>
            <w:rFonts w:ascii="Calibri" w:cs="Calibri" w:eastAsia="Calibri" w:hAnsi="Calibri"/>
            <w:color w:val="0563C1"/>
            <w:sz w:val="22"/>
            <w:szCs w:val="22"/>
            <w:u w:val="single"/>
          </w:rPr>
          <w:t xml:space="preserve">arXiv:2012.14397</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[5] </w:t>
      </w:r>
      <w:r>
        <w:rPr>
          <w:rFonts w:ascii="Calibri" w:cs="Calibri" w:eastAsia="Calibri" w:hAnsi="Calibri"/>
          <w:sz w:val="22"/>
          <w:szCs w:val="22"/>
        </w:rPr>
        <w:t xml:space="preserve">Friedrich, T. (1991). “Die Fisher-Information und symplektische Strukturen.” </w:t>
      </w:r>
      <w:r>
        <w:rPr>
          <w:rFonts w:ascii="Calibri" w:cs="Calibri" w:eastAsia="Calibri" w:hAnsi="Calibri"/>
          <w:i/>
          <w:iCs/>
          <w:sz w:val="22"/>
          <w:szCs w:val="22"/>
        </w:rPr>
        <w:t xml:space="preserve">Mathematische Nachrichten</w:t>
      </w:r>
      <w:r>
        <w:rPr>
          <w:rFonts w:ascii="Calibri" w:cs="Calibri" w:eastAsia="Calibri" w:hAnsi="Calibri"/>
          <w:sz w:val="22"/>
          <w:szCs w:val="22"/>
        </w:rPr>
        <w:t xml:space="preserve">, 153, 273–296.</w:t>
      </w:r>
    </w:p>
    <w:p>
      <w:pPr>
        <w:spacing w:after="100" w:line="280"/>
        <w:ind w:left="360" w:hanging="360"/>
      </w:pPr>
      <w:r>
        <w:rPr>
          <w:rFonts w:ascii="Calibri" w:cs="Calibri" w:eastAsia="Calibri" w:hAnsi="Calibri"/>
          <w:b/>
          <w:bCs/>
          <w:sz w:val="22"/>
          <w:szCs w:val="22"/>
        </w:rPr>
        <w:t xml:space="preserve">[6] </w:t>
      </w:r>
      <w:r>
        <w:rPr>
          <w:rFonts w:ascii="Calibri" w:cs="Calibri" w:eastAsia="Calibri" w:hAnsi="Calibri"/>
          <w:sz w:val="22"/>
          <w:szCs w:val="22"/>
        </w:rPr>
        <w:t xml:space="preserve">Fuchs, C.A. (2010). “QBism, the Perimeter of Quantum Bayesianism.” </w:t>
      </w:r>
      <w:hyperlink w:history="1" r:id="rIdk_vg4shmgt9hhuromxy-z">
        <w:r>
          <w:rPr>
            <w:rStyle w:val="Hyperlink"/>
            <w:rFonts w:ascii="Calibri" w:cs="Calibri" w:eastAsia="Calibri" w:hAnsi="Calibri"/>
            <w:color w:val="0563C1"/>
            <w:sz w:val="22"/>
            <w:szCs w:val="22"/>
            <w:u w:val="single"/>
          </w:rPr>
          <w:t xml:space="preserve">arXiv:1003.5209</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[7] </w:t>
      </w:r>
      <w:r>
        <w:rPr>
          <w:rFonts w:ascii="Calibri" w:cs="Calibri" w:eastAsia="Calibri" w:hAnsi="Calibri"/>
          <w:sz w:val="22"/>
          <w:szCs w:val="22"/>
        </w:rPr>
        <w:t xml:space="preserve">Graise, M.L. (2026a). “G₂ Symmetry as a Constraint on Conscious Information Processing.” Zenodo. </w:t>
      </w:r>
      <w:hyperlink w:history="1" r:id="rIdbxnmmhfqhluws37mcfeyd">
        <w:r>
          <w:rPr>
            <w:rStyle w:val="Hyperlink"/>
            <w:rFonts w:ascii="Calibri" w:cs="Calibri" w:eastAsia="Calibri" w:hAnsi="Calibri"/>
            <w:color w:val="0563C1"/>
            <w:sz w:val="22"/>
            <w:szCs w:val="22"/>
            <w:u w:val="single"/>
          </w:rPr>
          <w:t xml:space="preserve">DOI:10.5281/zenodo.19242936</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[8] </w:t>
      </w:r>
      <w:r>
        <w:rPr>
          <w:rFonts w:ascii="Calibri" w:cs="Calibri" w:eastAsia="Calibri" w:hAnsi="Calibri"/>
          <w:sz w:val="22"/>
          <w:szCs w:val="22"/>
        </w:rPr>
        <w:t xml:space="preserve">Graise, M.L. (2026b). “Six Geometric Flows on G₂ Manifolds and Their Interpretation as Consciousness Dynamics.” Zenodo. </w:t>
      </w:r>
      <w:hyperlink w:history="1" r:id="rIdvqikm0ylugp-3e8tnuiu9">
        <w:r>
          <w:rPr>
            <w:rStyle w:val="Hyperlink"/>
            <w:rFonts w:ascii="Calibri" w:cs="Calibri" w:eastAsia="Calibri" w:hAnsi="Calibri"/>
            <w:color w:val="0563C1"/>
            <w:sz w:val="22"/>
            <w:szCs w:val="22"/>
            <w:u w:val="single"/>
          </w:rPr>
          <w:t xml:space="preserve">DOI:10.5281/zenodo.19480758</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[9] </w:t>
      </w:r>
      <w:r>
        <w:rPr>
          <w:rFonts w:ascii="Calibri" w:cs="Calibri" w:eastAsia="Calibri" w:hAnsi="Calibri"/>
          <w:sz w:val="22"/>
          <w:szCs w:val="22"/>
        </w:rPr>
        <w:t xml:space="preserve">Graise, M.L. (2026c). “A Spectral Sum Theorem for the Fundamental Representation of G₂ with Application to Biological Resonance Prediction.” Zenodo. </w:t>
      </w:r>
      <w:hyperlink w:history="1" r:id="rIdatfxcv86xk7r0mh5wfxsx">
        <w:r>
          <w:rPr>
            <w:rStyle w:val="Hyperlink"/>
            <w:rFonts w:ascii="Calibri" w:cs="Calibri" w:eastAsia="Calibri" w:hAnsi="Calibri"/>
            <w:color w:val="0563C1"/>
            <w:sz w:val="22"/>
            <w:szCs w:val="22"/>
            <w:u w:val="single"/>
          </w:rPr>
          <w:t xml:space="preserve">DOI:10.5281/zenodo.19602470</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[10] </w:t>
      </w:r>
      <w:r>
        <w:rPr>
          <w:rFonts w:ascii="Calibri" w:cs="Calibri" w:eastAsia="Calibri" w:hAnsi="Calibri"/>
          <w:sz w:val="22"/>
          <w:szCs w:val="22"/>
        </w:rPr>
        <w:t xml:space="preserve">Humphreys, J.E. (1972). </w:t>
      </w:r>
      <w:r>
        <w:rPr>
          <w:rFonts w:ascii="Calibri" w:cs="Calibri" w:eastAsia="Calibri" w:hAnsi="Calibri"/>
          <w:i/>
          <w:iCs/>
          <w:sz w:val="22"/>
          <w:szCs w:val="22"/>
        </w:rPr>
        <w:t xml:space="preserve">Introduction to Lie Algebras and Representation Theory</w:t>
      </w:r>
      <w:r>
        <w:rPr>
          <w:rFonts w:ascii="Calibri" w:cs="Calibri" w:eastAsia="Calibri" w:hAnsi="Calibri"/>
          <w:sz w:val="22"/>
          <w:szCs w:val="22"/>
        </w:rPr>
        <w:t xml:space="preserve">. Springer.</w:t>
      </w:r>
    </w:p>
    <w:p>
      <w:pPr>
        <w:spacing w:after="100" w:line="280"/>
        <w:ind w:left="360" w:hanging="360"/>
      </w:pPr>
      <w:r>
        <w:rPr>
          <w:rFonts w:ascii="Calibri" w:cs="Calibri" w:eastAsia="Calibri" w:hAnsi="Calibri"/>
          <w:b/>
          <w:bCs/>
          <w:sz w:val="22"/>
          <w:szCs w:val="22"/>
        </w:rPr>
        <w:t xml:space="preserve">[11] </w:t>
      </w:r>
      <w:r>
        <w:rPr>
          <w:rFonts w:ascii="Calibri" w:cs="Calibri" w:eastAsia="Calibri" w:hAnsi="Calibri"/>
          <w:sz w:val="22"/>
          <w:szCs w:val="22"/>
        </w:rPr>
        <w:t xml:space="preserve">Killgore, P. (2014). “The intersection of PSL(2,7) and G₂” (undergraduate thesis). Oregon State University.</w:t>
      </w:r>
    </w:p>
    <w:p>
      <w:pPr>
        <w:spacing w:after="100" w:line="280"/>
        <w:ind w:left="360" w:hanging="360"/>
      </w:pPr>
      <w:r>
        <w:rPr>
          <w:rFonts w:ascii="Calibri" w:cs="Calibri" w:eastAsia="Calibri" w:hAnsi="Calibri"/>
          <w:b/>
          <w:bCs/>
          <w:sz w:val="22"/>
          <w:szCs w:val="22"/>
        </w:rPr>
        <w:t xml:space="preserve">[12] </w:t>
      </w:r>
      <w:r>
        <w:rPr>
          <w:rFonts w:ascii="Calibri" w:cs="Calibri" w:eastAsia="Calibri" w:hAnsi="Calibri"/>
          <w:sz w:val="22"/>
          <w:szCs w:val="22"/>
        </w:rPr>
        <w:t xml:space="preserve">Koca, M., Koc, R., and Koca, N.O. (2016). </w:t>
      </w:r>
      <w:hyperlink w:history="1" r:id="rIdo2u0291zzf2lw42eeupms">
        <w:r>
          <w:rPr>
            <w:rStyle w:val="Hyperlink"/>
            <w:rFonts w:ascii="Calibri" w:cs="Calibri" w:eastAsia="Calibri" w:hAnsi="Calibri"/>
            <w:color w:val="0563C1"/>
            <w:sz w:val="22"/>
            <w:szCs w:val="22"/>
            <w:u w:val="single"/>
          </w:rPr>
          <w:t xml:space="preserve">arXiv:1612.06107</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[13] </w:t>
      </w:r>
      <w:r>
        <w:rPr>
          <w:rFonts w:ascii="Calibri" w:cs="Calibri" w:eastAsia="Calibri" w:hAnsi="Calibri"/>
          <w:sz w:val="22"/>
          <w:szCs w:val="22"/>
        </w:rPr>
        <w:t xml:space="preserve">Lotay, J.D. and Wei, Y. (2019). “Laplacian flow for closed G₂ structures.” </w:t>
      </w:r>
      <w:r>
        <w:rPr>
          <w:rFonts w:ascii="Calibri" w:cs="Calibri" w:eastAsia="Calibri" w:hAnsi="Calibri"/>
          <w:i/>
          <w:iCs/>
          <w:sz w:val="22"/>
          <w:szCs w:val="22"/>
        </w:rPr>
        <w:t xml:space="preserve">Trans. AMS</w:t>
      </w:r>
      <w:r>
        <w:rPr>
          <w:rFonts w:ascii="Calibri" w:cs="Calibri" w:eastAsia="Calibri" w:hAnsi="Calibri"/>
          <w:sz w:val="22"/>
          <w:szCs w:val="22"/>
        </w:rPr>
        <w:t xml:space="preserve">, 369, 7369–7389.</w:t>
      </w:r>
    </w:p>
    <w:p>
      <w:pPr>
        <w:spacing w:after="100" w:line="280"/>
        <w:ind w:left="360" w:hanging="360"/>
      </w:pPr>
      <w:r>
        <w:rPr>
          <w:rFonts w:ascii="Calibri" w:cs="Calibri" w:eastAsia="Calibri" w:hAnsi="Calibri"/>
          <w:b/>
          <w:bCs/>
          <w:sz w:val="22"/>
          <w:szCs w:val="22"/>
        </w:rPr>
        <w:t xml:space="preserve">[14] </w:t>
      </w:r>
      <w:r>
        <w:rPr>
          <w:rFonts w:ascii="Calibri" w:cs="Calibri" w:eastAsia="Calibri" w:hAnsi="Calibri"/>
          <w:sz w:val="22"/>
          <w:szCs w:val="22"/>
        </w:rPr>
        <w:t xml:space="preserve">Oizumi, M., Lim, S., and Kanai, R. (2025). “Principal Bundle Geometry of Qualia.” </w:t>
      </w:r>
      <w:hyperlink w:history="1" r:id="rIdkqvtbmg7xszqtuwpptpqk">
        <w:r>
          <w:rPr>
            <w:rStyle w:val="Hyperlink"/>
            <w:rFonts w:ascii="Calibri" w:cs="Calibri" w:eastAsia="Calibri" w:hAnsi="Calibri"/>
            <w:color w:val="0563C1"/>
            <w:sz w:val="22"/>
            <w:szCs w:val="22"/>
            <w:u w:val="single"/>
          </w:rPr>
          <w:t xml:space="preserve">DOI:10.31234/osf.io/agupq</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[15] </w:t>
      </w:r>
      <w:r>
        <w:rPr>
          <w:rFonts w:ascii="Calibri" w:cs="Calibri" w:eastAsia="Calibri" w:hAnsi="Calibri"/>
          <w:sz w:val="22"/>
          <w:szCs w:val="22"/>
        </w:rPr>
        <w:t xml:space="preserve">Samuel, I. and Gedik, Z. (2024). “Group classification of SIC-POVMs.” </w:t>
      </w:r>
      <w:hyperlink w:history="1" r:id="rIdpd_mo0bxs8ugamxi4cprc">
        <w:r>
          <w:rPr>
            <w:rStyle w:val="Hyperlink"/>
            <w:rFonts w:ascii="Calibri" w:cs="Calibri" w:eastAsia="Calibri" w:hAnsi="Calibri"/>
            <w:color w:val="0563C1"/>
            <w:sz w:val="22"/>
            <w:szCs w:val="22"/>
            <w:u w:val="single"/>
          </w:rPr>
          <w:t xml:space="preserve">arXiv:2401.11026</w:t>
        </w:r>
      </w:hyperlink>
      <w:r>
        <w:rPr>
          <w:rFonts w:ascii="Calibri" w:cs="Calibri" w:eastAsia="Calibri" w:hAnsi="Calibri"/>
          <w:sz w:val="22"/>
          <w:szCs w:val="22"/>
        </w:rPr>
        <w:t xml:space="preserve">.</w:t>
      </w:r>
    </w:p>
    <w:p>
      <w:pPr>
        <w:spacing w:after="100" w:line="280"/>
        <w:ind w:left="360" w:hanging="360"/>
      </w:pPr>
      <w:r>
        <w:rPr>
          <w:rFonts w:ascii="Calibri" w:cs="Calibri" w:eastAsia="Calibri" w:hAnsi="Calibri"/>
          <w:b/>
          <w:bCs/>
          <w:sz w:val="22"/>
          <w:szCs w:val="22"/>
        </w:rPr>
        <w:t xml:space="preserve">[16] </w:t>
      </w:r>
      <w:r>
        <w:rPr>
          <w:rFonts w:ascii="Calibri" w:cs="Calibri" w:eastAsia="Calibri" w:hAnsi="Calibri"/>
          <w:sz w:val="22"/>
          <w:szCs w:val="22"/>
        </w:rPr>
        <w:t xml:space="preserve">Saxena, K., Singh, P., Sahoo, P., et al. (2020). “Fractal, scale free electromagnetic resonance of a single brain extracted microtubule nanowire.” </w:t>
      </w:r>
      <w:r>
        <w:rPr>
          <w:rFonts w:ascii="Calibri" w:cs="Calibri" w:eastAsia="Calibri" w:hAnsi="Calibri"/>
          <w:i/>
          <w:iCs/>
          <w:sz w:val="22"/>
          <w:szCs w:val="22"/>
        </w:rPr>
        <w:t xml:space="preserve">ACS Applied Materials &amp; Interfaces</w:t>
      </w:r>
      <w:r>
        <w:rPr>
          <w:rFonts w:ascii="Calibri" w:cs="Calibri" w:eastAsia="Calibri" w:hAnsi="Calibri"/>
          <w:sz w:val="22"/>
          <w:szCs w:val="22"/>
        </w:rPr>
        <w:t xml:space="preserve">, 12(45), 49601–49612.</w:t>
      </w:r>
    </w:p>
    <w:p>
      <w:pPr>
        <w:spacing w:after="100" w:line="280"/>
        <w:ind w:left="360" w:hanging="360"/>
      </w:pPr>
      <w:r>
        <w:rPr>
          <w:rFonts w:ascii="Calibri" w:cs="Calibri" w:eastAsia="Calibri" w:hAnsi="Calibri"/>
          <w:b/>
          <w:bCs/>
          <w:sz w:val="22"/>
          <w:szCs w:val="22"/>
        </w:rPr>
        <w:t xml:space="preserve">[17] </w:t>
      </w:r>
      <w:r>
        <w:rPr>
          <w:rFonts w:ascii="Calibri" w:cs="Calibri" w:eastAsia="Calibri" w:hAnsi="Calibri"/>
          <w:sz w:val="22"/>
          <w:szCs w:val="22"/>
        </w:rPr>
        <w:t xml:space="preserve">Ward, K. (2026). “Modeling non-dual awareness via constraint closure.” </w:t>
      </w:r>
      <w:r>
        <w:rPr>
          <w:rFonts w:ascii="Calibri" w:cs="Calibri" w:eastAsia="Calibri" w:hAnsi="Calibri"/>
          <w:i/>
          <w:iCs/>
          <w:sz w:val="22"/>
          <w:szCs w:val="22"/>
        </w:rPr>
        <w:t xml:space="preserve">Neuroscience of Consciousness</w:t>
      </w:r>
      <w:r>
        <w:rPr>
          <w:rFonts w:ascii="Calibri" w:cs="Calibri" w:eastAsia="Calibri" w:hAnsi="Calibri"/>
          <w:sz w:val="22"/>
          <w:szCs w:val="22"/>
        </w:rPr>
        <w:t xml:space="preserve">, niaf068. </w:t>
      </w:r>
      <w:hyperlink w:history="1" r:id="rIdzuztmmay2m8m6_t3nojkj">
        <w:r>
          <w:rPr>
            <w:rStyle w:val="Hyperlink"/>
            <w:rFonts w:ascii="Calibri" w:cs="Calibri" w:eastAsia="Calibri" w:hAnsi="Calibri"/>
            <w:color w:val="0563C1"/>
            <w:sz w:val="22"/>
            <w:szCs w:val="22"/>
            <w:u w:val="single"/>
          </w:rPr>
          <w:t xml:space="preserve">DOI:10.1093/nc/niaf068</w:t>
        </w:r>
      </w:hyperlink>
      <w:r>
        <w:rPr>
          <w:rFonts w:ascii="Calibri" w:cs="Calibri" w:eastAsia="Calibri" w:hAnsi="Calibri"/>
          <w:sz w:val="22"/>
          <w:szCs w:val="22"/>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rFonts w:ascii="Calibri" w:cs="Calibri" w:eastAsia="Calibri" w:hAnsi="Calibri"/>
          <w:sz w:val="20"/>
          <w:szCs w:val="20"/>
        </w:rPr>
        <w:t xml:space="preserve"> Throughout this paper, PCI refers to Patterned Coherence through Irreducibility (Graise, 2026a), not to the Perturbational Complexity Index (PCI-ST) of Casali et al. (2013).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QBism and G₂ via PSL(2,7)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00000"/>
      <w:sz w:val="26"/>
      <w:szCs w:val="26"/>
    </w:rPr>
  </w:style>
  <w:style w:type="paragraph" w:styleId="Heading2">
    <w:name w:val="Heading 2"/>
    <w:basedOn w:val="Normal"/>
    <w:next w:val="Normal"/>
    <w:qFormat/>
    <w:pPr>
      <w:spacing w:after="100" w:before="200"/>
      <w:outlineLvl w:val="1"/>
    </w:pPr>
    <w:rPr>
      <w:rFonts w:ascii="Calibri" w:cs="Calibri" w:eastAsia="Calibri" w:hAnsi="Calibri"/>
      <w:b/>
      <w:bCs/>
      <w:color w:val="000000"/>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5ibkum_kh_cezn5kgzgf" Type="http://schemas.openxmlformats.org/officeDocument/2006/relationships/hyperlink" Target="https://arxiv.org/abs/1001.0004" TargetMode="External"/><Relationship Id="rId47tmedhltvzlokzhwivb1" Type="http://schemas.openxmlformats.org/officeDocument/2006/relationships/hyperlink" Target="https://doi.org/10.1007/978-981-97-1923-5_20" TargetMode="External"/><Relationship Id="rId7i63d4-o2dmeeblcovzz3" Type="http://schemas.openxmlformats.org/officeDocument/2006/relationships/hyperlink" Target="https://arxiv.org/abs/2012.14397" TargetMode="External"/><Relationship Id="rIdk_vg4shmgt9hhuromxy-z" Type="http://schemas.openxmlformats.org/officeDocument/2006/relationships/hyperlink" Target="https://arxiv.org/abs/1003.5209" TargetMode="External"/><Relationship Id="rIdbxnmmhfqhluws37mcfeyd" Type="http://schemas.openxmlformats.org/officeDocument/2006/relationships/hyperlink" Target="https://doi.org/10.5281/zenodo.19242936" TargetMode="External"/><Relationship Id="rIdvqikm0ylugp-3e8tnuiu9" Type="http://schemas.openxmlformats.org/officeDocument/2006/relationships/hyperlink" Target="https://doi.org/10.5281/zenodo.19480758" TargetMode="External"/><Relationship Id="rIdatfxcv86xk7r0mh5wfxsx" Type="http://schemas.openxmlformats.org/officeDocument/2006/relationships/hyperlink" Target="https://doi.org/10.5281/zenodo.19602470" TargetMode="External"/><Relationship Id="rIdo2u0291zzf2lw42eeupms" Type="http://schemas.openxmlformats.org/officeDocument/2006/relationships/hyperlink" Target="https://arxiv.org/abs/1612.06107" TargetMode="External"/><Relationship Id="rIdkqvtbmg7xszqtuwpptpqk" Type="http://schemas.openxmlformats.org/officeDocument/2006/relationships/hyperlink" Target="https://doi.org/10.31234/osf.io/agupq" TargetMode="External"/><Relationship Id="rIdpd_mo0bxs8ugamxi4cprc" Type="http://schemas.openxmlformats.org/officeDocument/2006/relationships/hyperlink" Target="https://arxiv.org/abs/2401.11026" TargetMode="External"/><Relationship Id="rIdzuztmmay2m8m6_t3nojkj" Type="http://schemas.openxmlformats.org/officeDocument/2006/relationships/hyperlink" Target="https://doi.org/10.1093/nc/niaf068" TargetMode="External"/><Relationship Id="rId20" Type="http://schemas.openxmlformats.org/officeDocument/2006/relationships/fontTable" Target="fontTable.xml"/></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Bayesianism and G2 Consciousness Geometry</dc:title>
  <dc:creator>Martin Luther Graise</dc:creator>
  <cp:lastModifiedBy>Un-named</cp:lastModifiedBy>
  <cp:revision>1</cp:revision>
  <dcterms:created xsi:type="dcterms:W3CDTF">2026-04-16T22:39:50.796Z</dcterms:created>
  <dcterms:modified xsi:type="dcterms:W3CDTF">2026-04-16T22:39:50.796Z</dcterms:modified>
</cp:coreProperties>
</file>

<file path=docProps/custom.xml><?xml version="1.0" encoding="utf-8"?>
<Properties xmlns="http://schemas.openxmlformats.org/officeDocument/2006/custom-properties" xmlns:vt="http://schemas.openxmlformats.org/officeDocument/2006/docPropsVTypes"/>
</file>